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8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ind w:left="552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OR</w:t>
      </w:r>
    </w:p>
    <w:p>
      <w:pPr>
        <w:spacing w:after="0" w:line="121" w:lineRule="exact"/>
        <w:rPr>
          <w:sz w:val="24"/>
          <w:szCs w:val="24"/>
          <w:color w:val="auto"/>
        </w:rPr>
      </w:pPr>
    </w:p>
    <w:p>
      <w:pPr>
        <w:spacing w:after="0" w:line="161" w:lineRule="exact"/>
        <w:tabs>
          <w:tab w:leader="none" w:pos="280" w:val="left"/>
          <w:tab w:leader="none" w:pos="110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TRANSITION REPORT PURSUANT TO SECTION 13 OR 15(d) OF THE SECURITIES EXCHANGE ACT OF 1934 FOR THE TRANSITION PERIOD FROM</w:t>
      </w:r>
      <w:r>
        <w:rPr>
          <w:sz w:val="20"/>
          <w:szCs w:val="20"/>
          <w:color w:val="auto"/>
        </w:rPr>
        <w:tab/>
      </w:r>
      <w:r>
        <w:rPr>
          <w:rFonts w:ascii="Arial" w:cs="Arial" w:eastAsia="Arial" w:hAnsi="Arial"/>
          <w:sz w:val="14"/>
          <w:szCs w:val="14"/>
          <w:b w:val="1"/>
          <w:bCs w:val="1"/>
          <w:color w:val="auto"/>
        </w:rPr>
        <w:t>TO</w:t>
      </w:r>
    </w:p>
    <w:p>
      <w:pPr>
        <w:spacing w:after="0" w:line="38"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163195</wp:posOffset>
            </wp:positionV>
            <wp:extent cx="171450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(Exact name of registrant as specified in its charter)</w:t>
      </w:r>
    </w:p>
    <w:p>
      <w:pPr>
        <w:spacing w:after="0" w:line="32" w:lineRule="exact"/>
        <w:rPr>
          <w:sz w:val="24"/>
          <w:szCs w:val="24"/>
          <w:color w:val="auto"/>
        </w:rPr>
      </w:pPr>
    </w:p>
    <w:p>
      <w:pPr>
        <w:ind w:left="2520"/>
        <w:spacing w:after="0"/>
        <w:tabs>
          <w:tab w:leader="none" w:pos="8020" w:val="left"/>
        </w:tabs>
        <w:rPr>
          <w:sz w:val="20"/>
          <w:szCs w:val="20"/>
          <w:color w:val="auto"/>
        </w:rPr>
      </w:pPr>
      <w:r>
        <w:rPr>
          <w:rFonts w:ascii="Arial" w:cs="Arial" w:eastAsia="Arial" w:hAnsi="Arial"/>
          <w:sz w:val="14"/>
          <w:szCs w:val="14"/>
          <w:b w:val="1"/>
          <w:bCs w:val="1"/>
          <w:color w:val="auto"/>
        </w:rPr>
        <w:t>Nevada</w:t>
      </w:r>
      <w:r>
        <w:rPr>
          <w:sz w:val="20"/>
          <w:szCs w:val="20"/>
          <w:color w:val="auto"/>
        </w:rPr>
        <w:tab/>
      </w:r>
      <w:r>
        <w:rPr>
          <w:rFonts w:ascii="Arial" w:cs="Arial" w:eastAsia="Arial" w:hAnsi="Arial"/>
          <w:sz w:val="14"/>
          <w:szCs w:val="14"/>
          <w:b w:val="1"/>
          <w:bCs w:val="1"/>
          <w:color w:val="auto"/>
        </w:rPr>
        <w:t>26-1232727</w:t>
      </w:r>
    </w:p>
    <w:p>
      <w:pPr>
        <w:spacing w:after="0" w:line="46" w:lineRule="exact"/>
        <w:rPr>
          <w:sz w:val="24"/>
          <w:szCs w:val="24"/>
          <w:color w:val="auto"/>
        </w:rPr>
      </w:pPr>
    </w:p>
    <w:p>
      <w:pPr>
        <w:ind w:left="920"/>
        <w:spacing w:after="0"/>
        <w:tabs>
          <w:tab w:leader="none" w:pos="728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4"/>
          <w:szCs w:val="14"/>
          <w:color w:val="auto"/>
        </w:rPr>
        <w:t>(I.R.S. Employer Identification No.)</w:t>
      </w:r>
    </w:p>
    <w:p>
      <w:pPr>
        <w:spacing w:after="0" w:line="199" w:lineRule="exact"/>
        <w:rPr>
          <w:sz w:val="24"/>
          <w:szCs w:val="24"/>
          <w:color w:val="auto"/>
        </w:rPr>
      </w:pPr>
    </w:p>
    <w:p>
      <w:pPr>
        <w:ind w:left="1140"/>
        <w:spacing w:after="0"/>
        <w:tabs>
          <w:tab w:leader="none" w:pos="4160" w:val="left"/>
          <w:tab w:leader="none" w:pos="8020" w:val="left"/>
        </w:tabs>
        <w:rPr>
          <w:sz w:val="20"/>
          <w:szCs w:val="20"/>
          <w:color w:val="auto"/>
        </w:rPr>
      </w:pPr>
      <w:r>
        <w:rPr>
          <w:rFonts w:ascii="Arial" w:cs="Arial" w:eastAsia="Arial" w:hAnsi="Arial"/>
          <w:sz w:val="14"/>
          <w:szCs w:val="14"/>
          <w:b w:val="1"/>
          <w:bCs w:val="1"/>
          <w:color w:val="auto"/>
        </w:rPr>
        <w:t>100 Inverness Terrace East, Englewood,</w:t>
      </w:r>
      <w:r>
        <w:rPr>
          <w:sz w:val="20"/>
          <w:szCs w:val="20"/>
          <w:color w:val="auto"/>
        </w:rPr>
        <w:tab/>
      </w:r>
      <w:r>
        <w:rPr>
          <w:rFonts w:ascii="Arial" w:cs="Arial" w:eastAsia="Arial" w:hAnsi="Arial"/>
          <w:sz w:val="14"/>
          <w:szCs w:val="14"/>
          <w:b w:val="1"/>
          <w:bCs w:val="1"/>
          <w:color w:val="auto"/>
        </w:rPr>
        <w:t>Colorado</w:t>
      </w:r>
      <w:r>
        <w:rPr>
          <w:sz w:val="20"/>
          <w:szCs w:val="20"/>
          <w:color w:val="auto"/>
        </w:rPr>
        <w:tab/>
      </w:r>
      <w:r>
        <w:rPr>
          <w:rFonts w:ascii="Arial" w:cs="Arial" w:eastAsia="Arial" w:hAnsi="Arial"/>
          <w:sz w:val="14"/>
          <w:szCs w:val="14"/>
          <w:b w:val="1"/>
          <w:bCs w:val="1"/>
          <w:color w:val="auto"/>
        </w:rPr>
        <w:t>80112-5308</w:t>
      </w:r>
    </w:p>
    <w:p>
      <w:pPr>
        <w:spacing w:after="0" w:line="46" w:lineRule="exact"/>
        <w:rPr>
          <w:sz w:val="24"/>
          <w:szCs w:val="24"/>
          <w:color w:val="auto"/>
        </w:rPr>
      </w:pPr>
    </w:p>
    <w:p>
      <w:pPr>
        <w:ind w:left="1540"/>
        <w:spacing w:after="0"/>
        <w:tabs>
          <w:tab w:leader="none" w:pos="806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4"/>
          <w:szCs w:val="14"/>
          <w:color w:val="auto"/>
        </w:rPr>
        <w:t>(Zip Code)</w:t>
      </w:r>
    </w:p>
    <w:p>
      <w:pPr>
        <w:spacing w:after="0" w:line="118" w:lineRule="exact"/>
        <w:rPr>
          <w:sz w:val="24"/>
          <w:szCs w:val="24"/>
          <w:color w:val="auto"/>
        </w:rPr>
      </w:pPr>
    </w:p>
    <w:p>
      <w:pPr>
        <w:ind w:left="2680"/>
        <w:spacing w:after="0"/>
        <w:tabs>
          <w:tab w:leader="none" w:pos="7900" w:val="left"/>
        </w:tabs>
        <w:rPr>
          <w:sz w:val="20"/>
          <w:szCs w:val="20"/>
          <w:color w:val="auto"/>
        </w:rPr>
      </w:pPr>
      <w:r>
        <w:rPr>
          <w:rFonts w:ascii="Arial" w:cs="Arial" w:eastAsia="Arial" w:hAnsi="Arial"/>
          <w:sz w:val="14"/>
          <w:szCs w:val="14"/>
          <w:b w:val="1"/>
          <w:bCs w:val="1"/>
          <w:color w:val="auto"/>
        </w:rPr>
        <w:t>(303) 706-4000</w:t>
      </w:r>
      <w:r>
        <w:rPr>
          <w:sz w:val="20"/>
          <w:szCs w:val="20"/>
          <w:color w:val="auto"/>
        </w:rPr>
        <w:tab/>
      </w:r>
      <w:r>
        <w:rPr>
          <w:rFonts w:ascii="Arial" w:cs="Arial" w:eastAsia="Arial" w:hAnsi="Arial"/>
          <w:sz w:val="14"/>
          <w:szCs w:val="14"/>
          <w:b w:val="1"/>
          <w:bCs w:val="1"/>
          <w:color w:val="auto"/>
        </w:rPr>
        <w:t>Not Applicable</w:t>
      </w:r>
    </w:p>
    <w:p>
      <w:pPr>
        <w:sectPr>
          <w:pgSz w:w="11900" w:h="16838" w:orient="portrait"/>
          <w:cols w:equalWidth="0" w:num="1">
            <w:col w:w="11240"/>
          </w:cols>
          <w:pgMar w:left="320" w:top="247" w:right="339" w:bottom="1440" w:gutter="0" w:footer="0" w:header="0"/>
        </w:sectPr>
      </w:pPr>
    </w:p>
    <w:p>
      <w:pPr>
        <w:spacing w:after="0" w:line="46" w:lineRule="exact"/>
        <w:rPr>
          <w:sz w:val="24"/>
          <w:szCs w:val="24"/>
          <w:color w:val="auto"/>
        </w:rPr>
      </w:pPr>
    </w:p>
    <w:p>
      <w:pPr>
        <w:jc w:val="center"/>
        <w:ind w:left="460"/>
        <w:spacing w:after="0"/>
        <w:rPr>
          <w:sz w:val="20"/>
          <w:szCs w:val="20"/>
          <w:color w:val="auto"/>
        </w:rPr>
      </w:pPr>
      <w:r>
        <w:rPr>
          <w:rFonts w:ascii="Arial" w:cs="Arial" w:eastAsia="Arial" w:hAnsi="Arial"/>
          <w:sz w:val="14"/>
          <w:szCs w:val="14"/>
          <w:color w:val="auto"/>
        </w:rPr>
        <w:t>(Registrant’s telephone number, including area code)</w:t>
      </w:r>
    </w:p>
    <w:p>
      <w:pPr>
        <w:spacing w:after="0" w:line="136" w:lineRule="exact"/>
        <w:rPr>
          <w:sz w:val="24"/>
          <w:szCs w:val="24"/>
          <w:color w:val="auto"/>
        </w:rPr>
      </w:pPr>
    </w:p>
    <w:p>
      <w:pPr>
        <w:jc w:val="center"/>
        <w:ind w:left="4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08" w:lineRule="exact"/>
        <w:rPr>
          <w:sz w:val="24"/>
          <w:szCs w:val="24"/>
          <w:color w:val="auto"/>
        </w:rPr>
      </w:pPr>
    </w:p>
    <w:p>
      <w:pPr>
        <w:sectPr>
          <w:pgSz w:w="11900" w:h="16838" w:orient="portrait"/>
          <w:cols w:equalWidth="0" w:num="2">
            <w:col w:w="5080" w:space="720"/>
            <w:col w:w="5440"/>
          </w:cols>
          <w:pgMar w:left="320" w:top="247" w:right="339" w:bottom="1440" w:gutter="0" w:footer="0" w:header="0"/>
          <w:type w:val="continuous"/>
        </w:sectPr>
      </w:pPr>
    </w:p>
    <w:p>
      <w:pPr>
        <w:ind w:left="1440"/>
        <w:spacing w:after="0"/>
        <w:tabs>
          <w:tab w:leader="none" w:pos="7300" w:val="left"/>
        </w:tabs>
        <w:rPr>
          <w:sz w:val="20"/>
          <w:szCs w:val="20"/>
          <w:color w:val="auto"/>
        </w:rPr>
      </w:pPr>
      <w:r>
        <w:rPr>
          <w:rFonts w:ascii="Arial" w:cs="Arial" w:eastAsia="Arial" w:hAnsi="Arial"/>
          <w:sz w:val="14"/>
          <w:szCs w:val="14"/>
          <w:b w:val="1"/>
          <w:bCs w:val="1"/>
          <w:color w:val="auto"/>
        </w:rPr>
        <w:t>Class A common stock $0.001 par value</w:t>
      </w:r>
      <w:r>
        <w:rPr>
          <w:sz w:val="20"/>
          <w:szCs w:val="20"/>
          <w:color w:val="auto"/>
        </w:rPr>
        <w:tab/>
      </w:r>
      <w:r>
        <w:rPr>
          <w:rFonts w:ascii="Arial" w:cs="Arial" w:eastAsia="Arial" w:hAnsi="Arial"/>
          <w:sz w:val="14"/>
          <w:szCs w:val="14"/>
          <w:b w:val="1"/>
          <w:bCs w:val="1"/>
          <w:color w:val="auto"/>
        </w:rPr>
        <w:t>The NASDAQ Stock Market LLC</w:t>
      </w:r>
    </w:p>
    <w:p>
      <w:pPr>
        <w:spacing w:after="0" w:line="45" w:lineRule="exact"/>
        <w:rPr>
          <w:sz w:val="24"/>
          <w:szCs w:val="24"/>
          <w:color w:val="auto"/>
        </w:rPr>
      </w:pPr>
    </w:p>
    <w:p>
      <w:pPr>
        <w:ind w:left="2160"/>
        <w:spacing w:after="0"/>
        <w:tabs>
          <w:tab w:leader="none" w:pos="6920" w:val="left"/>
        </w:tabs>
        <w:rPr>
          <w:sz w:val="20"/>
          <w:szCs w:val="20"/>
          <w:color w:val="auto"/>
        </w:rPr>
      </w:pPr>
      <w:r>
        <w:rPr>
          <w:rFonts w:ascii="Arial" w:cs="Arial" w:eastAsia="Arial" w:hAnsi="Arial"/>
          <w:sz w:val="14"/>
          <w:szCs w:val="14"/>
          <w:color w:val="auto"/>
        </w:rPr>
        <w:t>(Title of each class)</w:t>
      </w:r>
      <w:r>
        <w:rPr>
          <w:sz w:val="20"/>
          <w:szCs w:val="20"/>
          <w:color w:val="auto"/>
        </w:rPr>
        <w:tab/>
      </w:r>
      <w:r>
        <w:rPr>
          <w:rFonts w:ascii="Arial" w:cs="Arial" w:eastAsia="Arial" w:hAnsi="Arial"/>
          <w:sz w:val="14"/>
          <w:szCs w:val="14"/>
          <w:color w:val="auto"/>
        </w:rPr>
        <w:t>(Name of each exchange on which registered)</w:t>
      </w:r>
    </w:p>
    <w:p>
      <w:pPr>
        <w:spacing w:after="0" w:line="11" w:lineRule="exact"/>
        <w:rPr>
          <w:sz w:val="24"/>
          <w:szCs w:val="24"/>
          <w:color w:val="auto"/>
        </w:rPr>
      </w:pPr>
    </w:p>
    <w:p>
      <w:pPr>
        <w:jc w:val="center"/>
        <w:ind w:right="5700"/>
        <w:spacing w:after="0"/>
        <w:rPr>
          <w:sz w:val="20"/>
          <w:szCs w:val="20"/>
          <w:color w:val="auto"/>
        </w:rPr>
      </w:pPr>
      <w:r>
        <w:rPr>
          <w:rFonts w:ascii="Arial" w:cs="Arial" w:eastAsia="Arial" w:hAnsi="Arial"/>
          <w:sz w:val="14"/>
          <w:szCs w:val="14"/>
          <w:b w:val="1"/>
          <w:bCs w:val="1"/>
          <w:color w:val="auto"/>
        </w:rPr>
        <w:t>SATS</w:t>
      </w:r>
    </w:p>
    <w:p>
      <w:pPr>
        <w:spacing w:after="0" w:line="45" w:lineRule="exact"/>
        <w:rPr>
          <w:sz w:val="24"/>
          <w:szCs w:val="24"/>
          <w:color w:val="auto"/>
        </w:rPr>
      </w:pPr>
    </w:p>
    <w:p>
      <w:pPr>
        <w:jc w:val="center"/>
        <w:ind w:right="5700"/>
        <w:spacing w:after="0"/>
        <w:rPr>
          <w:sz w:val="20"/>
          <w:szCs w:val="20"/>
          <w:color w:val="auto"/>
        </w:rPr>
      </w:pPr>
      <w:r>
        <w:rPr>
          <w:rFonts w:ascii="Arial" w:cs="Arial" w:eastAsia="Arial" w:hAnsi="Arial"/>
          <w:sz w:val="14"/>
          <w:szCs w:val="14"/>
          <w:color w:val="auto"/>
        </w:rPr>
        <w:t>(Ticker symbol)</w:t>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3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7"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jc w:val="both"/>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3"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7" w:lineRule="exact"/>
        <w:rPr>
          <w:sz w:val="24"/>
          <w:szCs w:val="24"/>
          <w:color w:val="auto"/>
        </w:rPr>
      </w:pPr>
    </w:p>
    <w:tbl>
      <w:tblPr>
        <w:tblLayout w:type="fixed"/>
        <w:tblInd w:w="1480" w:type="dxa"/>
        <w:tblCellMar>
          <w:top w:w="0" w:type="dxa"/>
          <w:left w:w="0" w:type="dxa"/>
          <w:bottom w:w="0" w:type="dxa"/>
          <w:right w:w="0" w:type="dxa"/>
        </w:tblCellMar>
      </w:tblPr>
      <w:tr>
        <w:trPr>
          <w:trHeight w:val="202"/>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2780" w:type="dxa"/>
            <w:vAlign w:val="bottom"/>
          </w:tcPr>
          <w:p>
            <w:pPr>
              <w:ind w:left="4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7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80"/>
              <w:spacing w:after="0"/>
              <w:rPr>
                <w:sz w:val="20"/>
                <w:szCs w:val="20"/>
                <w:color w:val="auto"/>
              </w:rPr>
            </w:pPr>
            <w:r>
              <w:rPr>
                <w:rFonts w:ascii="Arial" w:cs="Arial" w:eastAsia="Arial" w:hAnsi="Arial"/>
                <w:sz w:val="14"/>
                <w:szCs w:val="14"/>
                <w:color w:val="auto"/>
              </w:rPr>
              <w:t>Smaller reporting company</w:t>
            </w:r>
          </w:p>
        </w:tc>
        <w:tc>
          <w:tcPr>
            <w:tcW w:w="27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spacing w:after="0"/>
              <w:rPr>
                <w:sz w:val="22"/>
                <w:szCs w:val="22"/>
                <w:color w:val="auto"/>
              </w:rPr>
            </w:pPr>
          </w:p>
        </w:tc>
      </w:tr>
    </w:tbl>
    <w:p>
      <w:pPr>
        <w:spacing w:after="0" w:line="8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7"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of June 30, 2021, the aggregate market value of Class A common stock held by non-affiliates of the registrant was $976.8 million based upon the closing price of the Class A common stock as reported on the NASDAQ Global Select Market as of the close of business on that date.</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of February 15, 2022, the registrant’s outstanding common stock consisted of 38,169,758 shares of Class A common stock and 47,687,039 shares of Class B common stock, each $0.001 par value.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registrant’s definitive Proxy Statement to be filed in connection with its 2022 Annual Meeting of Shareholders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60" w:type="dxa"/>
            <w:vAlign w:val="bottom"/>
            <w:gridSpan w:val="3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gridSpan w:val="19"/>
          </w:tcPr>
          <w:p>
            <w:pPr>
              <w:ind w:left="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40" w:type="dxa"/>
            <w:vAlign w:val="bottom"/>
            <w:gridSpan w:val="3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Disclosure Regarding Forward Looking Statements</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jc w:val="center"/>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422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820" w:type="dxa"/>
            <w:vAlign w:val="bottom"/>
            <w:gridSpan w:val="2"/>
          </w:tcPr>
          <w:p>
            <w:pPr>
              <w:spacing w:after="0"/>
              <w:rPr>
                <w:sz w:val="24"/>
                <w:szCs w:val="24"/>
                <w:color w:val="auto"/>
              </w:rPr>
            </w:pPr>
          </w:p>
        </w:tc>
        <w:tc>
          <w:tcPr>
            <w:tcW w:w="8760" w:type="dxa"/>
            <w:vAlign w:val="bottom"/>
            <w:gridSpan w:val="3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Item 1A.</w:t>
              </w:r>
            </w:hyperlink>
          </w:p>
        </w:tc>
        <w:tc>
          <w:tcPr>
            <w:tcW w:w="720" w:type="dxa"/>
            <w:vAlign w:val="bottom"/>
          </w:tcPr>
          <w:p>
            <w:pPr>
              <w:spacing w:after="0"/>
              <w:rPr>
                <w:sz w:val="18"/>
                <w:szCs w:val="18"/>
                <w:color w:val="auto"/>
              </w:rPr>
            </w:pPr>
          </w:p>
        </w:tc>
        <w:tc>
          <w:tcPr>
            <w:tcW w:w="980" w:type="dxa"/>
            <w:vAlign w:val="bottom"/>
            <w:gridSpan w:val="4"/>
          </w:tcPr>
          <w:p>
            <w:pPr>
              <w:spacing w:after="0"/>
              <w:rPr>
                <w:rFonts w:ascii="Arial" w:cs="Arial" w:eastAsia="Arial" w:hAnsi="Arial"/>
                <w:sz w:val="18"/>
                <w:szCs w:val="18"/>
                <w:color w:val="0000FF"/>
                <w:w w:val="95"/>
              </w:rPr>
            </w:pPr>
            <w:hyperlink w:anchor="page18">
              <w:r>
                <w:rPr>
                  <w:rFonts w:ascii="Arial" w:cs="Arial" w:eastAsia="Arial" w:hAnsi="Arial"/>
                  <w:sz w:val="18"/>
                  <w:szCs w:val="18"/>
                  <w:color w:val="0000FF"/>
                  <w:w w:val="95"/>
                </w:rPr>
                <w:t>Risk Factors</w:t>
              </w:r>
            </w:hyperlink>
          </w:p>
        </w:tc>
        <w:tc>
          <w:tcPr>
            <w:tcW w:w="7780" w:type="dxa"/>
            <w:vAlign w:val="bottom"/>
            <w:gridSpan w:val="28"/>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18">
              <w:r>
                <w:rPr>
                  <w:rFonts w:ascii="Arial" w:cs="Arial" w:eastAsia="Arial" w:hAnsi="Arial"/>
                  <w:sz w:val="18"/>
                  <w:szCs w:val="18"/>
                  <w:color w:val="0000FF"/>
                </w:rPr>
                <w:t>14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Item 1B.</w:t>
              </w:r>
            </w:hyperlink>
          </w:p>
        </w:tc>
        <w:tc>
          <w:tcPr>
            <w:tcW w:w="720" w:type="dxa"/>
            <w:vAlign w:val="bottom"/>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29">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9">
              <w:r>
                <w:rPr>
                  <w:rFonts w:ascii="Arial" w:cs="Arial" w:eastAsia="Arial" w:hAnsi="Arial"/>
                  <w:sz w:val="18"/>
                  <w:szCs w:val="18"/>
                  <w:color w:val="0000FF"/>
                  <w:w w:val="98"/>
                </w:rPr>
                <w:t>Item 2.</w:t>
              </w:r>
            </w:hyperlink>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Properties</w:t>
              </w:r>
            </w:hyperlink>
          </w:p>
        </w:tc>
        <w:tc>
          <w:tcPr>
            <w:tcW w:w="1460" w:type="dxa"/>
            <w:vAlign w:val="bottom"/>
            <w:gridSpan w:val="8"/>
          </w:tcPr>
          <w:p>
            <w:pPr>
              <w:spacing w:after="0"/>
              <w:rPr>
                <w:sz w:val="18"/>
                <w:szCs w:val="18"/>
                <w:color w:val="auto"/>
              </w:rPr>
            </w:pPr>
          </w:p>
        </w:tc>
        <w:tc>
          <w:tcPr>
            <w:tcW w:w="6540" w:type="dxa"/>
            <w:vAlign w:val="bottom"/>
            <w:gridSpan w:val="22"/>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29">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Item 3.</w:t>
              </w:r>
            </w:hyperlink>
          </w:p>
        </w:tc>
        <w:tc>
          <w:tcPr>
            <w:tcW w:w="820" w:type="dxa"/>
            <w:vAlign w:val="bottom"/>
            <w:gridSpan w:val="2"/>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30">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Item 4.</w:t>
              </w:r>
            </w:hyperlink>
          </w:p>
        </w:tc>
        <w:tc>
          <w:tcPr>
            <w:tcW w:w="820" w:type="dxa"/>
            <w:vAlign w:val="bottom"/>
            <w:gridSpan w:val="2"/>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30">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4"/>
          </w:tcPr>
          <w:p>
            <w:pPr>
              <w:jc w:val="center"/>
              <w:ind w:right="4200"/>
              <w:spacing w:after="0"/>
              <w:rPr>
                <w:rFonts w:ascii="Arial" w:cs="Arial" w:eastAsia="Arial" w:hAnsi="Arial"/>
                <w:sz w:val="18"/>
                <w:szCs w:val="18"/>
                <w:b w:val="1"/>
                <w:bCs w:val="1"/>
                <w:color w:val="0000FF"/>
                <w:w w:val="96"/>
              </w:rPr>
            </w:pPr>
            <w:hyperlink w:anchor="page30">
              <w:r>
                <w:rPr>
                  <w:rFonts w:ascii="Arial" w:cs="Arial" w:eastAsia="Arial" w:hAnsi="Arial"/>
                  <w:sz w:val="18"/>
                  <w:szCs w:val="18"/>
                  <w:b w:val="1"/>
                  <w:bCs w:val="1"/>
                  <w:color w:val="0000FF"/>
                  <w:w w:val="96"/>
                </w:rPr>
                <w:t>PART II</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38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5.</w:t>
              </w:r>
            </w:hyperlink>
          </w:p>
        </w:tc>
        <w:tc>
          <w:tcPr>
            <w:tcW w:w="8760" w:type="dxa"/>
            <w:vAlign w:val="bottom"/>
            <w:gridSpan w:val="3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Market for Registrant’s Common Equity, Related Stockholder Matters and Issuer Purchases of Equity</w:t>
              </w:r>
            </w:hyperlink>
          </w:p>
        </w:tc>
        <w:tc>
          <w:tcPr>
            <w:tcW w:w="1080" w:type="dxa"/>
            <w:vAlign w:val="bottom"/>
            <w:gridSpan w:val="5"/>
            <w:vMerge w:val="restart"/>
          </w:tcPr>
          <w:p>
            <w:pPr>
              <w:jc w:val="right"/>
              <w:ind w:right="40"/>
              <w:spacing w:after="0"/>
              <w:rPr>
                <w:rFonts w:ascii="Arial" w:cs="Arial" w:eastAsia="Arial" w:hAnsi="Arial"/>
                <w:sz w:val="18"/>
                <w:szCs w:val="18"/>
                <w:color w:val="0000FF"/>
              </w:rPr>
            </w:pPr>
            <w:hyperlink w:anchor="page31">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w:anchor="page31">
              <w:r>
                <w:rPr>
                  <w:rFonts w:ascii="Arial" w:cs="Arial" w:eastAsia="Arial" w:hAnsi="Arial"/>
                  <w:sz w:val="18"/>
                  <w:szCs w:val="18"/>
                  <w:color w:val="0000FF"/>
                </w:rPr>
                <w:t>Securities</w:t>
              </w:r>
            </w:hyperlink>
          </w:p>
        </w:tc>
        <w:tc>
          <w:tcPr>
            <w:tcW w:w="76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Item 6.</w:t>
              </w:r>
            </w:hyperlink>
          </w:p>
        </w:tc>
        <w:tc>
          <w:tcPr>
            <w:tcW w:w="820" w:type="dxa"/>
            <w:vAlign w:val="bottom"/>
            <w:gridSpan w:val="2"/>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[Reserved]</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32">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Item 7.</w:t>
              </w:r>
            </w:hyperlink>
          </w:p>
        </w:tc>
        <w:tc>
          <w:tcPr>
            <w:tcW w:w="100" w:type="dxa"/>
            <w:vAlign w:val="bottom"/>
            <w:tcBorders>
              <w:bottom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7060" w:type="dxa"/>
            <w:vAlign w:val="bottom"/>
            <w:tcBorders>
              <w:bottom w:val="single" w:sz="8" w:color="0000FF"/>
            </w:tcBorders>
            <w:gridSpan w:val="28"/>
          </w:tcPr>
          <w:p>
            <w:pP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Management’s Discussion and Analysis of Financial Condition and Results of Operations</w:t>
              </w:r>
            </w:hyperlink>
          </w:p>
        </w:tc>
        <w:tc>
          <w:tcPr>
            <w:tcW w:w="1700" w:type="dxa"/>
            <w:vAlign w:val="bottom"/>
            <w:gridSpan w:val="4"/>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Item 7A.</w:t>
              </w:r>
            </w:hyperlink>
          </w:p>
        </w:tc>
        <w:tc>
          <w:tcPr>
            <w:tcW w:w="720" w:type="dxa"/>
            <w:vAlign w:val="bottom"/>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Quantitative and Qualitative Disclosures about Market Risk</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57">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top w:val="single" w:sz="8" w:color="0000FF"/>
            </w:tcBorders>
          </w:tcPr>
          <w:p>
            <w:pPr>
              <w:spacing w:after="0"/>
              <w:rPr>
                <w:rFonts w:ascii="Arial" w:cs="Arial" w:eastAsia="Arial" w:hAnsi="Arial"/>
                <w:sz w:val="18"/>
                <w:szCs w:val="18"/>
                <w:color w:val="0000FF"/>
                <w:w w:val="98"/>
              </w:rPr>
            </w:pPr>
            <w:hyperlink w:anchor="page58">
              <w:r>
                <w:rPr>
                  <w:rFonts w:ascii="Arial" w:cs="Arial" w:eastAsia="Arial" w:hAnsi="Arial"/>
                  <w:sz w:val="18"/>
                  <w:szCs w:val="18"/>
                  <w:color w:val="0000FF"/>
                  <w:w w:val="98"/>
                </w:rPr>
                <w:t>Item 8.</w:t>
              </w:r>
            </w:hyperlink>
          </w:p>
        </w:tc>
        <w:tc>
          <w:tcPr>
            <w:tcW w:w="10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3700" w:type="dxa"/>
            <w:vAlign w:val="bottom"/>
            <w:tcBorders>
              <w:top w:val="single" w:sz="8" w:color="0000FF"/>
            </w:tcBorders>
            <w:gridSpan w:val="15"/>
          </w:tcPr>
          <w:p>
            <w:pPr>
              <w:spacing w:after="0"/>
              <w:rPr>
                <w:rFonts w:ascii="Arial" w:cs="Arial" w:eastAsia="Arial" w:hAnsi="Arial"/>
                <w:sz w:val="18"/>
                <w:szCs w:val="18"/>
                <w:color w:val="0000FF"/>
                <w:w w:val="98"/>
              </w:rPr>
            </w:pPr>
            <w:hyperlink w:anchor="page58">
              <w:r>
                <w:rPr>
                  <w:rFonts w:ascii="Arial" w:cs="Arial" w:eastAsia="Arial" w:hAnsi="Arial"/>
                  <w:sz w:val="18"/>
                  <w:szCs w:val="18"/>
                  <w:color w:val="0000FF"/>
                  <w:w w:val="98"/>
                </w:rPr>
                <w:t>Financial Statements and Supplementary Data</w:t>
              </w:r>
            </w:hyperlink>
          </w:p>
        </w:tc>
        <w:tc>
          <w:tcPr>
            <w:tcW w:w="960" w:type="dxa"/>
            <w:vAlign w:val="bottom"/>
            <w:tcBorders>
              <w:top w:val="single" w:sz="8" w:color="0000FF"/>
            </w:tcBorders>
            <w:gridSpan w:val="10"/>
          </w:tcPr>
          <w:p>
            <w:pPr>
              <w:spacing w:after="0"/>
              <w:rPr>
                <w:sz w:val="18"/>
                <w:szCs w:val="18"/>
                <w:color w:val="auto"/>
              </w:rPr>
            </w:pPr>
          </w:p>
        </w:tc>
        <w:tc>
          <w:tcPr>
            <w:tcW w:w="4100" w:type="dxa"/>
            <w:vAlign w:val="bottom"/>
            <w:gridSpan w:val="7"/>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9.</w:t>
              </w:r>
            </w:hyperlink>
          </w:p>
        </w:tc>
        <w:tc>
          <w:tcPr>
            <w:tcW w:w="820" w:type="dxa"/>
            <w:vAlign w:val="bottom"/>
            <w:gridSpan w:val="2"/>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Changes in and Disagreements with Accountants on Accounting and Financial Disclosure</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59">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Item 9A.</w:t>
              </w:r>
            </w:hyperlink>
          </w:p>
        </w:tc>
        <w:tc>
          <w:tcPr>
            <w:tcW w:w="720" w:type="dxa"/>
            <w:vAlign w:val="bottom"/>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Controls and Procedures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59">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Item 9B.</w:t>
              </w:r>
            </w:hyperlink>
          </w:p>
        </w:tc>
        <w:tc>
          <w:tcPr>
            <w:tcW w:w="720" w:type="dxa"/>
            <w:vAlign w:val="bottom"/>
          </w:tcPr>
          <w:p>
            <w:pPr>
              <w:spacing w:after="0"/>
              <w:rPr>
                <w:sz w:val="18"/>
                <w:szCs w:val="18"/>
                <w:color w:val="auto"/>
              </w:rPr>
            </w:pPr>
          </w:p>
        </w:tc>
        <w:tc>
          <w:tcPr>
            <w:tcW w:w="1380" w:type="dxa"/>
            <w:vAlign w:val="bottom"/>
            <w:gridSpan w:val="5"/>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Other Information</w:t>
              </w:r>
            </w:hyperlink>
          </w:p>
        </w:tc>
        <w:tc>
          <w:tcPr>
            <w:tcW w:w="580" w:type="dxa"/>
            <w:vAlign w:val="bottom"/>
            <w:gridSpan w:val="4"/>
          </w:tcPr>
          <w:p>
            <w:pPr>
              <w:spacing w:after="0"/>
              <w:rPr>
                <w:sz w:val="18"/>
                <w:szCs w:val="18"/>
                <w:color w:val="auto"/>
              </w:rPr>
            </w:pPr>
          </w:p>
        </w:tc>
        <w:tc>
          <w:tcPr>
            <w:tcW w:w="6800" w:type="dxa"/>
            <w:vAlign w:val="bottom"/>
            <w:gridSpan w:val="23"/>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60">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gridSpan w:val="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Item 9C.</w:t>
              </w:r>
            </w:hyperlink>
          </w:p>
        </w:tc>
        <w:tc>
          <w:tcPr>
            <w:tcW w:w="8760" w:type="dxa"/>
            <w:vAlign w:val="bottom"/>
            <w:gridSpan w:val="3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Disclosure Regarding Foreign Jurisdictions that Prevent Inspections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60">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gridSpan w:val="9"/>
          </w:tcPr>
          <w:p>
            <w:pPr>
              <w:jc w:val="center"/>
              <w:ind w:right="800"/>
              <w:spacing w:after="0"/>
              <w:rPr>
                <w:rFonts w:ascii="Arial" w:cs="Arial" w:eastAsia="Arial" w:hAnsi="Arial"/>
                <w:sz w:val="18"/>
                <w:szCs w:val="18"/>
                <w:b w:val="1"/>
                <w:bCs w:val="1"/>
                <w:color w:val="0000FF"/>
                <w:w w:val="95"/>
              </w:rPr>
            </w:pPr>
            <w:hyperlink w:anchor="page60">
              <w:r>
                <w:rPr>
                  <w:rFonts w:ascii="Arial" w:cs="Arial" w:eastAsia="Arial" w:hAnsi="Arial"/>
                  <w:sz w:val="18"/>
                  <w:szCs w:val="18"/>
                  <w:b w:val="1"/>
                  <w:bCs w:val="1"/>
                  <w:color w:val="0000FF"/>
                  <w:w w:val="95"/>
                </w:rPr>
                <w:t>PART III</w:t>
              </w:r>
            </w:hyperlink>
          </w:p>
        </w:tc>
        <w:tc>
          <w:tcPr>
            <w:tcW w:w="338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FF"/>
                <w:w w:val="95"/>
              </w:rPr>
            </w:pPr>
            <w:hyperlink w:anchor="page60">
              <w:r>
                <w:rPr>
                  <w:rFonts w:ascii="Arial" w:cs="Arial" w:eastAsia="Arial" w:hAnsi="Arial"/>
                  <w:sz w:val="18"/>
                  <w:szCs w:val="18"/>
                  <w:color w:val="0000FF"/>
                  <w:w w:val="95"/>
                </w:rPr>
                <w:t>Item 10.</w:t>
              </w:r>
            </w:hyperlink>
          </w:p>
        </w:tc>
        <w:tc>
          <w:tcPr>
            <w:tcW w:w="720" w:type="dxa"/>
            <w:vAlign w:val="bottom"/>
          </w:tcPr>
          <w:p>
            <w:pPr>
              <w:spacing w:after="0"/>
              <w:rPr>
                <w:sz w:val="24"/>
                <w:szCs w:val="24"/>
                <w:color w:val="auto"/>
              </w:rPr>
            </w:pPr>
          </w:p>
        </w:tc>
        <w:tc>
          <w:tcPr>
            <w:tcW w:w="4480" w:type="dxa"/>
            <w:vAlign w:val="bottom"/>
            <w:gridSpan w:val="20"/>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Directors, Executive Officers and Corporate Governance</w:t>
              </w:r>
            </w:hyperlink>
          </w:p>
        </w:tc>
        <w:tc>
          <w:tcPr>
            <w:tcW w:w="4280" w:type="dxa"/>
            <w:vAlign w:val="bottom"/>
            <w:gridSpan w:val="12"/>
          </w:tcPr>
          <w:p>
            <w:pPr>
              <w:spacing w:after="0"/>
              <w:rPr>
                <w:sz w:val="24"/>
                <w:szCs w:val="24"/>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60">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60">
              <w:r>
                <w:rPr>
                  <w:rFonts w:ascii="Arial" w:cs="Arial" w:eastAsia="Arial" w:hAnsi="Arial"/>
                  <w:sz w:val="18"/>
                  <w:szCs w:val="18"/>
                  <w:color w:val="0000FF"/>
                  <w:w w:val="95"/>
                </w:rPr>
                <w:t>Item 11.</w:t>
              </w:r>
            </w:hyperlink>
          </w:p>
        </w:tc>
        <w:tc>
          <w:tcPr>
            <w:tcW w:w="720" w:type="dxa"/>
            <w:vAlign w:val="bottom"/>
          </w:tcPr>
          <w:p>
            <w:pPr>
              <w:spacing w:after="0"/>
              <w:rPr>
                <w:sz w:val="18"/>
                <w:szCs w:val="18"/>
                <w:color w:val="auto"/>
              </w:rPr>
            </w:pPr>
          </w:p>
        </w:tc>
        <w:tc>
          <w:tcPr>
            <w:tcW w:w="4480" w:type="dxa"/>
            <w:vAlign w:val="bottom"/>
            <w:gridSpan w:val="20"/>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Executive Compensation</w:t>
              </w:r>
            </w:hyperlink>
          </w:p>
        </w:tc>
        <w:tc>
          <w:tcPr>
            <w:tcW w:w="4280" w:type="dxa"/>
            <w:vAlign w:val="bottom"/>
            <w:gridSpan w:val="12"/>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60">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60">
              <w:r>
                <w:rPr>
                  <w:rFonts w:ascii="Arial" w:cs="Arial" w:eastAsia="Arial" w:hAnsi="Arial"/>
                  <w:sz w:val="18"/>
                  <w:szCs w:val="18"/>
                  <w:color w:val="0000FF"/>
                  <w:w w:val="95"/>
                </w:rPr>
                <w:t>Item 12.</w:t>
              </w:r>
            </w:hyperlink>
          </w:p>
        </w:tc>
        <w:tc>
          <w:tcPr>
            <w:tcW w:w="720" w:type="dxa"/>
            <w:vAlign w:val="bottom"/>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Security Ownership of Certain Beneficial Owners and Management and Related Stockholder Matters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60">
              <w:r>
                <w:rPr>
                  <w:rFonts w:ascii="Arial" w:cs="Arial" w:eastAsia="Arial" w:hAnsi="Arial"/>
                  <w:sz w:val="18"/>
                  <w:szCs w:val="18"/>
                  <w:color w:val="0000FF"/>
                </w:rPr>
                <w:t>56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tcBorders>
            <w:gridSpan w:val="2"/>
          </w:tcPr>
          <w:p>
            <w:pPr>
              <w:spacing w:after="0"/>
              <w:rPr>
                <w:rFonts w:ascii="Arial" w:cs="Arial" w:eastAsia="Arial" w:hAnsi="Arial"/>
                <w:sz w:val="18"/>
                <w:szCs w:val="18"/>
                <w:color w:val="0000FF"/>
                <w:w w:val="95"/>
              </w:rPr>
            </w:pPr>
            <w:hyperlink w:anchor="page60">
              <w:r>
                <w:rPr>
                  <w:rFonts w:ascii="Arial" w:cs="Arial" w:eastAsia="Arial" w:hAnsi="Arial"/>
                  <w:sz w:val="18"/>
                  <w:szCs w:val="18"/>
                  <w:color w:val="0000FF"/>
                  <w:w w:val="95"/>
                </w:rPr>
                <w:t>Item 13.</w:t>
              </w:r>
            </w:hyperlink>
          </w:p>
        </w:tc>
        <w:tc>
          <w:tcPr>
            <w:tcW w:w="720" w:type="dxa"/>
            <w:vAlign w:val="bottom"/>
          </w:tcPr>
          <w:p>
            <w:pPr>
              <w:spacing w:after="0"/>
              <w:rPr>
                <w:sz w:val="18"/>
                <w:szCs w:val="18"/>
                <w:color w:val="auto"/>
              </w:rPr>
            </w:pPr>
          </w:p>
        </w:tc>
        <w:tc>
          <w:tcPr>
            <w:tcW w:w="6060" w:type="dxa"/>
            <w:vAlign w:val="bottom"/>
            <w:tcBorders>
              <w:top w:val="single" w:sz="8" w:color="0000FF"/>
            </w:tcBorders>
            <w:gridSpan w:val="27"/>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Certain Relationships and Related Transactions, and Director Independence</w:t>
              </w:r>
            </w:hyperlink>
          </w:p>
        </w:tc>
        <w:tc>
          <w:tcPr>
            <w:tcW w:w="1920" w:type="dxa"/>
            <w:vAlign w:val="bottom"/>
            <w:tcBorders>
              <w:top w:val="single" w:sz="8" w:color="0000FF"/>
            </w:tcBorders>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61">
              <w:r>
                <w:rPr>
                  <w:rFonts w:ascii="Arial" w:cs="Arial" w:eastAsia="Arial" w:hAnsi="Arial"/>
                  <w:sz w:val="18"/>
                  <w:szCs w:val="18"/>
                  <w:color w:val="0000FF"/>
                  <w:w w:val="95"/>
                </w:rPr>
                <w:t>Item 14.</w:t>
              </w:r>
            </w:hyperlink>
          </w:p>
        </w:tc>
        <w:tc>
          <w:tcPr>
            <w:tcW w:w="720" w:type="dxa"/>
            <w:vAlign w:val="bottom"/>
          </w:tcPr>
          <w:p>
            <w:pPr>
              <w:spacing w:after="0"/>
              <w:rPr>
                <w:sz w:val="18"/>
                <w:szCs w:val="18"/>
                <w:color w:val="auto"/>
              </w:rPr>
            </w:pPr>
          </w:p>
        </w:tc>
        <w:tc>
          <w:tcPr>
            <w:tcW w:w="6060" w:type="dxa"/>
            <w:vAlign w:val="bottom"/>
            <w:gridSpan w:val="27"/>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Principal Accounting Fees and Services</w:t>
              </w:r>
            </w:hyperlink>
          </w:p>
        </w:tc>
        <w:tc>
          <w:tcPr>
            <w:tcW w:w="2700" w:type="dxa"/>
            <w:vAlign w:val="bottom"/>
            <w:gridSpan w:val="5"/>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61">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0000FF"/>
            </w:tcBorders>
            <w:gridSpan w:val="8"/>
          </w:tcPr>
          <w:p>
            <w:pPr>
              <w:jc w:val="center"/>
              <w:spacing w:after="0"/>
              <w:rPr>
                <w:rFonts w:ascii="Arial" w:cs="Arial" w:eastAsia="Arial" w:hAnsi="Arial"/>
                <w:sz w:val="18"/>
                <w:szCs w:val="18"/>
                <w:b w:val="1"/>
                <w:bCs w:val="1"/>
                <w:color w:val="0000FF"/>
                <w:w w:val="98"/>
              </w:rPr>
            </w:pPr>
            <w:hyperlink w:anchor="page61">
              <w:r>
                <w:rPr>
                  <w:rFonts w:ascii="Arial" w:cs="Arial" w:eastAsia="Arial" w:hAnsi="Arial"/>
                  <w:sz w:val="18"/>
                  <w:szCs w:val="18"/>
                  <w:b w:val="1"/>
                  <w:bCs w:val="1"/>
                  <w:color w:val="0000FF"/>
                  <w:w w:val="98"/>
                </w:rPr>
                <w:t>PART IV</w:t>
              </w:r>
            </w:hyperlink>
          </w:p>
        </w:tc>
        <w:tc>
          <w:tcPr>
            <w:tcW w:w="416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FF"/>
                <w:w w:val="95"/>
              </w:rPr>
            </w:pPr>
            <w:hyperlink w:anchor="page62">
              <w:r>
                <w:rPr>
                  <w:rFonts w:ascii="Arial" w:cs="Arial" w:eastAsia="Arial" w:hAnsi="Arial"/>
                  <w:sz w:val="18"/>
                  <w:szCs w:val="18"/>
                  <w:color w:val="0000FF"/>
                  <w:w w:val="95"/>
                </w:rPr>
                <w:t>Item 15.</w:t>
              </w:r>
            </w:hyperlink>
          </w:p>
        </w:tc>
        <w:tc>
          <w:tcPr>
            <w:tcW w:w="720" w:type="dxa"/>
            <w:vAlign w:val="bottom"/>
          </w:tcPr>
          <w:p>
            <w:pPr>
              <w:spacing w:after="0"/>
              <w:rPr>
                <w:sz w:val="24"/>
                <w:szCs w:val="24"/>
                <w:color w:val="auto"/>
              </w:rPr>
            </w:pPr>
          </w:p>
        </w:tc>
        <w:tc>
          <w:tcPr>
            <w:tcW w:w="8760" w:type="dxa"/>
            <w:vAlign w:val="bottom"/>
            <w:gridSpan w:val="32"/>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Exhibits, Financial Statement Schedules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62">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20" w:type="dxa"/>
            <w:vAlign w:val="bottom"/>
            <w:gridSpan w:val="1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Item 16.</w:t>
              </w:r>
            </w:hyperlink>
          </w:p>
        </w:tc>
        <w:tc>
          <w:tcPr>
            <w:tcW w:w="720" w:type="dxa"/>
            <w:vAlign w:val="bottom"/>
          </w:tcPr>
          <w:p>
            <w:pPr>
              <w:spacing w:after="0"/>
              <w:rPr>
                <w:sz w:val="18"/>
                <w:szCs w:val="18"/>
                <w:color w:val="auto"/>
              </w:rPr>
            </w:pPr>
          </w:p>
        </w:tc>
        <w:tc>
          <w:tcPr>
            <w:tcW w:w="3180" w:type="dxa"/>
            <w:vAlign w:val="bottom"/>
            <w:gridSpan w:val="13"/>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Form 10-K Summary</w:t>
              </w:r>
            </w:hyperlink>
          </w:p>
        </w:tc>
        <w:tc>
          <w:tcPr>
            <w:tcW w:w="5580" w:type="dxa"/>
            <w:vAlign w:val="bottom"/>
            <w:gridSpan w:val="19"/>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67">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5320" w:type="dxa"/>
            <w:vAlign w:val="bottom"/>
            <w:gridSpan w:val="1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3"/>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Signatures</w:t>
              </w:r>
            </w:hyperlink>
          </w:p>
        </w:tc>
        <w:tc>
          <w:tcPr>
            <w:tcW w:w="800" w:type="dxa"/>
            <w:vAlign w:val="bottom"/>
            <w:gridSpan w:val="4"/>
          </w:tcPr>
          <w:p>
            <w:pPr>
              <w:spacing w:after="0"/>
              <w:rPr>
                <w:sz w:val="18"/>
                <w:szCs w:val="18"/>
                <w:color w:val="auto"/>
              </w:rPr>
            </w:pPr>
          </w:p>
        </w:tc>
        <w:tc>
          <w:tcPr>
            <w:tcW w:w="7120" w:type="dxa"/>
            <w:vAlign w:val="bottom"/>
            <w:gridSpan w:val="25"/>
          </w:tcPr>
          <w:p>
            <w:pPr>
              <w:spacing w:after="0"/>
              <w:rPr>
                <w:sz w:val="18"/>
                <w:szCs w:val="18"/>
                <w:color w:val="auto"/>
              </w:rPr>
            </w:pPr>
          </w:p>
        </w:tc>
        <w:tc>
          <w:tcPr>
            <w:tcW w:w="1080" w:type="dxa"/>
            <w:vAlign w:val="bottom"/>
            <w:gridSpan w:val="5"/>
          </w:tcPr>
          <w:p>
            <w:pPr>
              <w:jc w:val="right"/>
              <w:ind w:right="40"/>
              <w:spacing w:after="0"/>
              <w:rPr>
                <w:rFonts w:ascii="Arial" w:cs="Arial" w:eastAsia="Arial" w:hAnsi="Arial"/>
                <w:sz w:val="18"/>
                <w:szCs w:val="18"/>
                <w:color w:val="0000FF"/>
              </w:rPr>
            </w:pPr>
            <w:hyperlink w:anchor="page67">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760" w:type="dxa"/>
            <w:vAlign w:val="bottom"/>
            <w:gridSpan w:val="32"/>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Index to Consolidated Financial Statements</w:t>
              </w:r>
            </w:hyperlink>
          </w:p>
        </w:tc>
        <w:tc>
          <w:tcPr>
            <w:tcW w:w="1080" w:type="dxa"/>
            <w:vAlign w:val="bottom"/>
            <w:gridSpan w:val="5"/>
          </w:tcPr>
          <w:p>
            <w:pPr>
              <w:jc w:val="right"/>
              <w:ind w:right="40"/>
              <w:spacing w:after="0"/>
              <w:rPr>
                <w:rFonts w:ascii="Arial" w:cs="Arial" w:eastAsia="Arial" w:hAnsi="Arial"/>
                <w:sz w:val="18"/>
                <w:szCs w:val="18"/>
                <w:color w:val="0000FF"/>
              </w:rPr>
            </w:pPr>
            <w:hyperlink w:anchor="page68">
              <w:r>
                <w:rPr>
                  <w:rFonts w:ascii="Arial" w:cs="Arial" w:eastAsia="Arial" w:hAnsi="Arial"/>
                  <w:sz w:val="18"/>
                  <w:szCs w:val="18"/>
                  <w:color w:val="0000FF"/>
                </w:rPr>
                <w:t>F-1</w:t>
              </w:r>
            </w:hyperlink>
          </w:p>
        </w:tc>
        <w:tc>
          <w:tcPr>
            <w:tcW w:w="0" w:type="dxa"/>
            <w:vAlign w:val="bottom"/>
          </w:tcPr>
          <w:p>
            <w:pPr>
              <w:spacing w:after="0"/>
              <w:rPr>
                <w:sz w:val="1"/>
                <w:szCs w:val="1"/>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10-K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9"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3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in Part I, Item 1A. Risk Factors and Item 7. Management’s Discussion and Analysis of Financial Condition and Results of Operations of this Form 10-K and those discussed in other documents we file with the Securities and Exchange Commission (“SEC”).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A substantial majority of the voting power of the shares of each of EchoStar Corporation and DISH is owned beneficially by Charles W. Ergen, our Chairman, and by certain entities established for the benefit of his family. Our Class A common stock is publicly traded on the NASDAQ Global Select Market (“NASDAQ”) under the symbol “SATS.”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broadband internet services for consumer customers, which include home and small to medium-sized businesses, satellite services and solutions for enterprise customers, which include aeronautical and government enterprises.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ongoing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our Hughes segment (“Hughes segment”) and our EchoStar Satellite Services segment (“ESS segment”). These segments are consistent with the way we make decisions regarding the allocation of resources, as well as how operating results are reviewed by our chief operating decision maker (“CODM”),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our Corporate and Other segment in our segment reporting.</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BSS Transaction, we and DISH Network agreed to indemnify each other against certain losses with respect to breaches of certain representations and covenants and certain retained and assumed liabilities, respectively. Refer to Note 19 in our Consolidated Financial Statements for further details on certain customary agreements entered into with DISH in relation to the BSS Transaction.</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all periods presented in our accompanying Consolidated Financial Statements and notes thereto in Item 15 of this Form 10-K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Note 5 in our Consolidated Financial Statements for further detail of our discontinued operations.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Consolidated Financial Statements have been prepared in accordance with generally accepted accounting principles in the United States (“U.S. GAAP”). All amounts reference results from continuing operations unless otherwise noted and are expressed in thousands of U.S. dollars, except share and per share amounts and unless otherwise noted. Additionally, certain prior period amounts have been adjusted to conform to the current period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Capitalize on domestic and international demand for broadband services</w:t>
      </w:r>
      <w:r>
        <w:rPr>
          <w:rFonts w:ascii="Arial" w:cs="Arial" w:eastAsia="Arial" w:hAnsi="Arial"/>
          <w:sz w:val="18"/>
          <w:szCs w:val="18"/>
          <w:color w:val="auto"/>
        </w:rPr>
        <w:t>. We intend to capitalize on the domestic and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for satellite-delivered broadband internet services and enterprise solutions by utilizing, among other things, our industry expertise, technology leadership with LEO and geosynchronous (“GEO”) satellite systems, increased satellite capacity, access to spectrum resources, licenses and high-quality, reliable service to drive growth in consumer subscribers and enterprise customers. In addition to satellite-based technology leadership, we continue to pursue opportunities utilizing and combining multi-transport technology solutions including 4G/LTE, 5G, fiber and cable.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Expand satellite capacity and related infrastructure. </w:t>
      </w:r>
      <w:r>
        <w:rPr>
          <w:rFonts w:ascii="Arial" w:cs="Arial" w:eastAsia="Arial" w:hAnsi="Arial"/>
          <w:sz w:val="18"/>
          <w:szCs w:val="18"/>
          <w:color w:val="auto"/>
        </w:rPr>
        <w:t>During 2021, we continued the design and construction of a new, next-generation,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throughput geostationary satellite, with an expected launch in the fourth quarter of 2022, that is primarily intended to provide additional capacity for our HughesNet satellite internet service (the “HughesNet service”) in North, Central and South America as well as enterprise services. We expect that our expertise in the identification, acquisition and development of satellite spectrum and orbital rights and satellite operations, together with our increased satellite capacity and existing, acquired or developed infrastructure, will continue to provide opportunities in domestic and international markets to enhance services to our existing and additional customers. We intend to continue to provide services to a broad customer base, including residential, providers of satellite-delivered broadband, corporate communications and government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Continue to selectively explore new domestic and international strategic initiatives</w:t>
      </w:r>
      <w:r>
        <w:rPr>
          <w:rFonts w:ascii="Arial" w:cs="Arial" w:eastAsia="Arial" w:hAnsi="Arial"/>
          <w:sz w:val="18"/>
          <w:szCs w:val="18"/>
          <w:color w:val="auto"/>
        </w:rPr>
        <w:t>. We intend to continue to selectively explore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to pursue investments, commercial alliances, partnerships, joint ventures, acquisitions, dispositions and other strategic initiatives and transactions, domestically and internationally, that we believe may allow us to increase our existing market share, expand into new markets, and acquire new customers through the use of multi-transport technologies, increase our satellite capacity, expand into new markets and new customers, broaden our portfolio of services, products and intellectual property and strengthen our relationships with our customers. For example, our joint venture with Al Yah Satellite Communications Company PrJSC (“Yahsat”) enables us to provide satellite broadband services across Africa, the Middle East and southwest Asia. Additionally, on January 4, 2022, we formed our joint venture with Bharti Airtel Limited (“BAL”) and its subsidiary, Bharti Airtel Services Limited (together with BAL, “Bharti”), which will enable us to combine the very small aperture terminal (“VSAT”) businesses of both companies to offer flexible and scalable enterprise networking solutions in India using satellite connectivity for primary transport, back-up and hybrid network implementation.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Continue development of S-band and other hybrid spectrum resources. </w:t>
      </w:r>
      <w:r>
        <w:rPr>
          <w:rFonts w:ascii="Arial" w:cs="Arial" w:eastAsia="Arial" w:hAnsi="Arial"/>
          <w:sz w:val="18"/>
          <w:szCs w:val="18"/>
          <w:color w:val="auto"/>
        </w:rPr>
        <w:t>We believe we remain in a unique position to develop a hybrid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 satellite service (“MSS”) and complementary ground component (“CGC”) network. We have positioned ourselves to continue to develop the S-band spectrum globally by acquiring Sirion Global Pty Ltd., which we have renamed EchoStar Global Australia Pty Ltd (“EchoStar Global”), which holds global S-band non-geostationary satellite spectrum rights for MSS. Our third nano-satellite, launched in the second quarter of 2021, was successfully commissioned and placed at the altitude prescribed in our Australian license for the S-band frequency. We have completed the process of fulfilling the remaining requirements under the International Telecommunication Union (“ITU”) Radio Regulations of bringing the Australian filing into use. The nano-satellite will now be used to develop and test a wide range of potential S-band applications and services. We also hold licenses for S-band MSS and terrestrial services in Mexico.</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Develop improved and new technologies</w:t>
      </w:r>
      <w:r>
        <w:rPr>
          <w:rFonts w:ascii="Arial" w:cs="Arial" w:eastAsia="Arial" w:hAnsi="Arial"/>
          <w:sz w:val="18"/>
          <w:szCs w:val="18"/>
          <w:color w:val="auto"/>
        </w:rPr>
        <w:t>. Our engineering capabilities provide us with the opportunity to develop and deploy cutting 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license our technologies to others and maintain a leading technological position in the industries in which we are active.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is an industry leader in both networking technologies and services, innovating to deliver the global solutions that power a connected future for people, enterprises and things everywhere. 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Hughes segment incorporates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continues to focus our efforts on optimizing financial returns of our existing satellites while planning for new satellite capacity to be launched, leased or acquired. In addition, we are also pursuing wireline and wireless capacity to utilize in markets that include residential, community WiFi, backhaul, and other enterprise broadband and multi-transport services.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both our enterprise and consumer businesses rely heavily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on global economic conditions and the competitive landscape for pricing relative to competitors and alternative technologies.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currently uses capacity from our owned and leased satellites, including additional satellite capacity leased from third-party providers to provide services to our customers. We also use other multi-transport capacity that includes cable, fiber, 5G, and 4G/LTE. Growth of our consumer subscriber base in the U.S. continues to be constrained where we are nearing or have reached maximum capacity in most areas. Our Latin America consumer subscriber base in certain areas has also become capacity constrained. These constraints are not expected to be resolved until we acquire additional capacity.</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2019, we entered into an agreement with Yahsat pursuant to which, in November 2019, Yahsat contributed its satellite communications services business in Brazil to one of our Brazilian subsidiaries in exchange for a 20% ownership interest in that subsidiary.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2019, we entered into an agreement with Bharti, pursuant to which Bharti will contribute its VSAT telecommunications services and hardware business in India to our two existing Indian subsidiaries that conduct our VSAT services and hardware business. On January 4, 2022, the formation of this joint venture was announced, with Bharti obtaining a 33% ownership interest in the combined business. The joint venture combines the VSAT businesses of both companies to offer flexible and scalable enterprise networking solutions using satellite connectivity for primary transport, back-up and hybrid implementation.</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service in North, Central and South America as well as enterprise broadband services. The EchoStar XXIV satellite is expected to be launched in the fourth quarter of 2022. Further delays or impediments could have a material adverse impact on our business operations, future revenues, financial position and prospects, the completion of manufacture of the EchoStar XXIV 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Corporate and Other segment in our segment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enterprise customers include, but are not limited to, lottery agencies, gas station operators, aircraft connectivity providers and companies with multi-branch networks that rely on satellite or terrestrial networks for critical communication across wide geographies. Most of our enterprise customers have contracts with us for the services they purchase. Our Hughes segment also designs, provides and installs gateway and terminal equipment to customers for other satellite systems and provides satellite ground segment systems and terminals for other satellite systems, including mobile system operators. Developments toward the launch of next-generation satellite systems, including LEO, MEO and geostationary systems, as well as other multi-transport technologies, could provide additional opportunities to drive the demand for our equipment, hardware, technology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Hughes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cable, and wireless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internet service providers offering competitive services in the markets we seek to serve. Cost, speed and accessibility are key determining factors in the selection of a service provider by the consumer. In addition, government subsidies, such as the Federal Communication Commission’s (“FCC”) Rural Development Opportunity Fund can have the effect of subsidizing the growth of our wired, wireless and satellite competitors. Our primary satellite competitor in our North American consumer market is ViaSat Communications, Inc., which is owned by ViaSat, Inc. (“ViaSat”). ViaSat has also announced plans to enter the South and Central American consumer markets. Starlink has begun offering competing services in the markets we serve and it may become a significant competitor in the future. We seek to differentiate ourselves based on the ubiquitous availability of our service, quality, proprietary technology, and distribution channels.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our enterprise markets, we compete against providers of satellite-based and terrestrial-based networks, including fiber, cable, wireless internet service, multiprotocol label switching and internet protocol-based virtual private networks.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competitors for the supply of very-small-aperture terminal satellite networks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products in our Hughes segment are assembled at our facilities in Maryland and we outsource a significant portion of the manufacturing of our products to third parties. We believe that the manufacturing facilities used by our Hughes segment have sufficient capacity to handle current demand. We adjust our capacity based on our production requirements. We also work with third-party vendors for the development and manufacture of components that are integrated into our products. We develop dual sourcing capabilities for critical parts when practical and we evaluate outsourced subcontract vendors on a periodic basis. Our operations group, together with our engineering group, works with our vendors and subcontractors to reduce development costs, to increase production efficiency, and to obtain components at lower prices.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satellite capacity is currently used by our customers for a variety of applications, including:</w:t>
      </w:r>
    </w:p>
    <w:p>
      <w:pPr>
        <w:spacing w:after="0" w:line="9" w:lineRule="exact"/>
        <w:rPr>
          <w:sz w:val="20"/>
          <w:szCs w:val="20"/>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Fixed Satellite Services (“FSS”)</w:t>
      </w:r>
      <w:r>
        <w:rPr>
          <w:rFonts w:ascii="Arial" w:cs="Arial" w:eastAsia="Arial" w:hAnsi="Arial"/>
          <w:sz w:val="18"/>
          <w:szCs w:val="18"/>
          <w:color w:val="auto"/>
        </w:rPr>
        <w:t>. We provide satellite services to broadcast news organizations, internet service providers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providers who use our satellites to deliver programming and internet. Our satellites are also used for the transmission of live sporting events, internet access, disaster recovery and satellite news gathering services.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Services</w:t>
      </w:r>
      <w:r>
        <w:rPr>
          <w:rFonts w:ascii="Arial" w:cs="Arial" w:eastAsia="Arial" w:hAnsi="Arial"/>
          <w:sz w:val="18"/>
          <w:szCs w:val="18"/>
          <w:color w:val="auto"/>
        </w:rPr>
        <w:t>. We provide satellite and technical services to U.S. government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Network Services</w:t>
      </w:r>
      <w:r>
        <w:rPr>
          <w:rFonts w:ascii="Arial" w:cs="Arial" w:eastAsia="Arial" w:hAnsi="Arial"/>
          <w:sz w:val="18"/>
          <w:szCs w:val="18"/>
          <w:color w:val="auto"/>
        </w:rPr>
        <w:t>. We provide satellite services to companies for private networks that allow delivery of video and data services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communications. Our satellites can be used for point-to-point or point to multi-point communications.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ESS segment competes against larger, well-established satellite service companies, such as Intelsat S.A., SES S.A., Telesat and Eutelsat Communications S.A., in an industry that is characterized by long-term contracts and high costs for customers to change service providers. Several of our competitors maintain key North American and other international orbital slots that may further limit our ability to compete and offer competitive pricing.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 FLEET</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our satellite fleet consisted of ten GEO satellites, seven of which are owned and three of which are leased. They are all in geosynchronous orbit, approximately 22,300 miles above the equator. Our owned S-band LEO nano-satellites are not included in the table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December 31,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Nominal Degree</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Depreciable Life</w:t>
            </w:r>
          </w:p>
        </w:tc>
        <w:tc>
          <w:tcPr>
            <w:tcW w:w="0" w:type="dxa"/>
            <w:vAlign w:val="bottom"/>
          </w:tcPr>
          <w:p>
            <w:pPr>
              <w:spacing w:after="0"/>
              <w:rPr>
                <w:sz w:val="1"/>
                <w:szCs w:val="1"/>
                <w:color w:val="auto"/>
              </w:rPr>
            </w:pPr>
          </w:p>
        </w:tc>
      </w:tr>
      <w:tr>
        <w:trPr>
          <w:trHeight w:val="175"/>
        </w:trPr>
        <w:tc>
          <w:tcPr>
            <w:tcW w:w="3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(Longitude)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95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107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rPr>
              <w:t>97.1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20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 (4)</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121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(5)</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10 E</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10.25 E</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65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63 W</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105 W</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41" w:lineRule="auto"/>
        <w:tabs>
          <w:tab w:leader="none" w:pos="476"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(“Hughes Communications”) and its subsidiaries (the “Hughes Acquisition”).</w:t>
      </w:r>
    </w:p>
    <w:p>
      <w:pPr>
        <w:ind w:left="340" w:hanging="332"/>
        <w:spacing w:after="0" w:line="241" w:lineRule="auto"/>
        <w:tabs>
          <w:tab w:leader="none" w:pos="232"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72" w:val="left"/>
        </w:tabs>
        <w:numPr>
          <w:ilvl w:val="0"/>
          <w:numId w:val="5"/>
        </w:numPr>
        <w:rPr>
          <w:rFonts w:ascii="Arial" w:cs="Arial" w:eastAsia="Arial" w:hAnsi="Arial"/>
          <w:sz w:val="14"/>
          <w:szCs w:val="14"/>
          <w:color w:val="auto"/>
        </w:rPr>
      </w:pPr>
      <w:r>
        <w:rPr>
          <w:rFonts w:ascii="Arial" w:cs="Arial" w:eastAsia="Arial" w:hAnsi="Arial"/>
          <w:sz w:val="14"/>
          <w:szCs w:val="14"/>
          <w:color w:val="auto"/>
        </w:rPr>
        <w:t>EchoStar IX is approaching its end of station-kept life. The Company expects to place the satellite in an inclined-orbit in the fourth quarter of 2022 or first quarter of 2023, but this ability is dependent upon events beyond our control and may not occur on schedule if at all. Inclined-orbit will extend its life but impact revenue generating capabilities.</w:t>
      </w:r>
    </w:p>
    <w:p>
      <w:pPr>
        <w:spacing w:after="0" w:line="159" w:lineRule="exact"/>
        <w:rPr>
          <w:rFonts w:ascii="Arial" w:cs="Arial" w:eastAsia="Arial" w:hAnsi="Arial"/>
          <w:sz w:val="14"/>
          <w:szCs w:val="14"/>
          <w:color w:val="auto"/>
        </w:rPr>
      </w:pPr>
    </w:p>
    <w:p>
      <w:pPr>
        <w:ind w:left="340" w:right="20" w:hanging="332"/>
        <w:spacing w:after="0" w:line="258" w:lineRule="auto"/>
        <w:tabs>
          <w:tab w:leader="none" w:pos="40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EchoStar XXIV satellite is included in construction in progress as of December 31, 2021. The satellite is expected to be launched in the fourth quarter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2021.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Our satellites and other payloads, either in orbit or under construction, are not covered by launch or in-orbit insurance. We will continue to assess circumstances going forward and make insurance-related decisions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subject to telecommunications regulation by a number of regulatory bodies including the FCC, other U.S. federal and state regulators, the ITU and regulators in other countries and regions where we hold licenses including the E.U., the U.K., India, Australia and several Latin American countries. In addition, we are also subject to the export control laws and regulations and trade sanctions laws and regulations of the U.S. and other countries with respect to the export of telecommunications equipment and services. In addition, in the U.S. and some other countries we are subject to country specific approvals of our products. Depending upon the circumstances, non-compliance with applicable legislation or regulations could result in suspension or revocation of our licenses or authorizations, the termination or loss of contracts or the imposition of contractual damages, civil fines or criminal penalties.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summary of regulations and legislation is not intended to describe all present and proposed government regulation and legislation affecting our business. Government regulations that are currently the subject of judicial or administrative proceedings, draft legislation or administrative proposals could impact us and our industries to varying degrees. The FCC and other regulators from time to time initiate proceedings that could adversely impact our satellite operations, including spectrum usage. We cannot predict either the outcome of these proceedings or proposals or any potential impact they might have on the industry or on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Regulations Applicable to Our Operations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FCC Jurisdiction over Satellite and Terrestrial Operations</w:t>
      </w:r>
      <w:r>
        <w:rPr>
          <w:rFonts w:ascii="Arial" w:cs="Arial" w:eastAsia="Arial" w:hAnsi="Arial"/>
          <w:sz w:val="18"/>
          <w:szCs w:val="18"/>
          <w:color w:val="auto"/>
        </w:rPr>
        <w:t>. Non-governmental bodies, including commercial entities, that use radio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frequencies to provide communications services to, from or within the U.S. are subject to the jurisdiction of the FCC under the Communications Act of 1934, as amended (the “Communications Act”). The Communications Act gives the FCC regulatory jurisdiction over many areas relating to communications operations, including:</w:t>
      </w:r>
    </w:p>
    <w:p>
      <w:pPr>
        <w:spacing w:after="0" w:line="198"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assignment of satellite radio frequencies and orbital locations to specific services and companies, the licensing of satellites and earth stations and the granting of related authorizations;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ensuring compliance with the terms and conditions of assignments, licenses, authorizations and approvals;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avoiding harmful interference with other radio frequency emitters;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ensuring compliance with other applicable provisions of the Communications Act and FCC rules and regulations.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satellite licenses issued by the FCC are subject to expiration unless extended by the FCC. Our U.S. FSS licenses generally have 15 year terms. We hold licenses and authorizations for satellite and earth stations as well as other services. To obtain and operate under such FCC licenses and authorizations, we must satisfy legal, technical qualification requirements and other conditions including, among other things, satisfaction of certain technical and ongoing due diligence obligations, maintaining bonds, payment of annual regulatory fees and various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Telecommunications Regulation. </w:t>
      </w:r>
      <w:r>
        <w:rPr>
          <w:rFonts w:ascii="Arial" w:cs="Arial" w:eastAsia="Arial" w:hAnsi="Arial"/>
          <w:sz w:val="18"/>
          <w:szCs w:val="18"/>
          <w:color w:val="auto"/>
        </w:rPr>
        <w:t>Many of the services we provide are also subject to FCC regulation as telecommunications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certain services in the U.S., we are required to contribute fees, computed as a percentage of our revenue from telecommunications services to the Universal Service Fund (“USF”) to support mechanisms that subsidize the provision of services to low-income consumers, high-cost areas, schools, libraries and rural health care providers. Current FCC rules permit us to pass this USF contribution through to our customers. The FCC also requires broadband internet access and internet telephony service providers to comply with the requirements of the Federal Communications Assistance for Law Enforcement Act, which generally requires telecommunications carriers to ensure that law enforcement agencies are able to conduct lawfully-authorized surveillance of users of their services. In addition, as a provider of interconnected voice over internet protocol services, we are required to abide by a number of rules related to telephony service, including rules dealing with the protection of customer information and the processing of emergency calls.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regulated by state and local authorities. While the FCC has preempted many state and local regulations that would impair the installation and use of very-small-aperture terminals and other consumer satellite dishes, our businesses nonetheless are subject to state and local regulation, including, among others, obtaining regulatory authorizations and zoning regulations that affect the ability to install these consumer satellite earth station antennas. In addition, in order to obtain universal service funding, we are subject to being an eligible telecommunications carrier in certain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Foreign Administrations’ Jurisdiction Over Satellite and Terrestrial Operations</w:t>
      </w:r>
      <w:r>
        <w:rPr>
          <w:rFonts w:ascii="Arial" w:cs="Arial" w:eastAsia="Arial" w:hAnsi="Arial"/>
          <w:sz w:val="18"/>
          <w:szCs w:val="18"/>
          <w:color w:val="auto"/>
        </w:rPr>
        <w:t>. Some of our satellites and earth stations are licensed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foreign jurisdictions. We also have terrestrial authorizations in foreign jurisdictions. In order to provide service to a foreign location from our satellites, we are required to obtain approvals from the FCC and foreign administrative agencies. The laws and regulations addressing access to satellite and terrestrial systems vary from country to country. In most countries, a license is required to provide our services and to operate satellite systems and earth stations. Such licenses may impose certain conditions, including implementation and operation of the satellite system in a manner consistent with certain milestones (such as for contracting, satellite design, construction, launch and implementation of service), that the satellite or its launch be procured through a national entity, that the satellite control center be located in national territory, that a license be obtained prior to launching or operating the satellite, or that a license be obtained before interconnecting with the local switched telephone network and we may be subject to penalties or fines for failing to meet such conditions. Additionally, some countries may have restrictions on the services we provide and how we provide them and/or may limit the rates that can be charged for the services we provide or impose other service terms or restrictions. Furthermore, foreign countries in which we currently, or may in the future, operate may not authorize us access to all of the spectrum that we need to provide service in a particular country.</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The ITU Frequency and Orbital Location Registration. </w:t>
      </w:r>
      <w:r>
        <w:rPr>
          <w:rFonts w:ascii="Arial" w:cs="Arial" w:eastAsia="Arial" w:hAnsi="Arial"/>
          <w:sz w:val="18"/>
          <w:szCs w:val="18"/>
          <w:color w:val="auto"/>
        </w:rPr>
        <w:t>The orbital location and frequencies for our satellites are subject to the frequency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and coordination process of the ITU. The ITU Radio Regulations define the international rules, regulations and rights for a satellite and associated earth stations to use specific radio frequencies at a specific orbital location. These rules, which include deadlines for the bringing of satellite networks into use, differ depending on the type of service to be provided and the frequencies to be used by the satellite. On our behalf, various countries have made and may in the future make, additional filings for the frequency assignments at particular orbital locations that are used or to be used by our current satellite networks and potential future satellite networks we may build or acquire. In the event the international coordination process that is triggered by ITU filings under applicable rules is not successfully completed, or that the requests for modification of the broadcast satellite services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We cannot be sure of the successful outcome of these ITU coordination processes. We make commercially reasonable efforts to cooperate with the filing nation in the preparation of ITU filings, coordination of our operations in accordance with the relevant ITU Radio Regulations and responses to relevant ITU inquiries.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Registration in the United Nations (“UN”) Registry of Space Objects. </w:t>
      </w:r>
      <w:r>
        <w:rPr>
          <w:rFonts w:ascii="Arial" w:cs="Arial" w:eastAsia="Arial" w:hAnsi="Arial"/>
          <w:sz w:val="18"/>
          <w:szCs w:val="18"/>
          <w:color w:val="auto"/>
        </w:rPr>
        <w:t>The U.S. and other jurisdictions in which we license satellites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parties to the UN Convention on the Registration of Objects Launched into Outer Space, which requires a satellite’s launching state to register the satellite as a space object. The act of registration carries liability for the registering country in the event that the satellite causes third party damage. Administrations may place certain requirements on satellite licensees in order to procure the necessary launch or operational authorizations that accompany registration of the satellite. In some jurisdictions, these authorizations are separate and distinct, with unique requirements, from the authorization to use a set of frequencies to provide satellite services.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Telecommunications Regulation. </w:t>
      </w:r>
      <w:r>
        <w:rPr>
          <w:rFonts w:ascii="Arial" w:cs="Arial" w:eastAsia="Arial" w:hAnsi="Arial"/>
          <w:sz w:val="18"/>
          <w:szCs w:val="18"/>
          <w:color w:val="auto"/>
        </w:rPr>
        <w:t>Many of the services we provide are also subject to the regulation of other countries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services. For certain services, we may be required to contribute fees to a universal service or other fund to support mechanisms that subsidize the provision of services to designated groups. Many countries also impose requirements on telecommunications carriers to ensure that law enforcement agencies are able to conduct lawfully-authorized surveillance of users of their services. In addition, we are subject to a number of other rules, including rules related to telephony service such as the protection of customer information and processing of emergency calls.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Control Regulation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operation of our business, we must comply with all applicable export control and trade sanctions laws and regulations of the U.S. and other countries. Applicable U.S. laws and regulations include the Arms Export Control Act, the International Traffic in Arms Regulations (“ITAR”), the Export Administration Regulations (“EAR”) and the trade sanctions laws and regulations administered by the U.S. Department of the Treasury’s Office of Foreign Assets Control (“OFAC”).</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export of certain hardware, technical data, and services relating to satellites and the supply of certain ground control equipment, technical data and services to non-U.S. persons or to destinations outside the U.S. is regulated by the U.S. Department of Commerce’s Bureau of Industry and Security (“BIS”) under the EAR. In addition, BIS regulates our export of satellite communications network equipment to non-U.S. persons or to destinations outside of the U.S. The export of other items is regulated by the U.S. Department of State’s Directorate of Defense Trade Controls (“DDTC”) under the ITAR and are subject to strict export control and prior approval requirements. In addition, we cannot provide certain equipment or services to certain countries subject to U.S. trade sanctions unless we first obtain the necessary authorizations from OFAC. We are also subject to the Foreign Corrupt Practices Act and similar anti-bribery laws in other jurisdictions that generally prohibit companies and their intermediaries from making improper payments or giving or promising to give anything of value to foreign government officials and other individuals for the purpose of obtaining or retaining business or gaining a competitive advantage.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requirements of federal, state, local and foreign environmental and occupational safety and health laws and regulations. These include laws regulating air emissions, waste-water discharge and waste management, most significantly the Resource Conservation and Recovery Act and the Emergency Planning and Community Right-to-Know Act (“EPCRA”). Under the Resource Conservation and Recovery Act, our Hughes segment is considered a small quantity generator.</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by the EPCRA, we file annual reports with regulatory agencies covering four areas: Emergency Planning, Emergency Release, Hazardous Chemical Storage and Toxic Chemical Release Inventory. We maintain small quantities of hazardous materials on our premises and, therefore, have relatively modest reporting requirements under the EPCRA. We are also subject to the requirements of other environmental and occupational safety and health laws and regulations. Additionally, we review the Superfund Amendments and Reauthorization Act Title III regulatory requirements and annually report quantities of onsite material storage using Tier II, state DEQ (Department of Environmental Quality) reporting systems.</w:t>
      </w:r>
    </w:p>
    <w:p>
      <w:pPr>
        <w:spacing w:after="0" w:line="20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environmental compliance costs, capital and other expenditures to date have not been material, and we do not expect them to be material in 2021. However, environmental requirements are complex, change frequently and have become more stringent over time. Accordingly, we cannot provide assurance that these requirements will not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change or become more stringent in the future in a manner that could have a material adverse effect on our business and/or environmental compliance costs, capital or other expenditures.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rely on a combination of patent, trade secret, copyright and trademark law, together with licenses, non-disclosure and confidentiality agreements and technical measures, to establish and protect proprietary rights in our products. We hold U.S. and foreign patents covering various aspects of our products and services. The duration of each of our U.S. patents is generally 20 years from the earliest filing date to which the patent has priority. We have granted licenses to use our trademarks and service-marks to affiliates and resellers worldwide, and we typically retain the right to monitor the use of those marks and impose significant restrictions on their use in efforts to ensure a consistent brand identity. We protect our proprietary rights in our software through software licenses that, among other things, require that the software source code be maintained as confidential information and that prohibit any reverse-engineering of that code.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patents are important to our business. We also believe that, in some areas, the improvement of existing products and the development of new products, as well as reliance upon trade secrets and unpatented proprietary know-how, are important in establishing and maintaining a competitive advantage. We believe, to a certain extent, that the value of our products and services are dependent upon our proprietary software, hardware and other technology remaining trade secrets and/or subject to copyright protection. Generally, we enter into non-disclosure and invention assignment agreements with our employees, subcontractors and certain customers and other business partners. Please see Item 3. Legal Proceedings of this Form 10-K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ENGINEERING</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 skilled and multi-disciplined engineering organization that develops our products and services. Our in-house technological capability includes a wide range of skills required to develop systems, hardware, software and firmware used in our products and services.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hardware development, we have skill sets that include complex digital designs, radio frequency and intermediate frequency analog designs, advanced application-specific integrated circuit designs and sophisticated consumer and system level packaging designs. We also have extensive experience in developing products for high-volume, low-cost manufacturing for the consumer industry, including dual mode satellite and wireless handsets.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complement to our hardware development, we have extensive experience in designing reliable, real time, embedded software systems as part of our communication systems and services offerings. For example, our broadband product line for the enterprise market supports an extensive range of protocols for data communications. Our engineers have also developed many large turnkey systems for our customers by designing the overall solution, implementing the various subsystems, deploying the entire network and user terminals, integrating and verifying the operational system and ultimately training the customers’ technicians and operators.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Costs incurred in research and development activities are generally expensed as incurred. A significant portion of our research and development costs are incurred in connection with the specific requirements of a customer’s order. In such instances, the amounts for these customer funded development efforts are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 in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DATA AND TRANSACTIONS WITH MAJOR CUSTOMERS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principal geographic area data and transactions with major customers for 2021, 2020 and 2019, see Note 22 in our Consolidated Financial Statements. See Item 1A. Risk Factors for information regarding risks related to our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Human Capital</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we had approximately 2,500 employees globally; of which approximately 1,900 were located in the U.S. and 600 internationally. We generally consider relations with our employees to be good. Other than approximately 200 of our employees located in Italy and Brazil, none are represented by a union. Our mission is to be a global connectivity provider for people, enterprises and things.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Training and Development</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robust ongoing training and development program to enable employees to further refine and develop their skills. These training and development programs include technical programs meant to keep our employees abreast of the latest developments in our industry as well as courses to assist employees in developing their business communications and management skills.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Worker Health and Safety</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commitment is to provide a safe, healthy and reliable workplace. We provide access to a variety of innovative, flexible, and convenient health and wellness programs. Due to the COVID-19 pandemic, we have a taken a number of steps to prioritize health and safety of our employees including but not limited to: limiting visitor site access to business-essential purposes; introducing screening checks at certain sites where needed and mandated; and enabling employees to work from home as required or appropriate. Out of an abundance of caution for the health of our employees and to support local government initiatives to stem the spread of the virus, we implemented several precautions at various sites around the world at all times in compliance with local government requirements and Centers for Disease Control and Prevention (CDC) guidelines. For the employees coming in to the physical offices, we implemented enhanced safety and security procedures in accordance with state, local, federal and CDC recommendations.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and accordingly file an annual report on Form 10-K, quarterly reports on Form 10-Q, current reports on Form 8-K, proxy statements and other information with the SEC. Our public filings are maintained on the SEC’s internet site at http://www.sec.gov, which contains reports, proxy and information statements and other information regarding issuers that file electronically with the SEC.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Form 10-K, quarterly reports on Form 10-Q, current reports on Form 8-K and amendments to those reports filed or furnished pursuant to Section 13(a) or 15(d) of the Securities Exchange Act of 1934, as amended, may also be accessed free of charge through our website at http://www.echostar.com as soon as reasonably practicable after we have electronically filed such material with, or furnished it to, the SEC.</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adopted a written code of ethics that applies to all of our directors, officers and employees, including our principal executive officer, principal financial officer, principal accounting officer and controller, in accordance with the Sarbanes-Oxley Act of 2002 and the rules of the SEC promulgated thereunder. Our code of ethics is available on our corporate website at http://www.echostar.com. In the event that we make changes in, or provide waivers of, the provisions of this code of ethics that the SEC requires us to disclose, we intend to disclose these events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Furnished in accordance with Item 401(b) of Regulation S-K, pursuant to General Instruction G(3) of Form 10-K.</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and information below sets forth the name, age and position with EchoStar of each of our executive officers, the period during which each executive officer has served as such and each executive officer’s business experience during at least the past five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20" w:type="dxa"/>
            <w:vAlign w:val="bottom"/>
            <w:tcBorders>
              <w:bottom w:val="single" w:sz="8" w:color="CCEEFF"/>
            </w:tcBorders>
          </w:tcPr>
          <w:p>
            <w:pPr>
              <w:spacing w:after="0"/>
              <w:rPr>
                <w:sz w:val="20"/>
                <w:szCs w:val="20"/>
                <w:color w:val="auto"/>
              </w:rPr>
            </w:pPr>
          </w:p>
        </w:tc>
        <w:tc>
          <w:tcPr>
            <w:tcW w:w="664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Charles W. Ergen</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w:t>
            </w: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Michael T. Dugan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73</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188"/>
        </w:trPr>
        <w:tc>
          <w:tcPr>
            <w:tcW w:w="2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David J. Rayner</w:t>
            </w: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64</w:t>
            </w:r>
          </w:p>
        </w:tc>
        <w:tc>
          <w:tcPr>
            <w:tcW w:w="120" w:type="dxa"/>
            <w:vAlign w:val="bottom"/>
            <w:shd w:val="clear" w:color="auto" w:fill="CCEEFF"/>
          </w:tcPr>
          <w:p>
            <w:pPr>
              <w:spacing w:after="0"/>
              <w:rPr>
                <w:sz w:val="16"/>
                <w:szCs w:val="16"/>
                <w:color w:val="auto"/>
              </w:rPr>
            </w:pPr>
          </w:p>
        </w:tc>
        <w:tc>
          <w:tcPr>
            <w:tcW w:w="6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 Officer and</w:t>
            </w:r>
          </w:p>
        </w:tc>
      </w:tr>
      <w:tr>
        <w:trPr>
          <w:trHeight w:val="217"/>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Treasurer</w:t>
            </w:r>
          </w:p>
        </w:tc>
      </w:tr>
      <w:tr>
        <w:trPr>
          <w:trHeight w:val="229"/>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Anders N. Johnson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Chief Strategy Officer and President, EchoStar Satellite Services L.L.C.</w:t>
            </w:r>
          </w:p>
        </w:tc>
      </w:tr>
      <w:tr>
        <w:trPr>
          <w:trHeight w:val="22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Pradman P. Kaul</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w:t>
            </w:r>
          </w:p>
        </w:tc>
        <w:tc>
          <w:tcPr>
            <w:tcW w:w="120" w:type="dxa"/>
            <w:vAlign w:val="bottom"/>
            <w:shd w:val="clear" w:color="auto" w:fill="CCEEFF"/>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Hughes Communications and Director</w:t>
            </w: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Dean A. Manson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Charles W. Ergen. </w:t>
      </w:r>
      <w:r>
        <w:rPr>
          <w:rFonts w:ascii="Arial" w:cs="Arial" w:eastAsia="Arial" w:hAnsi="Arial"/>
          <w:sz w:val="18"/>
          <w:szCs w:val="18"/>
          <w:color w:val="auto"/>
        </w:rPr>
        <w:t>Mr. Ergen has served as our executive Chairman since November 2009 and Chairman of the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formation in 2007. Mr. Ergen served as our Chief Executive Officer from our formation in 2007 until November 2009. Mr. Ergen serves as executive Chairman and has been Chairman of the Board of Directors of DISH since its formation and, during the past five years, has held executive officer and director positions with DISH Network, most recently serving as the Chief Executive Officer of DISH from March 2015 to December 2017.</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Michael T. Dugan</w:t>
      </w:r>
      <w:r>
        <w:rPr>
          <w:rFonts w:ascii="Arial" w:cs="Arial" w:eastAsia="Arial" w:hAnsi="Arial"/>
          <w:sz w:val="18"/>
          <w:szCs w:val="18"/>
          <w:color w:val="auto"/>
        </w:rPr>
        <w:t>. Mr. Dugan has served as our Chief Executive Officer and President since November 2009. Mr. Dugan has also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member of our Board of Directors since our formation in 2007. Mr. Dugan served as a senior advisor to EchoStar from January 1, 2008 until November 2009. From May 2004 to December 2007, he was a director of DISH and, from 1990 to 2006, he served in several executive roles at DISH Network, including as President, Chief Operating Officer, Chief Technical Officer and senior advisor.</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David J. Rayner</w:t>
      </w:r>
      <w:r>
        <w:rPr>
          <w:rFonts w:ascii="Arial" w:cs="Arial" w:eastAsia="Arial" w:hAnsi="Arial"/>
          <w:sz w:val="18"/>
          <w:szCs w:val="18"/>
          <w:color w:val="auto"/>
        </w:rPr>
        <w:t>. Mr. Rayner has served as our Executive Vice President, Chief Financial Officer and Treasurer since December 2012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Chief Operating Officer since September 2016. From November 2011 to November 2012, Mr. Rayner served as Chief Financial Officer of Tendril Networks, Inc., a Boulder, Colorado software company. Mr. Rayner served as our Chief Financial Officer from June 2010 to November 2011 and served as our Chief Administrative Officer from January 2008 to June 2010. Prior to that, Mr. Rayner served as Executive Vice President of Installation and Service Networks of DISH and previously as Chief Financial Officer of DISH. Before joining DISH in December 2004, Mr. Rayner served as Senior Vice President and Chief Financial Officer of Time Warner Telecom in Denver, beginning in June 1998.</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Anders N. Johnson</w:t>
      </w:r>
      <w:r>
        <w:rPr>
          <w:rFonts w:ascii="Arial" w:cs="Arial" w:eastAsia="Arial" w:hAnsi="Arial"/>
          <w:sz w:val="18"/>
          <w:szCs w:val="18"/>
          <w:color w:val="auto"/>
        </w:rPr>
        <w:t>. Mr. Johnson has served as President of EchoStar Satellite Services L.L.C. since June 2011 and as our Chief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September 2016. Before joining EchoStar, Mr. Johnson was most recently at SES World Skies where he served as Senior Vice President of Strategic Satellite Development. Mr. Johnson joined SES GLOBAL after the combination of GE Americom and SES GLOBAL in 2001. Prior to SES GLOBAL, Mr. Johnson worked at GE Capital beginning in 1985 in a variety of executive level roles in Satellite Services, Aviation Services and Transportation &amp; Industrial Financing.</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Pradman P. Kaul</w:t>
      </w:r>
      <w:r>
        <w:rPr>
          <w:rFonts w:ascii="Arial" w:cs="Arial" w:eastAsia="Arial" w:hAnsi="Arial"/>
          <w:sz w:val="18"/>
          <w:szCs w:val="18"/>
          <w:color w:val="auto"/>
        </w:rPr>
        <w:t>. Mr. Kaul has served as President of Hughes Communications since its formation in February 2006 and as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Hughes Network Systems, LLC, a wholly owned subsidiary of Hughes Communications (and together with Hughes Communications, “Hughes”) since 2000. Mr. Kaul has also served as a member of our Board of Directors since August 2011 as well as a member of the board of directors of Hughes Communications from February 2006 until June 2011. Previously, Mr. Kaul served as the Chief Operating Officer, Executive Vice President and Director of Engineering of Hughes Network Systems,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Dean A. Manson</w:t>
      </w:r>
      <w:r>
        <w:rPr>
          <w:rFonts w:ascii="Arial" w:cs="Arial" w:eastAsia="Arial" w:hAnsi="Arial"/>
          <w:sz w:val="18"/>
          <w:szCs w:val="18"/>
          <w:color w:val="auto"/>
        </w:rPr>
        <w:t>. Mr. Manson has served as our Executive Vice President, General Counsel and Secretary since November 2011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all our legal, government affairs and corporate information security. Mr. Manson joined our subsidiary Hughes Network Systems, LLC in 2000 from the law firm of Milbank, Tweed, Hadley &amp; McCloy LLP, where he focused on international project finance and corporate transactions and was appointed General Counsel in 2004.</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risks and uncertainties described below are not the only ones facing us. If any of the following events occur or evolve in a way different than expected, our business, financial condition, results of operation, prospects or ability to fund a share or debt repurchase program, invest capital in or otherwise run our business, execute on our strategic plans or return capital to our shareholders could be materially and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As the COVID-19 pandemic and its effects continue to develop, it is impossible at this time to predict its ultimate impact on our business. We have set forth some key risks identified to date.</w:t>
      </w:r>
    </w:p>
    <w:p>
      <w:pPr>
        <w:spacing w:after="0" w:line="18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Our operations, and those of our customers, suppliers, vendors, and other third parties with whom we conduct business, including regulatory agencies, have been, and may continue to be, adversely affected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effects of the COVID-19 pandemic have disrupted our and our customers’, suppliers’, vendors’ and other business partners’ and investees’ businesses, and have delayed the manufacture and deployment of our satellites, specifically our EchoStar XXIV satellite. Disruption to our vendors’ and suppliers’ businesses could adversely impact our supply chain. Additionally, some regulatory bodies have reduced activities and/or temporarily closed their offices which may materially delay the review and/or approval of licenses or authorizations we need to operate our business. We cannot currently estimate or determine the final magnitude of these impacts.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many of our subscribers are working remotely or engaging in distance learning. These activities have increased the usage on our HughesNet service so that there is little or no capacity remaining for subscriber growth in our most popular geographic areas. This limitation on capacity has resulted in our subscribers experiencing slower speeds, which, in turn, has resulted in higher churn.</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 portion of the expected sales of our products or services have been, and additional sales may be, delayed or canceled as a result of effects of the COVID-19 pandemic on the operations of our customers.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economic downturn arising from the COVID-19 pandemic, a number of our enterprise customers are facing uncertain futures and certain of these customers have filed for bankruptcy protection. When enterprise customers fail or seek reorganization under the bankruptcy laws, we may be obliged to provide services for which we are not being paid. Further, the COVID-19 pandemic has resulted in increased unemployment, which could result in reduced demand and increased inability to pay from our consumer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a number of strategic initiatives to complement or expand our business. Any such strategic initiatives may involve a high degree of risk, including, but not limited to, the following:</w:t>
      </w:r>
    </w:p>
    <w:p>
      <w:pPr>
        <w:spacing w:after="0" w:line="20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developing and constructing new satellites;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diversion of our management’s attention away from our existing business onto a strategic initiative;</w:t>
      </w:r>
    </w:p>
    <w:p>
      <w:pPr>
        <w:spacing w:after="0" w:line="9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adverse effects on our and our targets’ and partners’ business, financial condition or operating results during the integration process;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significant financial losses if the strategic initiatives are not successful;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obtain regulatory approvals in the anticipated time frame, or at all;</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complying with regulations applicable to the acquired or developed business or technologies which may cause us to incur substantial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disruption of relationships with employees, vendors or customers;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foreign and international operations and/or investments or dispositions.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 strategic initiatives may require the commitment of significant capital that would otherwise have been directed to investments in our existing businesses or distributed to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face decreased demand and increased pricing pressure with respect to our products and services due to competition.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their significant resources and operating history. Material competitive risks to our business include, but are not limited to, the following:</w:t>
      </w:r>
    </w:p>
    <w:p>
      <w:pPr>
        <w:spacing w:after="0" w:line="20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new or different technology compared to our offerings;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existing or new competitors entering the same markets we serve;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funding for competing products and services, reducing demand for our products and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to provide enhanced functionality for the same or lower price with each new generation of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business will be negatively impacted if we fail to adequately anticipate our satellite capacity needs or are unable to obtain satellite capacity.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made substantial contractual commitments for satellite capacity based on our existing customer contracts and backlog. If our existing customer contracts were to be terminated prior to their respective expiration dates, we may have insufficient revenue to cover our satellite capacity costs. On the other hand, we may not have sufficient satellite capacity available to meet increases in demand and we may not be able to quickly or easily adjust our capacity to such changes in demand. At present, until the launch and operation of additional satellites that our systems can utilize, there is limited additional capacity in North America and in certain areas of Latin America, including within our own fleet of satellites, which could materially and adversely affect our ability to provide services to customers and grow our revenue and business. Our business could be adversely affected if we are not able to renew our capacity leases at economically viable rates, or if sufficient capacity is not available to us.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third-party providers causes certain risks to our business, including the following:</w:t>
      </w:r>
    </w:p>
    <w:p>
      <w:pPr>
        <w:spacing w:after="0" w:line="230" w:lineRule="exact"/>
        <w:rPr>
          <w:sz w:val="20"/>
          <w:szCs w:val="20"/>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w:t>
      </w:r>
      <w:r>
        <w:rPr>
          <w:rFonts w:ascii="Arial" w:cs="Arial" w:eastAsia="Arial" w:hAnsi="Arial"/>
          <w:sz w:val="18"/>
          <w:szCs w:val="18"/>
          <w:color w:val="auto"/>
        </w:rPr>
        <w:t>. A limited number of suppliers manufacture, and in some cases a single supplier manufactures, some of the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required to build our products. We do not generally maintain long-term agreements with our suppliers or subcontractors for our products. If we change or lose suppliers, we could experience a delay in manufacturing our products. In addition, if either our current suppliers or any new suppliers increase prices beyond what we currently pay, we may be unable to produce our products at competitive prices and we may be unable to satisfy demand from our customers.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and we may not be able to pass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costs to our customers. Additionally, we are seeing increasing inflationary price pressure and where we have fixed-price customer contracts, we may have to absorb the increased costs.</w:t>
      </w:r>
    </w:p>
    <w:p>
      <w:pPr>
        <w:spacing w:after="0" w:line="35"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 contract manufacturers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 a significant portion of our hardware. If these contract manufacturers fail to provide products that meet our specifications in a timely manner or at all, our business could be adversely impacted.</w:t>
      </w:r>
    </w:p>
    <w:p>
      <w:pPr>
        <w:spacing w:after="0" w:line="35" w:lineRule="exact"/>
        <w:rPr>
          <w:rFonts w:ascii="Arial" w:cs="Arial" w:eastAsia="Arial" w:hAnsi="Arial"/>
          <w:sz w:val="18"/>
          <w:szCs w:val="18"/>
          <w:b w:val="1"/>
          <w:bCs w:val="1"/>
          <w:i w:val="1"/>
          <w:iCs w:val="1"/>
          <w:color w:val="auto"/>
        </w:rPr>
      </w:pPr>
    </w:p>
    <w:p>
      <w:pPr>
        <w:jc w:val="both"/>
        <w:ind w:left="660" w:hanging="328"/>
        <w:spacing w:after="0" w:line="24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Installation, customer support, and other services</w:t>
      </w:r>
      <w:r>
        <w:rPr>
          <w:rFonts w:ascii="Arial" w:cs="Arial" w:eastAsia="Arial" w:hAnsi="Arial"/>
          <w:sz w:val="18"/>
          <w:szCs w:val="18"/>
          <w:color w:val="auto"/>
        </w:rPr>
        <w:t>. Some of our products and services utilize a network of third-party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The costs incurred for these services may increase due to a shortage of experienced workers and higher salaries required to recruit and retain a skilled third-party workforce. A decline in levels of service or attention to the needs of our customers could adversely affect our reputation, renewal rates and ability to win and retain customers. In addition, if the agreements for the provision of these services are terminated or not renewed, we could face difficulties replacing these service providers</w:t>
      </w:r>
      <w:r>
        <w:rPr>
          <w:rFonts w:ascii="Arial" w:cs="Arial" w:eastAsia="Arial" w:hAnsi="Arial"/>
          <w:sz w:val="18"/>
          <w:szCs w:val="18"/>
          <w:b w:val="1"/>
          <w:bCs w:val="1"/>
          <w:i w:val="1"/>
          <w:i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foreign operations and investments expose us to risks and restrictions not present in our domestic operations.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sales outside the U.S. accounted for 21.4%, 19.6% and 20.4% of our revenue for the years ended December 31, 2021, 2020 and 2019, respectively. We expect our foreign operations to represent a significant and growing portion of our business. Our foreign operations involve varying degrees of risk and uncertainties inherent in doing business abroad. Such risks include:</w:t>
      </w:r>
    </w:p>
    <w:p>
      <w:pPr>
        <w:spacing w:after="0" w:line="180"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of earnings. </w:t>
      </w:r>
      <w:r>
        <w:rPr>
          <w:rFonts w:ascii="Arial" w:cs="Arial" w:eastAsia="Arial" w:hAnsi="Arial"/>
          <w:sz w:val="18"/>
          <w:szCs w:val="18"/>
          <w:color w:val="auto"/>
        </w:rPr>
        <w:t>We may not be permitted to be the sole owner of our operations in some countries and may have to enter into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unrestricted access to the cash flow and assets of our subsidiaries and joint ventures.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restrictions</w:t>
      </w:r>
      <w:r>
        <w:rPr>
          <w:rFonts w:ascii="Arial" w:cs="Arial" w:eastAsia="Arial" w:hAnsi="Arial"/>
          <w:sz w:val="18"/>
          <w:szCs w:val="18"/>
          <w:color w:val="auto"/>
        </w:rPr>
        <w:t>. Satellite market access, landing rights and terrestrial wireless rights are dependent on the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established by foreign governments and international non-governmental bodies. Non-compliance with these requirements may result in the loss of the authorizations and licenses to conduct business in these countries, as well as fines, penalties, or other sanctions.</w:t>
      </w:r>
    </w:p>
    <w:p>
      <w:pPr>
        <w:spacing w:after="0" w:line="4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and legal constraints and obligations</w:t>
      </w:r>
      <w:r>
        <w:rPr>
          <w:rFonts w:ascii="Arial" w:cs="Arial" w:eastAsia="Arial" w:hAnsi="Arial"/>
          <w:sz w:val="18"/>
          <w:szCs w:val="18"/>
          <w:color w:val="auto"/>
        </w:rPr>
        <w:t>. Operating pursuant to foreign licenses subjects us to certain financial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obligations, including, but not limited to: (a) tax liabilities that may or may not be dependent on revenue; (b) the regulatory requirements associated with maintaining such licenses, which may be subject to interpretation by foreign courts and regulatory bodies; (c) the burden of creating and maintaining additional entities, branches, facilities and/or staffing in foreign jurisdictions; and</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 regulations requiring that we make certain satellite capacity available for “free” or available at reduced rates.</w:t>
      </w:r>
    </w:p>
    <w:p>
      <w:pPr>
        <w:spacing w:after="0" w:line="68"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applicable export control laws and regulations in the U.S. and other countries</w:t>
      </w:r>
      <w:r>
        <w:rPr>
          <w:rFonts w:ascii="Arial" w:cs="Arial" w:eastAsia="Arial" w:hAnsi="Arial"/>
          <w:sz w:val="18"/>
          <w:szCs w:val="18"/>
          <w:color w:val="auto"/>
        </w:rPr>
        <w:t>. We must comply with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export control and trade sanctions laws and regulations of the U.S. and other countries. A violation any export or trade-related regulations could materially adversely affect our business.</w:t>
      </w:r>
    </w:p>
    <w:p>
      <w:pPr>
        <w:spacing w:after="0" w:line="3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Changes in exchange rates between foreign currencies and the U.S. dollar</w:t>
      </w:r>
      <w:r>
        <w:rPr>
          <w:rFonts w:ascii="Arial" w:cs="Arial" w:eastAsia="Arial" w:hAnsi="Arial"/>
          <w:sz w:val="18"/>
          <w:szCs w:val="18"/>
          <w:color w:val="auto"/>
        </w:rPr>
        <w:t>. Fluctuations in currency exchange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recessions and currency devaluations have affected, and may in the future affect, revenue, profits and cash earned from our international businesses.</w:t>
      </w:r>
    </w:p>
    <w:p>
      <w:pPr>
        <w:spacing w:after="0" w:line="3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Regulations may favor state-owned enterprises or local service providers</w:t>
      </w:r>
      <w:r>
        <w:rPr>
          <w:rFonts w:ascii="Arial" w:cs="Arial" w:eastAsia="Arial" w:hAnsi="Arial"/>
          <w:sz w:val="18"/>
          <w:szCs w:val="18"/>
          <w:color w:val="auto"/>
        </w:rPr>
        <w:t>. Many of the countries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traditionally had state-owned or state-granted monopolies on telecommunications services that favor an incumbent service provider. We face competition from these favored and entrenched companies in countries that have not liberalized.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cash to meet our debt service needs or fund our operations.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2021, our total indebtedness was $1.5 billion. Our ability to make payments on or to refinance our indebtedness and to fund our operations will depend on our ability to generate cash in the future. If we are unable to generate sufficient cash, we may be forced to take actions such as revising or delaying our strategic plans, reducing or delaying capital expenditures and/or the development, design, acquisition and construction of new satellites, selling assets, restructuring or refinancing our debt or seeking additional equity capital. We may not be able to implement any of these actions on satisfactory terms,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indentures restrict our business in many ways.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indentures governing the Hughes Satellite Systems Corporation (“HSSC”) 5.250% Senior Secured Notes due August 1, 2026 and 6.625% Senior Unsecured Notes due August 1, 2026 contain various covenants, subject to certain exceptions, that limit HSSC’s ability and/or certain of its subsidiaries’ ability to, among other things:</w:t>
      </w:r>
    </w:p>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distributions on HSSC’s capital stock or repurchase HSSC’s capital stock;</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to exist certain restrictions on such subsidiaries’ ability to pay dividends, make distributions, make other payments, or transfer assets;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or consolidate with another company;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 immediately due and payable and, in the case of the indenture governing our secured notes, could proceed against the collateral that secures the secured notes. If certain other events of default occur, the indentures will become immediately due and payable. Certain of our subsidiaries have pledged a significant portion of our assets as collateral to secure the 5.250% Senior Secured Notes due August 1,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service to our customers.</w:t>
      </w:r>
    </w:p>
    <w:p>
      <w:pPr>
        <w:spacing w:after="0" w:line="27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Natural disasters could damage or destroy our ground infrastructure and/or our other or our vendors’ infrastructure, equipment and facilities, resulting in a disruption of service to our customers, which may adversely affect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key personnel and the loss of their services may negatively affect our businesses.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 To the extent Mr. Ergen is performing services for both DISH Network and us, his attention may be diverted away from our business and therefore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growth and customer retention strategies rely in part on the work of technically skilled employees.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response to technological developments depends, to a significant degree, on the work of technically skilled employees. In addition, we have made and will continue to make significant investments in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attract and retain these employees, we may not succeed in these respects. Additionally, if we were to lose certain key technically skilled employees, the loss of knowledge and intellectual capital might have an adverse impact on business.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Restrictions on immigration or increased enforcement of immigration laws could limit our access to qualified and skilled professionals, increase our cost of doing business or otherwise disrupt our operations.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The success of our business is dependent on our ability to recruit engineers and other professionals, including those who are citizens of other countries. Immigration laws in the U.S. and other countries in which we operate are subject to legislative and regulatory changes, as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visas for our professionals. If immigration laws are changed or if new and more restrictive government regulations are enacted or increased, our access to qualified and skilled professionals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ability to operate and control our satellites is subject to risks related to DISH Network’s operation of the BSS Business and third-parties’ operation of satellite operations centers.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BSS Transaction, we transferred our satellite operation centers, which are used to monitor and control our satellites, to DISH Network. Therefore, we now are subject to the inherent risks of having a related party operate, maintain and manage these satellite operations centers. In addition, certain of our satellites are operated, maintained and managed by third parties.</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owned and leased satellites in orbit are subject to significant operational and environmental risks that could limit our ability to utilize these satellites.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Any single anomaly could materially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adversely affect our ability to utilize the satellite. Anomalies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Meteoroid events, decommissioned satellites, and increased solar activity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satellites under construction, including the EchoStar XXIV satellite, are subject to risks related to construction, technology, regulations and launch that could limit our ability to utilize these satellites, increase costs and adversely affect our business.</w:t>
      </w:r>
    </w:p>
    <w:p>
      <w:pPr>
        <w:spacing w:after="0" w:line="16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Satellite construction and launch are subject to significant risks, including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For example, we have seen delays in the delivery calendar for EchoStar XXIV.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may not be able to</w:t>
      </w:r>
    </w:p>
    <w:p>
      <w:pPr>
        <w:spacing w:after="0" w:line="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obtain launch insurance on reasonable economic terms or at all. If we do obtain launch insurance, it may not cover the full cost of constructing and launching or replacing a satellite nor fully cover our losses in the event of a launch failure or significant degradation.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satellites is often dependent on satellite coordination agreements, which may be difficult to obtain.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interference from other services sharing satellite spectrum</w:t>
      </w:r>
      <w:r>
        <w:rPr>
          <w:rFonts w:ascii="Arial" w:cs="Arial" w:eastAsia="Arial" w:hAnsi="Arial"/>
          <w:sz w:val="18"/>
          <w:szCs w:val="18"/>
          <w:color w:val="auto"/>
        </w:rPr>
        <w: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FCC and other regulators have adopted rules or may adopt rules in the future that require us to share spectrum on a basis with other radio services. There can be no assurance that these operations would not interfere with our operations and adversely affect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depends on growing demand for our services.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demand and effective delivery for our products and services will depend significantly on the growing demand for our services, such as broadband internet connectivity. If the deployment of, or demand for, our services is not as widespread or as rapid as we or our customers expect, our revenue growth will be negatively impacted.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certain intellectual property rights and on not infringing the intellectual property rights of others.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our patents, copyrights, trademarks, trade secrets, licenses and other agreements to conduct our business. Legal challenges to our intellectual property rights and claims of intellectual property infringement could result in significant monetary liability and require us to change our business practices or limit our ability to compete effectively or could otherwise have a material adverse effect on our business. Even if any such challenges or claims prove to be without merit, they can be time-consuming and costly to defend and may divert management’s attention and resources away from our business.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Moreover, we rely in part on technologies developed or licensed by third parties. If we are unable to obtain or retain licenses or other required intellectual property rights from these third parties on reasonable terms, our business could be adversely affected. In addition, we work with suppliers for the development and manufacture of components that are integrated into our products and our products may contain technologies provided to us by these suppliers. We may have little or no ability to determine in advance whether any such technology infringes the intellectual property rights of others, or whether such suppliers have obtained or continue to obtain the appropriate licenses or other intellectual property rights to use such technology. Our suppliers may not be required to indemnify us in the event that a claim of infringement is asserted against us, or they may be required to indemnify us only up to a maximum amount. Legal challenges to these intellectual property rights may impair our ability to use the products and technologies that we need in order to operate our business and may have a material adverse effect on our business. See further discussion under Item 1. Business — Patents and Trademarks and Item 3. Legal Proceedings of this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or governmental proceedings could result in material adverse consequences.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lawsuits, regulatory inquiries, audits, consumer claims and governmental and other legal proceedings. Some of these proceedings may raise difficult and complicated factual and legal issues and can be subject to uncertainties and complexities. The timing of the final resolutions is typically uncertain. Additionally, the possible outcomes of, or resolutions to, these proceedings could include adverse judgments, settlements, injunctions or liabilities, any of which could require substantial payments or have other adverse impacts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confidentiality, integrity, and availability of our services and products depends on the continuing operation of our information technology and other enabling systems.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systems are vulnerable to damage, intrusion, or disruption from criminal and/or terrorist attacks, natural disasters/climate change such as sea level rise, drought, flooding, wildfires, increased storm severity, pandemics like COVID-19 and power loss, telecommunications failures, computer viruses, ransomware attacks, digital denial of service attacks, phishing, 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businesses expose us to additional risks that could harm our business.</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international operations continue to grow. In addition to risks described elsewhere in this segment, our international businesses expose us to other risks, including but not limited to the following:</w:t>
      </w:r>
    </w:p>
    <w:p>
      <w:pPr>
        <w:spacing w:after="0" w:line="225" w:lineRule="exact"/>
        <w:rPr>
          <w:sz w:val="20"/>
          <w:szCs w:val="20"/>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privacy and security concerns relating to our technology and our practices could damage our reputation, cause us to incur significant liability, and deter current and potential users or customers from using our products and services.</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Software bugs or defects, security breaches, and attacks on our systems could result in the improper disclosure of our user data which could harm our business reputation.</w:t>
      </w:r>
    </w:p>
    <w:p>
      <w:pPr>
        <w:jc w:val="both"/>
        <w:ind w:left="6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our practices about the collection, use, disclosure, or security of personal information or other data-privacy-related matters, even if unsubstantiated, could harm our reputation and financial condition. Our policies and practices may change over time as expectations regarding privacy and data 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experience cyber-attacks and other attempts to gain unauthorized access to our systems on a consistent basis.</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experienced, and may experience in the future, security issues, whether due to insider error or malfeasance or system errors or vulnerabilities in our or our 3rd parties’ systems, which could result in substantial legal and financial exposure, government inquiries and enforcement actions, litigation, and unfavorable media coverage. We may be unable to anticipate or detect attacks or vulnerabilities or implement adequate preventative measures. Attacks and security issues could also compromise trade secrets and other sensitive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ongoing investments in security will likely continue to identify new vulnerabilities within our services and products.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our efforts to mitigate cyber-attacks, we are making significant investments to assure that our products are resistant to compromise. As a result of these efforts, we could discover new vulnerabilities within our products and systems that would be undesirable for our users and customers. We may not discover all such vulnerabilities due to the scale of activities on our platforms, or due to other factors, including but not limited to issues outside of our control such as natural disasters or pandemic (including COVID-19), and we may be notified of such vulnerabilities via third parties. Any of the foregoing developments may negatively affect user and customer trust, harm our reputation and brands, and adversely affect our business and financial results. Any such developments may also subject us to litigation and regulatory inquiries, which could result in monetary penalties and damages, distract management’s time and attention, and lead to enhanced regulatory oversight.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data privacy laws may be costly, and non-compliance with such laws may result in significant liability.</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personal information and data we process and store is increasingly subject to data security and data privacy laws of many jurisdictions. These laws impose a significant compliance burden and complying with them has required us to change our business practices or the functionality of our products and services. Privacy laws and regulations are becoming more complex and onerous, and a data privacy breach could have a material adverse effect on our business.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products and the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materially affect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risk of non-compliance with laws and regulations, including the risk of changes to laws and regulations, could adversely affect our business.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regulated by numerous governmental agencies and other regulatory bodies, both domestically and internationally. In addition,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laws and regulations are subject to the administrative and political process and do change from time to time. Our business could suffer a material adverse impact if laws and regulations change and we are not able to adapt to these changes efficiently.</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all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BSS TRANSACTION</w:t>
      </w:r>
    </w:p>
    <w:p>
      <w:pPr>
        <w:spacing w:after="0" w:line="252"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b w:val="1"/>
          <w:bCs w:val="1"/>
          <w:color w:val="auto"/>
        </w:rPr>
        <w:t>If the Distribution and the Merger do not qualify as a tax</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free distribution and merger under the Internal Revenue Code of 1986, as amended (the “Code”), then we and/or our stockholders may be required to pay substantial U.S. federal income taxes and under certain circumstances we may have indemnification obligations to DISH Network.</w:t>
      </w:r>
    </w:p>
    <w:p>
      <w:pPr>
        <w:spacing w:after="0" w:line="24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parties to the BSS Transaction received a tax opinion from their respective counsels as to the tax</w:t>
      </w:r>
      <w:r>
        <w:rPr>
          <w:rFonts w:ascii="MS PGothic" w:cs="MS PGothic" w:eastAsia="MS PGothic" w:hAnsi="MS PGothic"/>
          <w:sz w:val="18"/>
          <w:szCs w:val="18"/>
          <w:color w:val="auto"/>
        </w:rPr>
        <w:t>‑</w:t>
      </w:r>
      <w:r>
        <w:rPr>
          <w:rFonts w:ascii="Arial" w:cs="Arial" w:eastAsia="Arial" w:hAnsi="Arial"/>
          <w:sz w:val="18"/>
          <w:szCs w:val="18"/>
          <w:color w:val="auto"/>
        </w:rPr>
        <w:t>free nature of the transactions. They did not obtain a private letter ruling from the IRS with respect to the Distribution and the Merger and instead are relying solely on their respective tax opinions for comfort that the Distribution and the Merger qualify for tax</w:t>
      </w:r>
      <w:r>
        <w:rPr>
          <w:rFonts w:ascii="MS PGothic" w:cs="MS PGothic" w:eastAsia="MS PGothic" w:hAnsi="MS PGothic"/>
          <w:sz w:val="18"/>
          <w:szCs w:val="18"/>
          <w:color w:val="auto"/>
        </w:rPr>
        <w:t>‑</w:t>
      </w:r>
      <w:r>
        <w:rPr>
          <w:rFonts w:ascii="Arial" w:cs="Arial" w:eastAsia="Arial" w:hAnsi="Arial"/>
          <w:sz w:val="18"/>
          <w:szCs w:val="18"/>
          <w:color w:val="auto"/>
        </w:rPr>
        <w:t>free treatment for U.S. federal income tax purposes under the Code. The failure of any factual representation or assumption to be true, correct and complete, or any undertaking to be fully complied with, could affect the validity of the tax opinions and result in tax liabilities for our shareholders and/or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more susceptible to adverse events as a result of the BSS Transaction.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divested the BSS Business and our business will be subject to increased concentration of risks that affect our retained businesses. We are now a smaller, less diversified and more narrowly focused business, which makes us more vulnerable to changing market and economic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one principal stockholder who is our Chairman.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Charles W. Ergen, our Chairman, beneficially owns approximately 58% of our total equity securities (assuming conversion of the Class B common stock beneficially owned by Mr. Ergen into Class A common stock and giving effect to the exercise of options held by Mr. Ergen that are either currently exercisable as of, or may become exercisable within 60 days after, February 15, 2022) and beneficially owns approximately 93% of the total voting power of all classes of shares (assuming no conversion of any Class B common stock and giving effect to the exercise of options held by Mr. Ergen that are either currently exercisable as of, or may become exercisable within 60 days after, February 15, 2022). Through his beneficial ownership of our equity securities,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potential conflicts of interest with DISH Network due to our common ownership.</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203" w:lineRule="exact"/>
        <w:rPr>
          <w:sz w:val="20"/>
          <w:szCs w:val="20"/>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Cross directorships and stock ownership</w:t>
      </w:r>
      <w:r>
        <w:rPr>
          <w:rFonts w:ascii="Arial" w:cs="Arial" w:eastAsia="Arial" w:hAnsi="Arial"/>
          <w:sz w:val="18"/>
          <w:szCs w:val="18"/>
          <w:color w:val="auto"/>
        </w:rPr>
        <w:t>. Charles W. Ergen serves as the Chairman of our and DISH’s board of directors,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employed by both companies and has fiduciary duties to our and DISH’s shareholders. Mr. Ergen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some of our directors and officers, including Mr. Ergen, own DISH stock and options to purchase DISH stock. These ownership interests could create actual, apparent or potential conflicts of interest when these individuals are faced with decisions that could have different implications for our company and DISH Network.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52"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Intercompany agreements with DISH Network</w:t>
      </w:r>
      <w:r>
        <w:rPr>
          <w:rFonts w:ascii="Arial" w:cs="Arial" w:eastAsia="Arial" w:hAnsi="Arial"/>
          <w:sz w:val="18"/>
          <w:szCs w:val="18"/>
          <w:color w:val="auto"/>
        </w:rPr>
        <w:t>. We have entered into various agreements with DISH Network.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agreements, we obtain certain products, services and rights from DISH Network; DISH Network obtains certain products, services and rights from us; and we and DISH Network indemnify each other against certain liabilities arising from our respective businesses. Generally, the amounts paid for products and services provided under the agreements are based on cost plus a fixed margin, which varies depending on the nature of the products and services provided. Certain other intercompany agreements cover matters such as tax sharing and our responsibility for certain liabilities previously undertaken by DISH Network for certain of our businesses. We have also entered into certain commercial agreements with DISH Network. The terms of certain of these agreements were established while we were a wholly-owned subsidiary of DISH and were not the result of arm’s length negotiations. The allocation of assets, liabilities, rights, indemnifications and other obligations between DISH Network and us under certain agreements with DISH Network may not necessarily reflect what two unaffiliated parties might have agreed to. Had these agreements been negotiated with unaffiliated third parties, their terms may have been more or less favorable to us. In addition, DISH Network or its affiliates will likely continue to enter into transactions, including joint ventures, acquisitions, dispositions and other strategic initiatives and transactions, with us or other affiliates. Although the terms of any such transactions will be established based upon negotiations between us and DISH Network and, when appropriate, subject to approval by a committee of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59"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Competition for business opportunities</w:t>
      </w:r>
      <w:r>
        <w:rPr>
          <w:rFonts w:ascii="Arial" w:cs="Arial" w:eastAsia="Arial" w:hAnsi="Arial"/>
          <w:sz w:val="18"/>
          <w:szCs w:val="18"/>
          <w:color w:val="auto"/>
        </w:rPr>
        <w:t>. DISH Network may have interests in various companies that have subsidiaries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affiliates that own or operate domestic or foreign services that may compete with services offered by our businesses. We may also compete with DISH Network when we participate in auctions for spectrum or orbital slots for our satellites or other business opportunities. In other auctions, we and DISH Network may be prohibited from participating separately, and cooperating with DISH Network may result in a less favorable outcome for us.</w:t>
      </w:r>
    </w:p>
    <w:p>
      <w:pPr>
        <w:spacing w:after="0" w:line="2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may not be able to resolve any potential conflicts of interest with DISH Network and, even if we do so, the resolution may be less favorable to us than if we were dealing with an unaffiliated party.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It may be difficult for a third party to acquire us, even if doing so may be beneficial to our shareholders, because of our capital structure.</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provisions of our articles of incorporation and bylaws may discourage, delay or prevent a change in control of our company that a shareholder may consider favorable. These provisions include the following:</w:t>
      </w:r>
    </w:p>
    <w:p>
      <w:pPr>
        <w:spacing w:after="0" w:line="198" w:lineRule="exact"/>
        <w:rPr>
          <w:sz w:val="20"/>
          <w:szCs w:val="20"/>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w:t>
      </w:r>
    </w:p>
    <w:p>
      <w:pPr>
        <w:spacing w:after="0" w:line="6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that authorizes the issuance of “blank check” preferred stock, which could be issued by our board of directors to increase the number of outstanding shares and thwart a takeover attempt;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limiting who may call special meetings of shareholders; and</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establishing advance notice requirements for nominations of candidates for election to our board of directors or for proposing matters that can be acted upon by shareholders at shareholder meetings.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above, Mr. Ergen beneficially owns approximately 58% of our total equity securities and approximately 93% of the total voting power of all classes of shares and such ownership may make it impractical for any third party to obtain control of us.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claims against our directors, officers or employees, in a judicial forum that the stockholder finds favorable and therefore the choice of forum provision may discourage lawsuits or increase costs with respect to such claims.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other risks described from time to time in periodic and current reports we file with the SEC.</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100 Inverness Terrace East, Englewood, Colorado 80112-5308 and our telephone number is</w:t>
      </w:r>
    </w:p>
    <w:p>
      <w:pPr>
        <w:spacing w:after="0" w:line="9" w:lineRule="exact"/>
        <w:rPr>
          <w:sz w:val="20"/>
          <w:szCs w:val="20"/>
          <w:color w:val="auto"/>
        </w:rPr>
      </w:pPr>
    </w:p>
    <w:p>
      <w:pPr>
        <w:jc w:val="both"/>
        <w:ind w:firstLine="8"/>
        <w:spacing w:after="0" w:line="256" w:lineRule="auto"/>
        <w:tabs>
          <w:tab w:leader="none" w:pos="4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706-4000. The following table sets forth certain information concerning our principal properties related to Hughes segment and ESS segment and to Corporate and Other segment as of December 31, 2021. We operate various facilities in the United States and abroad. We believe that our facilities are well maintained and are sufficient to meet our current and projected needs.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Segment(s)</w:t>
            </w:r>
          </w:p>
        </w:tc>
        <w:tc>
          <w:tcPr>
            <w:tcW w:w="5520" w:type="dxa"/>
            <w:vAlign w:val="bottom"/>
          </w:tcPr>
          <w:p>
            <w:pPr>
              <w:ind w:left="2380"/>
              <w:spacing w:after="0"/>
              <w:rPr>
                <w:sz w:val="20"/>
                <w:szCs w:val="20"/>
                <w:color w:val="auto"/>
              </w:rPr>
            </w:pPr>
            <w:r>
              <w:rPr>
                <w:rFonts w:ascii="Arial" w:cs="Arial" w:eastAsia="Arial" w:hAnsi="Arial"/>
                <w:sz w:val="18"/>
                <w:szCs w:val="18"/>
                <w:b w:val="1"/>
                <w:bCs w:val="1"/>
                <w:color w:val="auto"/>
              </w:rPr>
              <w:t>Function</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520" w:type="dxa"/>
            <w:vAlign w:val="bottom"/>
            <w:tcBorders>
              <w:top w:val="single" w:sz="8" w:color="auto"/>
            </w:tcBorders>
            <w:shd w:val="clear" w:color="auto" w:fill="CCEEFF"/>
          </w:tcPr>
          <w:p>
            <w:pPr>
              <w:spacing w:after="0"/>
              <w:rPr>
                <w:sz w:val="19"/>
                <w:szCs w:val="19"/>
                <w:color w:val="auto"/>
              </w:rPr>
            </w:pP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ESS/Corporate and Other</w:t>
            </w:r>
          </w:p>
        </w:tc>
        <w:tc>
          <w:tcPr>
            <w:tcW w:w="5520" w:type="dxa"/>
            <w:vAlign w:val="bottom"/>
          </w:tcPr>
          <w:p>
            <w:pPr>
              <w:ind w:left="20"/>
              <w:spacing w:after="0"/>
              <w:rPr>
                <w:sz w:val="20"/>
                <w:szCs w:val="20"/>
                <w:color w:val="auto"/>
              </w:rPr>
            </w:pPr>
            <w:r>
              <w:rPr>
                <w:rFonts w:ascii="Arial" w:cs="Arial" w:eastAsia="Arial" w:hAnsi="Arial"/>
                <w:sz w:val="18"/>
                <w:szCs w:val="18"/>
                <w:color w:val="auto"/>
              </w:rPr>
              <w:t>Corporate headquarters and ESS operations</w:t>
            </w:r>
          </w:p>
        </w:tc>
      </w:tr>
      <w:tr>
        <w:trPr>
          <w:trHeight w:val="188"/>
        </w:trPr>
        <w:tc>
          <w:tcPr>
            <w:tcW w:w="3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Germantown, Maryland</w:t>
            </w:r>
          </w:p>
        </w:tc>
        <w:tc>
          <w:tcPr>
            <w:tcW w:w="23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Hughes corporate headquarters, engineering offices, network</w:t>
            </w:r>
          </w:p>
        </w:tc>
      </w:tr>
      <w:tr>
        <w:trPr>
          <w:trHeight w:val="217"/>
        </w:trPr>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shared hubs</w:t>
            </w:r>
          </w:p>
        </w:tc>
      </w:tr>
      <w:tr>
        <w:trPr>
          <w:trHeight w:val="188"/>
        </w:trPr>
        <w:tc>
          <w:tcPr>
            <w:tcW w:w="3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Griesheim, Germany</w:t>
            </w: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Hughes/Corporate and</w:t>
            </w:r>
          </w:p>
        </w:tc>
        <w:tc>
          <w:tcPr>
            <w:tcW w:w="5520" w:type="dxa"/>
            <w:vAlign w:val="bottom"/>
          </w:tcPr>
          <w:p>
            <w:pPr>
              <w:ind w:left="20"/>
              <w:spacing w:after="0" w:line="189" w:lineRule="exact"/>
              <w:rPr>
                <w:sz w:val="20"/>
                <w:szCs w:val="20"/>
                <w:color w:val="auto"/>
              </w:rPr>
            </w:pPr>
            <w:r>
              <w:rPr>
                <w:rFonts w:ascii="Arial" w:cs="Arial" w:eastAsia="Arial" w:hAnsi="Arial"/>
                <w:sz w:val="18"/>
                <w:szCs w:val="18"/>
                <w:color w:val="auto"/>
              </w:rPr>
              <w:t>Shared hub, operations, administrative offices and warehouse</w:t>
            </w:r>
          </w:p>
        </w:tc>
      </w:tr>
      <w:tr>
        <w:trPr>
          <w:trHeight w:val="21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Other</w:t>
            </w:r>
          </w:p>
        </w:tc>
        <w:tc>
          <w:tcPr>
            <w:tcW w:w="5520" w:type="dxa"/>
            <w:vAlign w:val="bottom"/>
          </w:tcPr>
          <w:p>
            <w:pPr>
              <w:spacing w:after="0"/>
              <w:rPr>
                <w:sz w:val="18"/>
                <w:szCs w:val="18"/>
                <w:color w:val="auto"/>
              </w:rPr>
            </w:pPr>
          </w:p>
        </w:tc>
      </w:tr>
      <w:tr>
        <w:trPr>
          <w:trHeight w:val="270"/>
        </w:trPr>
        <w:tc>
          <w:tcPr>
            <w:tcW w:w="3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520" w:type="dxa"/>
            <w:vAlign w:val="bottom"/>
            <w:shd w:val="clear" w:color="auto" w:fill="CCEEFF"/>
          </w:tcPr>
          <w:p>
            <w:pPr>
              <w:spacing w:after="0"/>
              <w:rPr>
                <w:sz w:val="23"/>
                <w:szCs w:val="23"/>
                <w:color w:val="auto"/>
              </w:rPr>
            </w:pP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Gilbert, Arizona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Gateways</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San Diego, California</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Engineering and sales offices</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Englewood, Colorado</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Gateways and equipment</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Manufacturing and testing facilities and logistics offices</w:t>
            </w: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Gaithersburg, Maryland</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administrative offices</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Southfield, Michigan</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Shared hub and regional network management center</w:t>
            </w:r>
          </w:p>
        </w:tc>
      </w:tr>
      <w:tr>
        <w:trPr>
          <w:trHeight w:val="188"/>
        </w:trPr>
        <w:tc>
          <w:tcPr>
            <w:tcW w:w="3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Las Vegas, Nevada</w:t>
            </w:r>
          </w:p>
        </w:tc>
        <w:tc>
          <w:tcPr>
            <w:tcW w:w="23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Shared hub, antennae yards, gateway, backup network operation</w:t>
            </w:r>
          </w:p>
        </w:tc>
      </w:tr>
      <w:tr>
        <w:trPr>
          <w:trHeight w:val="217"/>
        </w:trPr>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control center for Hughes corporate headquarters</w:t>
            </w:r>
          </w:p>
        </w:tc>
      </w:tr>
      <w:tr>
        <w:trPr>
          <w:trHeight w:val="229"/>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Cheyenne, Wyoming</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rPr>
              <w:t>Hughes/ESS</w:t>
            </w:r>
          </w:p>
        </w:tc>
        <w:tc>
          <w:tcPr>
            <w:tcW w:w="5520" w:type="dxa"/>
            <w:vAlign w:val="bottom"/>
          </w:tcPr>
          <w:p>
            <w:pPr>
              <w:ind w:left="20"/>
              <w:spacing w:after="0"/>
              <w:rPr>
                <w:sz w:val="20"/>
                <w:szCs w:val="20"/>
                <w:color w:val="auto"/>
              </w:rPr>
            </w:pPr>
            <w:r>
              <w:rPr>
                <w:rFonts w:ascii="Arial" w:cs="Arial" w:eastAsia="Arial" w:hAnsi="Arial"/>
                <w:sz w:val="18"/>
                <w:szCs w:val="18"/>
                <w:color w:val="auto"/>
              </w:rPr>
              <w:t>Gateways, equipment and ESS operations</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Barueri, Brazil</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hub</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Sao Paulo, Brazil</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Hughes Brazil corporate headquarters, sales offices and warehouse</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Bangalore, India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office and office space</w:t>
            </w:r>
          </w:p>
        </w:tc>
      </w:tr>
      <w:tr>
        <w:trPr>
          <w:trHeight w:val="188"/>
        </w:trPr>
        <w:tc>
          <w:tcPr>
            <w:tcW w:w="3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Gurgaon, India</w:t>
            </w: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line="189" w:lineRule="exact"/>
              <w:rPr>
                <w:sz w:val="20"/>
                <w:szCs w:val="20"/>
                <w:color w:val="auto"/>
              </w:rPr>
            </w:pPr>
            <w:r>
              <w:rPr>
                <w:rFonts w:ascii="Arial" w:cs="Arial" w:eastAsia="Arial" w:hAnsi="Arial"/>
                <w:sz w:val="18"/>
                <w:szCs w:val="18"/>
                <w:color w:val="auto"/>
              </w:rPr>
              <w:t>Administrative offices, shared hub, operations, warehouse, and</w:t>
            </w:r>
          </w:p>
        </w:tc>
      </w:tr>
      <w:tr>
        <w:trPr>
          <w:trHeight w:val="21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development center</w:t>
            </w:r>
          </w:p>
        </w:tc>
      </w:tr>
      <w:tr>
        <w:trPr>
          <w:trHeight w:val="22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Delhi, India</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India corporate headquarters</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Milton Keynes, United Kingdom</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5520" w:type="dxa"/>
            <w:vAlign w:val="bottom"/>
          </w:tcPr>
          <w:p>
            <w:pPr>
              <w:ind w:left="20"/>
              <w:spacing w:after="0"/>
              <w:rPr>
                <w:sz w:val="20"/>
                <w:szCs w:val="20"/>
                <w:color w:val="auto"/>
              </w:rPr>
            </w:pPr>
            <w:r>
              <w:rPr>
                <w:rFonts w:ascii="Arial" w:cs="Arial" w:eastAsia="Arial" w:hAnsi="Arial"/>
                <w:sz w:val="18"/>
                <w:szCs w:val="18"/>
                <w:color w:val="auto"/>
              </w:rPr>
              <w:t>Hughes Europe corporate headquarters and operations</w:t>
            </w:r>
          </w:p>
        </w:tc>
      </w:tr>
      <w:tr>
        <w:trPr>
          <w:trHeight w:val="54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ITEM 3.  LEGAL PROCEEDINGS</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tcPr>
          <w:p>
            <w:pPr>
              <w:spacing w:after="0"/>
              <w:rPr>
                <w:sz w:val="24"/>
                <w:szCs w:val="2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Note 21 in our Consolidated Financial Statements.</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r>
        <w:rPr>
          <w:rFonts w:ascii="Arial" w:cs="Arial" w:eastAsia="Arial" w:hAnsi="Arial"/>
          <w:sz w:val="18"/>
          <w:szCs w:val="18"/>
          <w:color w:val="auto"/>
        </w:rPr>
        <w:t>. Our Class A common stock is publicly traded on the NASDAQ Global Select Market under the symbol “SATS.”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Holders. </w:t>
      </w:r>
      <w:r>
        <w:rPr>
          <w:rFonts w:ascii="Arial" w:cs="Arial" w:eastAsia="Arial" w:hAnsi="Arial"/>
          <w:sz w:val="18"/>
          <w:szCs w:val="18"/>
          <w:color w:val="auto"/>
        </w:rPr>
        <w:t>As of February 15, 2022, there were 38,169,758 shares of our Class A common stock outstanding held by 7,558 holders of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Class A common stock, not including stockholders who beneficially own Class A common stock held in nominee or street name. As of February 15, 2022, there were 47,687,039 shares of our Class B common stock outstanding, of which 9,948,283 shares were held by Charles W. Ergen, our Chairman and 37,738,756 shares were held in trusts and entities established for the benefit of Mr. Ergen’s family. There is currently no established trading market for our Class B common stock.</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We have not paid any cash dividends on our common stock in the past two years. We currently do not intend to declare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on our common stock. Payment of any future dividends will depend upon our earnings, capital requirements, contractual restrictions and other factors the board of directors considers appropriate. We currently intend to retain our earnings, if any, to support operations, future growth and expansion, although we have repurchased and may, in the future, repurchase shares of our common stock from time to time. Our ability to declare dividends is affected by the covenants in our subsidiary HSSC’s indentures. See further discussion under Item 7. Management’s Discussion and Analysis of Financial Condition and Results of Operations — Liquidity and Capital Resources in this Form 10-K.</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r>
        <w:rPr>
          <w:rFonts w:ascii="Arial" w:cs="Arial" w:eastAsia="Arial" w:hAnsi="Arial"/>
          <w:sz w:val="18"/>
          <w:szCs w:val="18"/>
          <w:color w:val="auto"/>
        </w:rPr>
        <w:t>. See Item 12. Security Ownership of Certain Beneficial Owners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Management and Related Stockholder Matters in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and including December 31, 2021. On November 2, 2021, our Board of Directors authorized us to repurchase up to $500.0 million of our Class A common stock commencing January 1, 2022 through and including December 31, 2022.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year ended December 31, 2021, we repurchased 10,941,872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4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Per Share (or Unit)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Plans or Program (1)</w:t>
            </w: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205,922</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November 1 - 30</w:t>
            </w:r>
          </w:p>
        </w:tc>
        <w:tc>
          <w:tcPr>
            <w:tcW w:w="1520" w:type="dxa"/>
            <w:vAlign w:val="bottom"/>
          </w:tcPr>
          <w:p>
            <w:pPr>
              <w:jc w:val="right"/>
              <w:spacing w:after="0"/>
              <w:rPr>
                <w:sz w:val="20"/>
                <w:szCs w:val="20"/>
                <w:color w:val="auto"/>
              </w:rPr>
            </w:pPr>
            <w:r>
              <w:rPr>
                <w:rFonts w:ascii="Arial" w:cs="Arial" w:eastAsia="Arial" w:hAnsi="Arial"/>
                <w:sz w:val="18"/>
                <w:szCs w:val="18"/>
                <w:color w:val="auto"/>
              </w:rPr>
              <w:t>167,452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167,452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201,697</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264,315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194,933</w:t>
            </w: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1,203,821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1,203,821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194,933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80" w:firstLine="9"/>
        <w:spacing w:after="0" w:line="267" w:lineRule="auto"/>
        <w:tabs>
          <w:tab w:leader="none" w:pos="22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On October 29, 2020, our Board of Directors authorized us to repurchase up to $500.0 million of our Class A common stock through and including December 31, 2021. On November 2, 2021, our Board of Directors authorized us to repurchase up to $500.0 million of our Class A common stock commencing January 1, 2022 through and including December 31, 2022. All shares repurchased reflected in the table above have been converted to treasury shares.</w:t>
      </w:r>
    </w:p>
    <w:p>
      <w:pPr>
        <w:spacing w:after="0" w:line="1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Management’s Discussion and Analysis of our Financial Condition and Results of Operations (“Management’s Discussion and Analysis”) should be read in conjunction with our Consolidated Financial Statements.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10-K for further discussion. For a discussion of additional risks, uncertainties and other factors that could impact our results of operations or financial condition, see Item 1A. Risk Factors of this Form 10-K. Further, such forward-looking statements speak only as of the date of this Form 10-K and we undertake no obligation to update them.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broadband internet services for consumer customers, which include home and small to medium-sized businesses, satellite services and solutions for enterprise customers, which include aeronautical and government enterprises.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segment and ESS segment. These segments are consistent with the way we make decisions regarding the allocation of resources, as well as how operating results are reviewed by our CODM,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our Corporate and Other segment in our segment reporting.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2019, pursuant to the Master Transaction Agreement with DISH and the Merger Sub, we completed the BSS Transaction.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BSS Transaction, we and DISH Network agreed to indemnify each other against certain losses with respect to breaches of certain representations and covenants and certain retained and assumed liabilities, respectively. Refer to Note 19 in our Consolidated Financial Statements for further details on certain customary agreements entered into with DISH in relation to the BSS Transaction.</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year ended December 31, 2019 in our Consolidated Financial Statements. See Note 5 in our Consolidated Financial Statements for further discussion of our discontinued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Year Ended December 31, 2021:</w:t>
      </w:r>
    </w:p>
    <w:p>
      <w:pPr>
        <w:spacing w:after="0" w:line="27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of $2.0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income of $217.0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of $62.7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$72.9 million and basic and diluted earnings per share of common stock of $0.81</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net income (loss) from discontinued operations and net income (loss) attributable to non-controlling interests (“EBITDA”) of $702.5 million (see reconciliation of this non-GAAP measure in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December 31, 2021:</w:t>
      </w:r>
    </w:p>
    <w:p>
      <w:pPr>
        <w:spacing w:after="0" w:line="27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assets of $6.0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liabilities of $2.6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stockholders’ equity of $3.4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$1.5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is an industry leader in both networking technologies and services, innovating to deliver the global solutions that power a connected future for people, enterprises and things everywhere. 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Hughes segment incorporates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continues to focus our efforts on optimizing financial returns of our existing satellites while planning for new satellite capacity to be launched, leased or acquired. In addition, we are also pursuing wireline and wireless capacity to utilize in markets that include residential, community WiFi, backhaul, and other enterprise broadband and multi-transport services. Our consumer revenue growth depends on our success in adding new and retaining existing subscribers, as well as increasing our ARPU. Service and acquisition costs related to ongoing support for our direct and indirect customers and partners are typically impacted most significantly by our growth. The growth of both our enterprise and consumer businesses rely heavily on global economic conditions and the competitive landscape for pricing relative to competitors and alternative technologies.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currently uses capacity from our owned and leased satellites, including additional satellite capacity leased from third-party providers to provide services to our customers. We also use other multi-transport capacity that includes cable, fiber, 5G, and 4G/LTE. Growth of our consumer subscriber base in the U.S. continues to be constrained where we are nearing or have reached maximum capacity in most areas. Our Latin America consumer subscriber base in certain areas has also become capacity constrained. These constraints are not expected to be resolved until we acquire additional capacity.</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2019, we entered into an agreement with Yahsat pursuant to which, in November 2019, Yahsat contributed its satellite communications services business in Brazil to one of our Brazilian subsidiaries in exchange for a 20% ownership interest in that subsidiary.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2019, we entered into an agreement with Bharti, pursuant to which Bharti will contribute its VSAT telecommunications services and hardware business in India to our two existing Indian subsidiaries that conduct our VSAT services and hardware business. On January 4, 2022, the formation of this joint venture was announced, with Bharti obtaining a 33% ownership interest in the combined business. The joint venture combines the VSAT businesses of both companies to offer flexible and scalable enterprise networking solutions using satellite connectivity for primary transport, back-up and hybrid implementation.</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service in North, Central and South America as well as enterprise broadband services. The EchoStar XXIV satellite is expected to be launched in the fourth quarter of 2022. Further delays or impediments could have a material adverse impact on our business operations, future revenues, financial position and prospects, the completion of manufacture of the EchoStar XXIV 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our Corporate and Other segment in our segment reporting.</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approximate number of broadband subscribers: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1,189,000</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1,239,000</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372,000</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238,000</w:t>
            </w:r>
          </w:p>
        </w:tc>
      </w:tr>
      <w:tr>
        <w:trPr>
          <w:trHeight w:val="248"/>
        </w:trPr>
        <w:tc>
          <w:tcPr>
            <w:tcW w:w="5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1,564,000</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1,477,000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number of net subscriber additions for each quarter in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For the Three Months Ended</w:t>
            </w:r>
          </w:p>
        </w:tc>
        <w:tc>
          <w:tcPr>
            <w:tcW w:w="15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174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ind w:left="38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rPr>
              <w:t>(25,000)</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8"/>
              </w:rPr>
              <w:t>14,000</w:t>
            </w:r>
          </w:p>
        </w:tc>
      </w:tr>
      <w:tr>
        <w:trPr>
          <w:trHeight w:val="248"/>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rPr>
              <w:t>(11,000)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U.S. consumer subscriber base in certain areas continues to be capacity constrained and we are managing the available capacity to maintain service quality to our existing subscribers. Balancing of total subscribers relative to capacity utilization in the fourth quarter resulted in lower total subscribers. During the fourth quarter, the lower net subscribers were due to both lower gross additions and higher churn as compared to the third quarter.</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Latin America consumer subscriber base in certain areas, similar to the U.S., has also become capacity constrained. Continued high bandwidth demand in certain areas has resulted in managing subscriber growth, and similar to the U.S. we are balancing capacity utilization with subscriber levels in the impacted areas which resulted in lower total subscribers. During the fourth quarter, the lower net subscribers were due to both lower gross additions and higher churn as compared to the third quarter.</w:t>
      </w:r>
    </w:p>
    <w:p>
      <w:pPr>
        <w:spacing w:after="0" w:line="21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As of December 31, 2021 and 2020, our Hughes segment had $1.4 billion and $1.3 billion of contracted revenue backlog, respectively. We define Hughes segment contracted revenue backlog as our expected future revenue under enterprise customer contracts that are non-cancelable, including lease revenue. Our contracted revenue backlog as of December 31, 2021 changed primarily due to an increase in contracts from our international customers. Of the total Hughes segment contracted revenue backlog as of December 31, 2021, we expect to recognize $506.1 million of revenue in 2022.</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and 2020, our ESS segment had contracted revenue backlog of $10.4 million and $6.7 million, respectively. We define contracted revenue backlog for our ESS segment as contracted future satellite lease revenue. Our contracted revenue backlog as of December 31, 2021, changed due to an increase in satellite service contracts with existing and new customers. Of the total ESS segment contracted revenue backlog as of December 31, 2021, we expect to recognize $5.9 million of revenue in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ongoing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LEO networks, MEO systems and multi-transport networks using combinations of technologies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continue to explore the development and deployment of S-band technologies that we expect will reduce the cost of satellite communications for internet of 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develop a hybrid MSS and CGC network in the E.U., the U.K. and other European countries, including through the use of our EchoStar XXI satellite, which was placed into service in November 2017, and the EUTELSAT 10A payload. We have positioned ourselves to continue to develop the S-band spectrum globally by acquiring Sirion Global Pty Ltd., which we have renamed EchoStar Global which holds global S-band non-geostationary satellite spectrum rights for MSS. Additionally, we entered into a contract with Tyvak Nano-Satellite Systems, Inc. for the design and construction of S-band nano-satellites. We launched two nano-satellites in the third quarter of 2020. Following launch, both nano-satellites experienced technical anomalies that precluded them from fulfilling their intended regulatory milestone missions. We obtained milestone relief due to these force majeure events. In the second quarter of 2021, we launched our third nano-satellite. The nano-satellite was successfully commissioned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placed at the altitude prescribed in our license for the S-band frequency. We have completed the process of fulfilling the remaining requirements under the ITU Radio Regulations of bringing the Australian filing into use. The nano-satellite will now be used to develop and test a wide range of potential S-band applications and services. We also hold licenses for S-band MSS and terrestrial services in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and the third parties whom we work with face a constantly evolving landscape of cybersecurity threats in which hackers and other parties use complex assortments of techniques and methods to execute cyberattacks. Cybersecurity incidents have increased significantly in quantity and severity and are expected to continue to increase. In addition to our efforts to mitigate cyber-attacks, we are making investments to alleviate the potential impact to our products. As a result of these efforts, we could discover new vulnerabilities within our products and systems. We may not discover all such vulnerabilities due to the scale of activities on our platforms, or due to other factors, including but not limited to issues outside of our control. In addition, our IT systems and infrastructure are vulnerable to damage from a variety of sources, including telecommunications or network failures, malicious acts, human errors and natural disasters. Moreover, despite network security and backup measures, some of our servers are potentially vulnerable to physical or electronic break-ins, computer viruses and similar disruptive problems.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year ended December 31, 2021 and through February 24, 2022.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year ended December 31, 2021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1800" w:type="dxa"/>
            <w:vAlign w:val="bottom"/>
            <w:gridSpan w:val="3"/>
          </w:tcPr>
          <w:p>
            <w:pPr>
              <w:ind w:left="94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1"/>
                <w:szCs w:val="21"/>
                <w:b w:val="1"/>
                <w:bCs w:val="1"/>
                <w:color w:val="auto"/>
                <w:vertAlign w:val="superscript"/>
              </w:rPr>
              <w:t>(1)</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1,715,287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1,682,304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32,983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270,433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205,603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1,985,720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1,887,907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97,813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551,679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577,943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231,975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166,435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65,540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461,705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474,912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31,777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29,448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525,011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1,768,710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1,775,434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217,010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112,473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(95,512)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(147,927)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69,531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6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Other-than-temporary impairment losses on equity method</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(55,266)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(88,663)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(140,308)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51,645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128,347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(27,835)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(65,626)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62,721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(51,904)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Less: Net loss (income) attributable to non-controlling</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10,154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11,754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60"/>
        </w:trPr>
        <w:tc>
          <w:tcPr>
            <w:tcW w:w="470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Net income (loss) attributable to EchoStar Corporation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72,875</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(40,150)</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113,025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00" w:type="dxa"/>
            <w:vAlign w:val="bottom"/>
            <w:tcBorders>
              <w:bottom w:val="single" w:sz="8" w:color="CCEEFF"/>
            </w:tcBorders>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common stock</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702,541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616,875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00" w:type="dxa"/>
            <w:vAlign w:val="bottom"/>
            <w:tcBorders>
              <w:bottom w:val="single" w:sz="8" w:color="CCEEFF"/>
            </w:tcBorders>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Subscribers, end of period</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1,462,000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1,564,000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 w:lineRule="exact"/>
        <w:rPr>
          <w:rFonts w:ascii="Arial" w:cs="Arial" w:eastAsia="Arial" w:hAnsi="Arial"/>
          <w:sz w:val="14"/>
          <w:szCs w:val="14"/>
          <w:color w:val="auto"/>
        </w:rPr>
      </w:pPr>
    </w:p>
    <w:p>
      <w:pPr>
        <w:ind w:left="340" w:hanging="332"/>
        <w:spacing w:after="0" w:line="258" w:lineRule="auto"/>
        <w:tabs>
          <w:tab w:leader="none" w:pos="394"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Consolidated Financial Statements, is included in Results of Operations. For further information on our use of EBITDA, see Explanation of Key Metrics and Other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years ended December 31, 2021 and 2020.</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$1.7 billion for the year ended December 31, 2021, an increase of $33.0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2.0%, as compared to 2020. The increase was primarily attributable to our Hughes segment related to higher sales of broadband services to our consumer customers of $27.8 million and to our mobile satellite system customers of $1.4 million. Sales of broadband services to our enterprise customers remained flat compared to 2020. Our Corporate and Other segment increased by $2.1 million. These variances reflect the negative impact of exchange rate fluctuations of $4.6 million, primarily attributable to our consumer customers.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$270.4 million for the year ended December 31, 2021, an increase of $ 64.8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31.5%, as compared to 2020. The increase was primarily attributable to increases in hardware sales of $ 76.7 million to our enterprise customers, partially offset by decreases in hardware sales to our mobile satellite system customers of $8.0 million and to our consumer customers of $3.9 million.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$551.7 million for the year ended December 31,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$26.3 million, or 4.5%, as compared to 2020. The decrease was attributable to lower costs of services provided to our consumer customers associated with customer care and field services as well as a non-recurring decrease in a certain international regulatory fee of $4.5 million.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$232.0 million for the year ended December 31, 2021, an increase of $ 65.5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39.4%, as compared to 2020. The increase was primarily attributable to the corresponding increase in equipment revenue and product mix.</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$461.7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 decrease of $13.2 million, or 2.8%, as compared to 2020. The decrease was primarily attributable to decreases in bad debt expense of $4.7 million and decreases in other selling, general and administrative expenses of $7.1 million.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$ 491.3 million for the year ended December 31,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$33.7 million, or 6.4%, as compared to 2020. The decrease was primarily attributable to (i) decreases in our satellite depreciation of $27.1 million, mainly related to our SPACEWAY 3 satellite which was fully depreciated at the end of the first quarter of 2021,</w:t>
      </w:r>
    </w:p>
    <w:p>
      <w:pPr>
        <w:spacing w:after="0" w:line="2" w:lineRule="exact"/>
        <w:rPr>
          <w:sz w:val="20"/>
          <w:szCs w:val="20"/>
          <w:color w:val="auto"/>
        </w:rPr>
      </w:pPr>
    </w:p>
    <w:p>
      <w:pPr>
        <w:ind w:firstLine="8"/>
        <w:spacing w:after="0" w:line="261" w:lineRule="auto"/>
        <w:tabs>
          <w:tab w:leader="none" w:pos="2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amortization of intangibles of $6.5 million, and (iii) decreases in other property and equipment depreciation expense of $2.9 million.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Impairment of long-lived assets totaled $ 0.2 million for the year ended December 31, 2021,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 million, or 85.5%, as compared to 2020. The decrease was primarily attributable to an impairment loss related to our nano-satellites which experienced technical anomalies following launch in 2020.</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$22.8 million for the year ended December 31, 2021, a decrease of $17.2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43.0%, as compared to 2020, primarily attributable to decreases in the yield on our marketable investment securities and a decrease in our marketable investment securities average balance.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$95.5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 decrease of $52.4 million, or 35.4%, as compared to 2020. The decrease was primarily attributable to a decrease of $41.4 million in interest expense and the amortization of deferred financing cost as a result of the repurchases and maturity of our 7 5/8% Senior Unsecured Notes due 2021 and an increase of $9.8 million in capitalized interest relating to the EchoStar XXIV satellite program.</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$69.5 million in gains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 increase of $ 100.8 million, as compared to 2020. The change was primarily attributable to increased gains on marketable investment securities of $ 63.7 million in 2021 as compared to 2020, gains on other equity securities of $7.1 million in 2021 and a $29.8 million impairment loss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losses for the year ended December 31, 2021, a decrease in losses of $2.1 million, or 28.9%, as compared to 2020. The decrease was related to net increased earnings from our investments in our equity method investees.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$12.6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2021, as compared to $6.0 million in gains for the year ended December 31, 2020, a negative change of $18.6 million. The change was due to the net impact of foreign exchange rate fluctuations of certain foreign currencies during the year.</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Other-than-temporary impairment losses on equity method investments. </w:t>
      </w:r>
      <w:r>
        <w:rPr>
          <w:rFonts w:ascii="Arial" w:cs="Arial" w:eastAsia="Arial" w:hAnsi="Arial"/>
          <w:sz w:val="18"/>
          <w:szCs w:val="18"/>
          <w:color w:val="auto"/>
        </w:rPr>
        <w:t>Other-than-temporary impairment losses on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was $55.3 million for the year ended December 31, 2021, related to the impairment of our investment in Dish Mexico. Given changing market trends, conditions, and company-specific events, we concluded that our investment in Dish Mexico was not recoverable.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totaled $12.4 million in losses for the year ended December 31, 2021, as compared to $0.2 million in gains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2020, an increase in losses of $12.6 million. The increase was primarily attributable to a litigation expense of $16.8 million and losses from debt repurchases on our 7 5/8% Senior Unsecured Notes due 2021 of $1.9 million, partially offset by dividends received from certain marketable equity securities of $2.5 million.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$(65.6) million for the year ended December 31, 2021,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$(24.1) million for the year ended December 31, 2020. Our effective income tax rate was 51.1% and (86.5)% for the years ended December 31, 2021 and 2020, respectively. The variations in our effective tax rate from the U.S. federal statutory rate for the year ended December 31, 2021 were primarily due to certain foreign losses and impairments where the Company carries a full valuation allowance, and the impact of state and local taxes. The variations in our current year effective tax rate from the U.S. federal statutory rate for the year ended December 31, 2020 were primarily due to the increase in our valuation allowance associated with certain foreign losses, permanent book tax differences, and by the impact of state and local taxes, partially offset by the change in net losses that are capital in nature and research and experimentation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The following table reconciles the change in 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(40,150)</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(55,266)</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(41,557)</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(18,628)</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(12,629)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100,837</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104,537</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72,875</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EBITDA to Net income (loss), the most directly comparable U.S. GAAP measure in our Consolidated Financial Statements: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(13.6)</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616,875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100,837</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70,855</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(12,629)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(18,628)</w:t>
            </w:r>
          </w:p>
        </w:tc>
      </w:tr>
      <w:tr>
        <w:trPr>
          <w:trHeight w:val="230"/>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(55,266)</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702,541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year ended December 31, 2021, as compared to the year ended December 31,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438,430</w:t>
            </w: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781,824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702,541</w:t>
            </w:r>
          </w:p>
        </w:tc>
        <w:tc>
          <w:tcPr>
            <w:tcW w:w="0" w:type="dxa"/>
            <w:vAlign w:val="bottom"/>
          </w:tcPr>
          <w:p>
            <w:pPr>
              <w:spacing w:after="0"/>
              <w:rPr>
                <w:sz w:val="1"/>
                <w:szCs w:val="1"/>
                <w:color w:val="auto"/>
              </w:rPr>
            </w:pPr>
          </w:p>
        </w:tc>
      </w:tr>
      <w:tr>
        <w:trPr>
          <w:trHeight w:val="260"/>
        </w:trPr>
        <w:tc>
          <w:tcPr>
            <w:tcW w:w="4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408,798</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482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8"/>
              </w:rPr>
              <w:t>95,392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ind w:left="430"/>
              <w:spacing w:after="0"/>
              <w:rPr>
                <w:sz w:val="20"/>
                <w:szCs w:val="20"/>
                <w:color w:val="auto"/>
              </w:rPr>
            </w:pPr>
            <w:r>
              <w:rPr>
                <w:rFonts w:ascii="Arial" w:cs="Arial" w:eastAsia="Arial" w:hAnsi="Arial"/>
                <w:sz w:val="18"/>
                <w:szCs w:val="18"/>
                <w:color w:val="auto"/>
              </w:rPr>
              <w:t>(58,894)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8"/>
              </w:rPr>
              <w:t>54,216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 was $2.0 billion for the year ended December 31, 2021, an increase of $95.4 million, or 5.1%, as compared to 2020. Services and other revenue increased primarily due to increases in sales of broadband services to our consumer customers of $27.8 million and to our mobile satellite system customers of $1.4 million. Sales of broadband services to our enterprise customers remained flat compared to 2020. Equipment revenue increased primarily due to increases in hardware sales of $76.7 million to our enterprise customers, partially offset by decreases in hardware sales to our mobile satellite system customers of $8.0 million and to our consumer customers of $ 3.9 million. These variances reflect the negative impact of exchange rate fluctuations of $4.7 million.</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were $296.3 million for the year ended December 31, 2021, a decrease of $58.9 million, or 16.6%, as compared to 2020, primarily due to decreases in expenditures associated with our consumer business, partially offset by increased expenditures related to our enterprise business and construction of our satellite-related ground infrastructure in preparation of the launch of EchoStar XXIV.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year ended December 31, 2020</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40" w:type="dxa"/>
            <w:vAlign w:val="bottom"/>
            <w:gridSpan w:val="7"/>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w w:val="99"/>
              </w:rPr>
              <w:t>Increase (decrease) in gains (losses) on investments,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20" w:type="dxa"/>
            <w:vAlign w:val="bottom"/>
            <w:gridSpan w:val="5"/>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EBITDA for the year ended December 31, 2021</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781,824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5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$17.7 million for the year ended December 31, 2021, which is primarily flat compared to 2020.</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$9.2 million for the year ended December 31, 2021, an increase of $1.3 million, or 16.7%, as compared to 2020, primarily due to the recovery of a bad debt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482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bl>
    <w:p>
      <w:pPr>
        <w:spacing w:after="0" w:line="180"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was $11.8 million for the year ended December 31, 2021, an increase of $2.1 million, or 22.1%, as compared to 2020, primarily due to increased services and other revenue from DISH Network.</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Capital expenditures were $142.1 million for the year ended December 31, 2021, an increase of $88.6 million, as compared to 2020, primarily due to increases in expenditures related to the EchoStar XXIV satellite program.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jc w:val="right"/>
              <w:ind w:right="1910"/>
              <w:spacing w:after="0"/>
              <w:rPr>
                <w:sz w:val="20"/>
                <w:szCs w:val="20"/>
                <w:color w:val="auto"/>
              </w:rPr>
            </w:pPr>
            <w:r>
              <w:rPr>
                <w:rFonts w:ascii="Arial" w:cs="Arial" w:eastAsia="Arial" w:hAnsi="Arial"/>
                <w:sz w:val="18"/>
                <w:szCs w:val="18"/>
                <w:color w:val="auto"/>
                <w:w w:val="99"/>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year ended December 31, 2020</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EBITDA for the year ended December 31, 2021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jc w:val="right"/>
              <w:ind w:right="3210"/>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90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results of operations for the year ended December 31, 2020 compared to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1800" w:type="dxa"/>
            <w:vAlign w:val="bottom"/>
            <w:gridSpan w:val="3"/>
          </w:tcPr>
          <w:p>
            <w:pPr>
              <w:ind w:left="94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line="223"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1"/>
                <w:szCs w:val="21"/>
                <w:b w:val="1"/>
                <w:bCs w:val="1"/>
                <w:color w:val="auto"/>
                <w:vertAlign w:val="superscript"/>
              </w:rPr>
              <w:t>(1)</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8"/>
              <w:spacing w:after="0"/>
              <w:rPr>
                <w:sz w:val="20"/>
                <w:szCs w:val="20"/>
                <w:color w:val="auto"/>
              </w:rPr>
            </w:pPr>
            <w:r>
              <w:rPr>
                <w:rFonts w:ascii="Arial" w:cs="Arial" w:eastAsia="Arial" w:hAnsi="Arial"/>
                <w:sz w:val="16"/>
                <w:szCs w:val="16"/>
                <w:color w:val="auto"/>
              </w:rPr>
              <w:t>1,682,304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1,619,271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63,033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205,603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266,810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1,887,907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1,886,081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160" w:type="dxa"/>
            <w:vAlign w:val="bottom"/>
          </w:tcPr>
          <w:p>
            <w:pPr>
              <w:spacing w:after="0"/>
              <w:rPr>
                <w:sz w:val="18"/>
                <w:szCs w:val="18"/>
                <w:color w:val="auto"/>
              </w:rPr>
            </w:pPr>
          </w:p>
        </w:tc>
        <w:tc>
          <w:tcPr>
            <w:tcW w:w="1460" w:type="dxa"/>
            <w:vAlign w:val="bottom"/>
          </w:tcPr>
          <w:p>
            <w:pPr>
              <w:jc w:val="right"/>
              <w:ind w:right="118"/>
              <w:spacing w:after="0"/>
              <w:rPr>
                <w:sz w:val="20"/>
                <w:szCs w:val="20"/>
                <w:color w:val="auto"/>
              </w:rPr>
            </w:pPr>
            <w:r>
              <w:rPr>
                <w:rFonts w:ascii="Arial" w:cs="Arial" w:eastAsia="Arial" w:hAnsi="Arial"/>
                <w:sz w:val="16"/>
                <w:szCs w:val="16"/>
                <w:color w:val="auto"/>
              </w:rPr>
              <w:t>577,943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561,353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160" w:type="dxa"/>
            <w:vAlign w:val="bottom"/>
          </w:tcPr>
          <w:p>
            <w:pPr>
              <w:spacing w:after="0"/>
              <w:rPr>
                <w:sz w:val="18"/>
                <w:szCs w:val="18"/>
                <w:color w:val="auto"/>
              </w:rPr>
            </w:pPr>
          </w:p>
        </w:tc>
        <w:tc>
          <w:tcPr>
            <w:tcW w:w="1460" w:type="dxa"/>
            <w:vAlign w:val="bottom"/>
          </w:tcPr>
          <w:p>
            <w:pPr>
              <w:jc w:val="right"/>
              <w:ind w:right="118"/>
              <w:spacing w:after="0"/>
              <w:rPr>
                <w:sz w:val="20"/>
                <w:szCs w:val="20"/>
                <w:color w:val="auto"/>
              </w:rPr>
            </w:pPr>
            <w:r>
              <w:rPr>
                <w:rFonts w:ascii="Arial" w:cs="Arial" w:eastAsia="Arial" w:hAnsi="Arial"/>
                <w:sz w:val="16"/>
                <w:szCs w:val="16"/>
                <w:color w:val="auto"/>
              </w:rPr>
              <w:t>166,435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226,002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(59,567)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460" w:type="dxa"/>
            <w:vAlign w:val="bottom"/>
          </w:tcPr>
          <w:p>
            <w:pPr>
              <w:jc w:val="right"/>
              <w:ind w:right="118"/>
              <w:spacing w:after="0"/>
              <w:rPr>
                <w:sz w:val="20"/>
                <w:szCs w:val="20"/>
                <w:color w:val="auto"/>
              </w:rPr>
            </w:pPr>
            <w:r>
              <w:rPr>
                <w:rFonts w:ascii="Arial" w:cs="Arial" w:eastAsia="Arial" w:hAnsi="Arial"/>
                <w:sz w:val="16"/>
                <w:szCs w:val="16"/>
                <w:color w:val="auto"/>
              </w:rPr>
              <w:t>474,912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509,145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460" w:type="dxa"/>
            <w:vAlign w:val="bottom"/>
          </w:tcPr>
          <w:p>
            <w:pPr>
              <w:jc w:val="right"/>
              <w:ind w:right="118"/>
              <w:spacing w:after="0"/>
              <w:rPr>
                <w:sz w:val="20"/>
                <w:szCs w:val="20"/>
                <w:color w:val="auto"/>
              </w:rPr>
            </w:pPr>
            <w:r>
              <w:rPr>
                <w:rFonts w:ascii="Arial" w:cs="Arial" w:eastAsia="Arial" w:hAnsi="Arial"/>
                <w:sz w:val="16"/>
                <w:szCs w:val="16"/>
                <w:color w:val="auto"/>
              </w:rPr>
              <w:t>29,448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25,739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60" w:type="dxa"/>
            <w:vAlign w:val="bottom"/>
          </w:tcPr>
          <w:p>
            <w:pPr>
              <w:jc w:val="right"/>
              <w:ind w:right="118"/>
              <w:spacing w:after="0"/>
              <w:rPr>
                <w:sz w:val="20"/>
                <w:szCs w:val="20"/>
                <w:color w:val="auto"/>
              </w:rPr>
            </w:pPr>
            <w:r>
              <w:rPr>
                <w:rFonts w:ascii="Arial" w:cs="Arial" w:eastAsia="Arial" w:hAnsi="Arial"/>
                <w:sz w:val="16"/>
                <w:szCs w:val="16"/>
                <w:color w:val="auto"/>
              </w:rPr>
              <w:t>525,011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490,765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1,775,434</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1,813,004</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(37,570)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112,473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73,077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195"/>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39,982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82,352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460" w:type="dxa"/>
            <w:vAlign w:val="bottom"/>
          </w:tcPr>
          <w:p>
            <w:pPr>
              <w:jc w:val="right"/>
              <w:ind w:right="78"/>
              <w:spacing w:after="0"/>
              <w:rPr>
                <w:sz w:val="20"/>
                <w:szCs w:val="20"/>
                <w:color w:val="auto"/>
              </w:rPr>
            </w:pPr>
            <w:r>
              <w:rPr>
                <w:rFonts w:ascii="Arial" w:cs="Arial" w:eastAsia="Arial" w:hAnsi="Arial"/>
                <w:sz w:val="16"/>
                <w:szCs w:val="16"/>
                <w:color w:val="auto"/>
              </w:rPr>
              <w:t>(147,927)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(251,016)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103,089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(31,306)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160" w:type="dxa"/>
            <w:vAlign w:val="bottom"/>
          </w:tcPr>
          <w:p>
            <w:pPr>
              <w:spacing w:after="0"/>
              <w:rPr>
                <w:sz w:val="18"/>
                <w:szCs w:val="18"/>
                <w:color w:val="auto"/>
              </w:rPr>
            </w:pPr>
          </w:p>
        </w:tc>
        <w:tc>
          <w:tcPr>
            <w:tcW w:w="1460" w:type="dxa"/>
            <w:vAlign w:val="bottom"/>
          </w:tcPr>
          <w:p>
            <w:pPr>
              <w:jc w:val="right"/>
              <w:ind w:right="78"/>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(14,734)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6,015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(140,308)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(166,242)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7"/>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Pr>
          <w:p>
            <w:pPr>
              <w:spacing w:after="0"/>
              <w:rPr>
                <w:sz w:val="17"/>
                <w:szCs w:val="17"/>
                <w:color w:val="auto"/>
              </w:rPr>
            </w:pPr>
          </w:p>
        </w:tc>
        <w:tc>
          <w:tcPr>
            <w:tcW w:w="1460" w:type="dxa"/>
            <w:vAlign w:val="bottom"/>
          </w:tcPr>
          <w:p>
            <w:pPr>
              <w:jc w:val="right"/>
              <w:ind w:right="78"/>
              <w:spacing w:after="0"/>
              <w:rPr>
                <w:sz w:val="20"/>
                <w:szCs w:val="20"/>
                <w:color w:val="auto"/>
              </w:rPr>
            </w:pPr>
            <w:r>
              <w:rPr>
                <w:rFonts w:ascii="Arial" w:cs="Arial" w:eastAsia="Arial" w:hAnsi="Arial"/>
                <w:sz w:val="16"/>
                <w:szCs w:val="16"/>
                <w:color w:val="auto"/>
              </w:rPr>
              <w:t>(27,835)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(93,165)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65,330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(24,069)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(20,488)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160" w:type="dxa"/>
            <w:vAlign w:val="bottom"/>
          </w:tcPr>
          <w:p>
            <w:pPr>
              <w:spacing w:after="0"/>
              <w:rPr>
                <w:sz w:val="17"/>
                <w:szCs w:val="17"/>
                <w:color w:val="auto"/>
              </w:rPr>
            </w:pPr>
          </w:p>
        </w:tc>
        <w:tc>
          <w:tcPr>
            <w:tcW w:w="1460" w:type="dxa"/>
            <w:vAlign w:val="bottom"/>
          </w:tcPr>
          <w:p>
            <w:pPr>
              <w:jc w:val="right"/>
              <w:ind w:right="78"/>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(113,653)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income (loss) from discontinued operations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8"/>
                <w:szCs w:val="18"/>
                <w:color w:val="auto"/>
              </w:rPr>
            </w:pPr>
          </w:p>
        </w:tc>
        <w:tc>
          <w:tcPr>
            <w:tcW w:w="1460" w:type="dxa"/>
            <w:vAlign w:val="bottom"/>
          </w:tcPr>
          <w:p>
            <w:pPr>
              <w:jc w:val="right"/>
              <w:ind w:right="78"/>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(74,252)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ind w:left="240"/>
              <w:spacing w:after="0" w:line="181" w:lineRule="exact"/>
              <w:rPr>
                <w:sz w:val="20"/>
                <w:szCs w:val="20"/>
                <w:color w:val="auto"/>
              </w:rPr>
            </w:pPr>
            <w:r>
              <w:rPr>
                <w:rFonts w:ascii="Arial" w:cs="Arial" w:eastAsia="Arial" w:hAnsi="Arial"/>
                <w:sz w:val="16"/>
                <w:szCs w:val="16"/>
                <w:color w:val="auto"/>
              </w:rPr>
              <w:t>Less: Net loss (income) attributable to non-controlling</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11,754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11,335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57"/>
        </w:trPr>
        <w:tc>
          <w:tcPr>
            <w:tcW w:w="470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Net income (loss) attributable to EchoStar Corporation</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78"/>
              <w:spacing w:after="0"/>
              <w:rPr>
                <w:sz w:val="20"/>
                <w:szCs w:val="20"/>
                <w:color w:val="auto"/>
              </w:rPr>
            </w:pPr>
            <w:r>
              <w:rPr>
                <w:rFonts w:ascii="Arial" w:cs="Arial" w:eastAsia="Arial" w:hAnsi="Arial"/>
                <w:sz w:val="16"/>
                <w:szCs w:val="16"/>
                <w:color w:val="auto"/>
              </w:rPr>
              <w:t>(40,150)</w:t>
            </w:r>
          </w:p>
        </w:tc>
        <w:tc>
          <w:tcPr>
            <w:tcW w:w="12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(62,917)</w:t>
            </w:r>
          </w:p>
        </w:tc>
        <w:tc>
          <w:tcPr>
            <w:tcW w:w="12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22,767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0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common stock</w:t>
            </w:r>
          </w:p>
        </w:tc>
        <w:tc>
          <w:tcPr>
            <w:tcW w:w="16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616,875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577,599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1,564,000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1,477,000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 w:lineRule="exact"/>
        <w:rPr>
          <w:rFonts w:ascii="Arial" w:cs="Arial" w:eastAsia="Arial" w:hAnsi="Arial"/>
          <w:sz w:val="14"/>
          <w:szCs w:val="14"/>
          <w:color w:val="auto"/>
        </w:rPr>
      </w:pPr>
    </w:p>
    <w:p>
      <w:pPr>
        <w:ind w:left="340" w:hanging="332"/>
        <w:spacing w:after="0" w:line="258" w:lineRule="auto"/>
        <w:tabs>
          <w:tab w:leader="none" w:pos="394"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years ended December 31, 2020 and 2019.</w:t>
      </w:r>
    </w:p>
    <w:p>
      <w:pPr>
        <w:spacing w:after="0" w:line="23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$1.7 billion for the year ended December 31, 2020,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$63.0 million, or 3.9%, as compared to 2019.</w:t>
      </w:r>
    </w:p>
    <w:p>
      <w:pPr>
        <w:spacing w:after="0" w:line="202" w:lineRule="exact"/>
        <w:rPr>
          <w:sz w:val="20"/>
          <w:szCs w:val="20"/>
          <w:color w:val="auto"/>
        </w:rPr>
      </w:pPr>
    </w:p>
    <w:p>
      <w:pPr>
        <w:jc w:val="both"/>
        <w:ind w:left="660" w:hanging="328"/>
        <w:spacing w:after="0" w:line="25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Services and other revenue from our Hughes segment for the year ended December 31, 2020 increased by $69.2 million, or 4.4%, to $1.7 billion compared to 2019. The increase was primarily attributable to increases in sales of broadband services to our consumer customers of $109.3 million, partially offset by a decrease in sales of services to our enterprise customers of $35.9 million. These variances reflect the negative impact of exchange rate fluctuations of $35.6 million, primarily attributable to our consumer customers.</w:t>
      </w:r>
    </w:p>
    <w:p>
      <w:pPr>
        <w:spacing w:after="0" w:line="23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Services and other revenue from our Corporate and Other segment for the year ended December 31, 2020 decreased by $7.3 million, or 43.0%, to $9.7 million compared to 2019, primarily attributable to a decrease in income from certain real estate previously leased to DISH Network and transferred as part of the BSS Transaction.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$205.6 million for the year ended December 31, 2020, a decrease of $61.2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22.9%, as compared to 2019. The decrease was primarily attributable to $43.2 million related to the bankruptcy of a certain customer and $38.9 million decreased sales to our international enterprise customers, partially offset by $24.7 million increased sales to our domestic enterprise customers. These variances reflect the negative impact of exchange rate fluctuations of $3.5 million, primarily attributable to our enterprise customers.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$577.9 million for the year ended December 31,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$16.6 million, or 3.0%, as compared to 2019. The increase was primarily attributable to the corresponding increase in services and other revenue.</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$166.4 million for the year ended December 31, 2020,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$59.6 million, or 26.4%, as compared to 2019. The decrease was primarily attributable to the corresponding reduction in equipment revenue.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$474.9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 decrease of $34.2 million, or 6.7%, as compared to 2019. The decrease was primarily attributable to expenses related to the license fee dispute in India of $9.4 million in 2019, certain legal proceedings of $ 25.7 million in 2019, and decreased sales and marketing expenses of $6.4 million in 2020, partially offset by increases in other general and administrative expenses of $7.3 million in 2020.</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$525.0 million for the year ended December 31, 2020,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$ 34.2 million, or 7.0%, as compared to 2019. The increase was primarily attributable to increases in depreciation expense of $21.8 million relating to our customer premises equipment and $13.4 million relating to the depreciation of assets acquired in the Yahsat Brazil JV Transaction of which $ 7.9 million are related to non-recurring accelerated depreciation of assets that were scheduled for replacement after the Yahsat Brazil JV Transaction.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Impairment of long-lived assets totaled $1.7 million for the year ended December 31, 2020, attributable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impairment loss related to our nano-satellites which experienced technical anomalies following launch.</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$40.0 million for the year ended December 31, 2020, a decrease of $42.4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51.4%, as compared to 2019, primarily attributable to decreases in the yield on our marketable investment securities and lower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$147.9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 decrease of $ 103.1 million, or 41.1%, as compared to 2019. The decrease was primarily attributable to a decrease of $29.0 million in interest expense and in amortization of deferred financing cost as a result of the purchase and maturity in June 2019 of our 6 1/2% Senior Secured Notes due in 2019, a decrease of $ 66.1 million of interest expense related to the license fee dispute in India, a decrease of $4.1 million related to a certain legal proceeding in 2019 and an increase of $4.8 million in capitalized interest in 2020 relating to the construction of the EchoStar XXIV satellite and its related infrastructure.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$31.3 million in losses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compared to $28.9 million in gains for the year ended December 31, 2019, a negative change of $ 60.2 million. The change was primarily attributable to $ 69.0 million of net negative variances on marketable investment securities compared to 2019, partially offset by an $6.9 million loss in Other Equity Investments in 2020.</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$7.3 million in losses for the year ended December 31, 2020, a decrease in losses of $7.5 million, or 50.7%, as compared to 2019. The decrease in losses was related to decreased losses from our investments in our equity method investees.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$6.0 million in gains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2020, as compared to $11.6 million in losses for the year ended December 31, 2019, a positive change of $17.6 million. The change was due to the net weakening of the U.S. dollar against certain foreign currencies in 2020 compared to 2019.</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$(24.1) million for the year ended December 31,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$(20.5) million for the year ended December 31, 2019. Our effective income tax rate was (86.5)% and (59.8)% for the years ended December 31, 2020 and 2019, respectively. The variations in our effective tax rate from the U.S. federal statutory rate for the year ended December 31, 2020 were primarily due to the increase in our valuation allowance associated with certain foreign losses, permanent book tax differences and the impact of state and local taxes, partially offset by the change in net losses that are capital in nature and research and experimentation credits. The variations in our current year effective tax rate from the U.S. federal statutory rate for the year ended December 31, 2019 were primarily due to the increase in our valuation allowance associated with certain foreign losses and by the impact of state and local taxes partially offset by the change in net unrealized gains that are capital in nature and research and experimentation credits.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income (loss) attributable to EchoStar Corporation common stock. </w:t>
      </w:r>
      <w:r>
        <w:rPr>
          <w:rFonts w:ascii="Arial" w:cs="Arial" w:eastAsia="Arial" w:hAnsi="Arial"/>
          <w:sz w:val="18"/>
          <w:szCs w:val="18"/>
          <w:color w:val="auto"/>
        </w:rPr>
        <w:t>The following table reconciles the change in 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(62,917)</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103,089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39,396</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17,605</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(3,581)</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from discontinued operations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(39,401)</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(42,370)</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(60,218)</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for the year ended December 31, 2020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(40,150)</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EBITDA to Net income (loss), the most directly comparable U.S. GAAP measure in our Consolidated Financial Statements: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00" w:type="dxa"/>
            <w:vAlign w:val="bottom"/>
          </w:tcPr>
          <w:p>
            <w:pPr>
              <w:spacing w:after="0"/>
              <w:rPr>
                <w:sz w:val="20"/>
                <w:szCs w:val="20"/>
                <w:color w:val="auto"/>
              </w:rPr>
            </w:pPr>
          </w:p>
        </w:tc>
        <w:tc>
          <w:tcPr>
            <w:tcW w:w="322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gridSpan w:val="4"/>
          </w:tcPr>
          <w:p>
            <w:pPr>
              <w:jc w:val="right"/>
              <w:ind w:right="11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Amounts</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42,370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(103,089)</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3,581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39,401</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616,875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39,276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vMerge w:val="restart"/>
          </w:tcPr>
          <w:p>
            <w:pPr>
              <w:spacing w:after="0"/>
              <w:rPr>
                <w:sz w:val="20"/>
                <w:szCs w:val="20"/>
                <w:color w:val="auto"/>
              </w:rPr>
            </w:pPr>
            <w:r>
              <w:rPr>
                <w:rFonts w:ascii="Arial" w:cs="Arial" w:eastAsia="Arial" w:hAnsi="Arial"/>
                <w:sz w:val="18"/>
                <w:szCs w:val="18"/>
                <w:color w:val="auto"/>
              </w:rPr>
              <w:t>The following table reconciles the change in EBITDA:</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2019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gridSpan w:val="7"/>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73,642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5"/>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7,467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616,875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year ended December 31, 2020, as compared to the year ended December 31, 2019: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408,798</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727,608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616,875</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For the year ended December 31, 2019</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1,886,081</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308,781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418,074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482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4"/>
                <w:szCs w:val="24"/>
                <w:color w:val="auto"/>
              </w:rPr>
            </w:pPr>
          </w:p>
        </w:tc>
        <w:tc>
          <w:tcPr>
            <w:tcW w:w="186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 was $1.9 billion for the year ended December 31, 2020, an increase of $8.1 million, or 0.4%, as compared to 2019. Services and other revenue increased primarily due to increases in sales of broadband services to our consumer customers of $109.3 million, partially offset by a decrease in sales of services to our enterprise customers of $35.9 million. These variances reflect the negative impact of exchange rate fluctuations of $35.6 million, primarily attributable to our consumer customers. Equipment revenue decreased primarily due to $43.2 million related to the bankruptcy of a certain customer and $38.9 million decreased sales to our international enterprise customers, partially offset by $24.7 million increased sales to our domestic enterprise customers. These variances reflect the negative impact of exchange rate fluctuations of $3.5 million, primarily attributable to our enterprise customers.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were $355.2 million for the year ended December 31, 2020, an increase of $46.4 million, or 15.0%, as compared to 2019, primarily due to increases in expenditures associated with our consumer business and construction of our satellite-related ground infrastructure.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Amounts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2019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625,660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7"/>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80,562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8,770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727,608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4"/>
          </w:tcPr>
          <w:p>
            <w:pPr>
              <w:jc w:val="right"/>
              <w:ind w:right="1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Amounts</w:t>
            </w:r>
          </w:p>
        </w:tc>
        <w:tc>
          <w:tcPr>
            <w:tcW w:w="12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was $17.4 million for the year ended December 31, 2020, an increase of $1.1 million, or 7.0%, as compared to 2019, primarily due to an increase in transponder services provided to third parties.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EBITDA was $ 7.9 million for the year ended December 31, 2020, an increase of $0.9 million, or 12.6%, as compared to 2019, primarily due to the increase in overall ESS segment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4820" w:type="dxa"/>
            <w:vAlign w:val="bottom"/>
          </w:tcPr>
          <w:p>
            <w:pPr>
              <w:spacing w:after="0"/>
              <w:rPr>
                <w:sz w:val="24"/>
                <w:szCs w:val="24"/>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4"/>
                <w:szCs w:val="24"/>
                <w:color w:val="auto"/>
              </w:rPr>
            </w:pPr>
          </w:p>
        </w:tc>
        <w:tc>
          <w:tcPr>
            <w:tcW w:w="1900" w:type="dxa"/>
            <w:vAlign w:val="bottom"/>
            <w:gridSpan w:val="3"/>
          </w:tcPr>
          <w:p>
            <w:pPr>
              <w:ind w:left="98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6"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was $9.7 million for the year ended December 31, 2020, a decrease of $7.4 million, or 43.4%, as compared to 2019, which was primarily attributable to a decrease in income from certain real estate previously leased to DISH Network and transferred as part of the BSS Transaction.</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Capital expenditures were $53.6 million for the year ended December 31, 2020, a decrease of $55.7 million, or 51.0%, as compared to 2019, primarily due to decreases in satellite expenditures on the EchoStar XXIV satellite.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8,823</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r>
      <w:tr>
        <w:trPr>
          <w:trHeight w:val="230"/>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year ended December 31, 2020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See Item 7A. Quantitative and Qualitative Disclosures about Market Risk in this Form 10-K for further discussion regarding our marketable investment securities.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and 2020, our cash, cash equivalents and marketable investment securities totaled $1.5 billion and $2.5 billion, respectively, of which $1.0 billion and $1.6 billion, respectively, we held as marketable investment securities, consisting of various debt and equity instruments including corporate bonds, corporate equity securities, government bonds and mutual funds.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discussion highlights our cash flow activities, which include results from continuing and discontinued operations,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6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Variance</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97,838</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(1,142,455)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1,301,385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(1,131,725)</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Cash flows provided by (used for) operating activities increased by $97.8 million primarily attributable to changes in net income (loss) of $114.6 million, gains (losses) on investments, net of $(100.8) million, foreign currency translation losses (gains), net of $18.6 million, deferred tax provision (benefit), net of $19.5 million, other-than-temporary impairment losses on equity method investments of $55.3 million, and changes in assets and liabilities, net of $(1.3) million.</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(used for) investing activities increased by $1.3 billion primarily attributable to our marketable investment securities net activity, other investments net activity and an increase in expenditures for property and equipment.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(used for) financing activities decreased by $1.1 billion primarily attributable to the repurchase and maturity of our 7 5/8% Senior Unsecured Notes due 2021 of $(901.8) million and treasury share repurchases of $(261.4) million.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6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Variance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(1,142,455)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821,958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(1,964,413)</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869,691</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(1,217,471)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(used for) operating activities decreased by $121.9 million primarily attributable to changes in net income (loss) of $22.3 million, depreciation and amortization of $63.2 million, gains (losses) on investments, net of $60.2 million, foreign currency translation losses (gains), net of $(17.6) million, deferred tax provision (benefit), net of $(14.4) million, and changes in assets and liabilities, net of $(80.0) million.</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flows provided by (used for) investing activities decreased by $ 2.0 billion primarily attributable to our marketable investment securities and other investments net activity and an increase in expenditures for property and equipment.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provided by (used for) financing activities increased by $869.7 million primarily attributable cash outflows for the year ended December 31, 2019 of $920.9 million for the repurchase and maturity of our 6 1/2% Senior Secured Notes due 2019 and treasury share repurchases of $(43.5)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12"/>
          </w:tcPr>
          <w:p>
            <w:pPr>
              <w:jc w:val="right"/>
              <w:ind w:right="99"/>
              <w:spacing w:after="0"/>
              <w:rPr>
                <w:sz w:val="20"/>
                <w:szCs w:val="20"/>
                <w:color w:val="auto"/>
              </w:rPr>
            </w:pPr>
            <w:r>
              <w:rPr>
                <w:rFonts w:ascii="Arial" w:cs="Arial" w:eastAsia="Arial" w:hAnsi="Arial"/>
                <w:sz w:val="16"/>
                <w:szCs w:val="16"/>
                <w:b w:val="1"/>
                <w:bCs w:val="1"/>
                <w:color w:val="auto"/>
              </w:rPr>
              <w:t>Payments Due in the Years Ending December 31,</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2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4"/>
              <w:spacing w:after="0" w:line="212" w:lineRule="exact"/>
              <w:rPr>
                <w:sz w:val="20"/>
                <w:szCs w:val="20"/>
                <w:color w:val="auto"/>
              </w:rPr>
            </w:pPr>
            <w:r>
              <w:rPr>
                <w:rFonts w:ascii="Arial" w:cs="Arial" w:eastAsia="Arial" w:hAnsi="Arial"/>
                <w:sz w:val="24"/>
                <w:szCs w:val="24"/>
                <w:b w:val="1"/>
                <w:bCs w:val="1"/>
                <w:color w:val="auto"/>
                <w:vertAlign w:val="subscript"/>
              </w:rPr>
              <w:t>Total</w:t>
            </w:r>
            <w:r>
              <w:rPr>
                <w:rFonts w:ascii="Arial" w:cs="Arial" w:eastAsia="Arial" w:hAnsi="Arial"/>
                <w:sz w:val="9"/>
                <w:szCs w:val="9"/>
                <w:b w:val="1"/>
                <w:bCs w:val="1"/>
                <w:color w:val="auto"/>
              </w:rPr>
              <w:t xml:space="preserve"> (6)(7)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Thereafter</w:t>
            </w:r>
          </w:p>
        </w:tc>
      </w:tr>
      <w:tr>
        <w:trPr>
          <w:trHeight w:val="210"/>
        </w:trPr>
        <w:tc>
          <w:tcPr>
            <w:tcW w:w="28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on long-term debt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445,315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89,063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Satellite-related commitments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109,005</w:t>
            </w:r>
          </w:p>
        </w:tc>
      </w:tr>
      <w:tr>
        <w:trPr>
          <w:trHeight w:val="216"/>
        </w:trPr>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102,582</w:t>
            </w:r>
          </w:p>
        </w:tc>
      </w:tr>
      <w:tr>
        <w:trPr>
          <w:trHeight w:val="216"/>
        </w:trPr>
        <w:tc>
          <w:tcPr>
            <w:tcW w:w="2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Finance lease obligations </w:t>
            </w:r>
            <w:r>
              <w:rPr>
                <w:rFonts w:ascii="Arial" w:cs="Arial" w:eastAsia="Arial" w:hAnsi="Arial"/>
                <w:sz w:val="21"/>
                <w:szCs w:val="21"/>
                <w:color w:val="auto"/>
                <w:vertAlign w:val="superscript"/>
              </w:rPr>
              <w:t>(5)</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880" w:type="dxa"/>
            <w:vAlign w:val="bottom"/>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2,489,963</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254,050</w:t>
            </w:r>
          </w:p>
        </w:tc>
        <w:tc>
          <w:tcPr>
            <w:tcW w:w="3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137,389</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132,046</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128,612</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1,626,279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211,587</w:t>
            </w:r>
          </w:p>
        </w:tc>
      </w:tr>
      <w:tr>
        <w:trPr>
          <w:trHeight w:val="23"/>
        </w:trPr>
        <w:tc>
          <w:tcPr>
            <w:tcW w:w="28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18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Assumes all long-term debt is outstanding until scheduled maturity.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interest on long-term debt.</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2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payments pursuant to: i) agreements for the construction of the EchoStar XXIV satellite, ii) the EchoStar XXIV launch contract, iii) regulatory authorizations, non-lease costs associated with our finance lease satellites, in-orbit incentives relating to certain satellites and commitments for satellite service arrangements.</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Operating leases consist primarily of leases for office space, data centers and satellite-related ground infrastructure.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Finance leases consist primarily of leases for satellite capacity.</w:t>
      </w:r>
    </w:p>
    <w:p>
      <w:pPr>
        <w:spacing w:after="0" w:line="1" w:lineRule="exact"/>
        <w:rPr>
          <w:rFonts w:ascii="Arial" w:cs="Arial" w:eastAsia="Arial" w:hAnsi="Arial"/>
          <w:sz w:val="14"/>
          <w:szCs w:val="14"/>
          <w:color w:val="auto"/>
        </w:rPr>
      </w:pPr>
    </w:p>
    <w:p>
      <w:pPr>
        <w:ind w:left="340" w:hanging="332"/>
        <w:spacing w:after="0" w:line="241" w:lineRule="auto"/>
        <w:tabs>
          <w:tab w:leader="none" w:pos="2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table excludes amounts related to deferred tax liabilities, unrecognized tax positions and certain other amounts recorded in our non-current liabilities as the timing of any payments is uncertain.</w:t>
      </w: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table excludes long-term deferred revenue and other long-term liabilities that do not require future cash payments.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we had foreign currency forward contracts with a notional value of $12.8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December 31, 2021</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89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4,120</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30,775</w:t>
            </w:r>
          </w:p>
        </w:tc>
      </w:tr>
      <w:tr>
        <w:trPr>
          <w:trHeight w:val="223"/>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48,185</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or to improve the quality of our satellite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Our satellites and other payloads, either in orbit or under construction, are not covered by launch or in-orbit insurance. We will continue to assess circumstances going forward and make insurance-related decisions on a case-by-case basis.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significant amount of outstanding indebtedness. As of December 31, 2021, our total indebtedness was $1.5 billion. Our liquidity requirements will continue to be significant, primarily due to our remaining debt service requirements and the design and construction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2021.</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and including December 31, 2021. On November 2, 2021, our Board of Directors authorized us to repurchase up to $500.0 million of our Class A common stock commencing January 1, 2022 through and including December 31, 2022.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twelve months ended December 31, 2021, we repurchased 10,941,872 shares of our Class A common stock for $261.6 million under this program. The remaining authorization under this program, which expired on December 31, 2021, was $194.9 million.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our significant accounting policies, including those discussed below, see Note 2 in our Consolidated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our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our Consolidated Financial Statements. We base our estimates, judgments and assumptions on historical experience and on various other factors that we believe to be relevant under the circumstances. Actual results may differ from previously estimated amounts, and such differences may be material to our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an accrual for litigation and other loss contingencies when we determine that a loss is probable and the amount of the loss can be reasonably estimated. Legal fees and other costs of defending legal proceedings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market value or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The estimated fair value is determined primarily using market value or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evaluate goodwill and intangible assets with indefinite lives for impairment on an annual basis or whenever events and changes in circumstances indicate the carrying amounts may not be recoverable. Our impairment assessment typically begins with a qualitative assessment to determine whether it is more likely than not the fair value of the indefinite lived asset or reporting unit is less than its carrying amount. The qualitative assessment includes comparing the overall financial performance against the planned results. Additionally, fair value is assessed under certain events and circumstances, including macroeconomic conditions, industry and market considerations, cost factors, and other relevant entity-specific events which requires significant judgment. If we determine in the qualitative assessment that it is more likely than not that the fair value is less than its carrying value, then we estimate the fair value using discounted cash flows or market value and compare the estimated fair value to its carrying value. If the carrying value exceeds the fair value, then an impairment is recognized for the difference.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investments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evaluate all of our investments to determine whether events or changes in circumstances have occurred that may have a significant adverse effect on the fair value of the investment and/or if there has been observable price changes in orderly transactions for identical or similar securities of the same issuer.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Indicators of impairment may include, but are not limited to, unprofitable operations, material loss contingencies, changes in business strategy, changes in the investees’ enterprise value and changes in the investees’ investment pricing. When we determine that one of our other investments is impaired we reduce its carrying value to its estimated fair value and recognize the impairment loss. Additionally, when there has been an observable price change to a cost method investment, we adjust the carrying amount of the investment to its then estimated fair value and recognize the investment gain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Our income tax policy is to record the estimated future tax effects of temporary differences between the tax bases of assets and liabilities and amounts reported in the accompanying consolidated balance sheets, as well as operating loss and tax credit carryforwards. Determining necessary valuation allowances requires us to make assessments about the timing of future events, including the probability of expected future taxable income and available tax planning opportunities. We periodically evaluate our need for a valuation allowance based on both historical evidence, including trends, and future expectations in each reporting period. Any such valuation allowance is recorded in either </w:t>
      </w:r>
      <w:r>
        <w:rPr>
          <w:rFonts w:ascii="Arial" w:cs="Arial" w:eastAsia="Arial" w:hAnsi="Arial"/>
          <w:sz w:val="18"/>
          <w:szCs w:val="18"/>
          <w:i w:val="1"/>
          <w:iCs w:val="1"/>
          <w:color w:val="auto"/>
        </w:rPr>
        <w:t xml:space="preserve">Income tax benefit (provision), net </w:t>
      </w:r>
      <w:r>
        <w:rPr>
          <w:rFonts w:ascii="Arial" w:cs="Arial" w:eastAsia="Arial" w:hAnsi="Arial"/>
          <w:sz w:val="18"/>
          <w:szCs w:val="18"/>
          <w:color w:val="auto"/>
        </w:rPr>
        <w:t>on our Consolidated Statements of Operations and Consolidated Statements of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 or Accumulated other comprehensive income (loss) within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on our Consolidated Balance Sheets. Future performance could have a significant effect on the realization of tax benefits, or reversals of valuation allowances, as reported in our consolidated results of operations.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 evaluates the recognition and measurement of uncertain tax positions based on applicable tax law, regulations, case law, administrative rulings and pronouncements and the facts and circumstances surrounding the tax position. Changes in our estimates related to the recognition and measurement of the amount recorded for uncertain tax positions could result in significant changes in our </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 (provision), net, </w:t>
      </w:r>
      <w:r>
        <w:rPr>
          <w:rFonts w:ascii="Arial" w:cs="Arial" w:eastAsia="Arial" w:hAnsi="Arial"/>
          <w:sz w:val="18"/>
          <w:szCs w:val="18"/>
          <w:color w:val="auto"/>
        </w:rPr>
        <w:t>which could be material to our consolidated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 discussion of new accounting pronouncements, refer to Note 2. Summary of Significant Accounting Policies in our Consolidated Financial Statements. We are continuing to assess the impact of adopting certain recently issued accounting pronouncements on our Consolidated Financial Statements and related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cannot predict with any certainty whether these trends will continue in the near future as the economy and our customers react to the COVID-19 pandemic and experience associated disruptions and dislocations.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SUPPLY CHAIN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has started to impact our operations in 2021 as we have experienced increased costs in certain functional areas including field services and customer care. We are unable to predict the extent or nature of any future inflationary pressure at this time. Our ability to increase the prices charged for our products and services in future periods will depend primarily on competitive pressures or contractual terms.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worldwide interruptions and delays in the supply of components, materials and parts, although not materially impacting our operations during 2021, may impact our ability to timely provide equipment deliveries in the future. These interruptions and delays could also increase the cost of our equipment which we may not be able to pass onto our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Consolidated Financial Statements.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income (loss) from discontinued operations</w:t>
      </w:r>
      <w:r>
        <w:rPr>
          <w:rFonts w:ascii="Arial" w:cs="Arial" w:eastAsia="Arial" w:hAnsi="Arial"/>
          <w:sz w:val="18"/>
          <w:szCs w:val="18"/>
          <w:color w:val="auto"/>
        </w:rPr>
        <w:t>. Net income (loss) from discontinued operations includes the financial results of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transferred in the BSS Transaction, except for certain real estate that transferred in the transaction.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3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our cash, cash equivalents and marketable investment securities had a fair value of $1.5 billion. Of this amount, a total of $1.4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$1.4 billion as of December 31, 2021, a hypothetical 10% change in average interest rates during 2021 would not have had a material impact on the fair value of our cash, cash equivalents and debt securities portfolio due to the limited duration of our investments.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year ended December 31, 2021 of 0.23%. A change in interest rates would affect our future annual interest income from this portfolio, since funds would be re-invested at different rates as the instruments mature. A hypothetical 10% decrease in average interest rates during 2021 would have resulted in a decrease of $0.4 million in annual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Marketable Investment Securities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2021, we held investments in the publicly traded securities of several companies with a fair value of $142.9 million. These investments, which are held for strategic and financial purposes, are concentrated in a small number of companies, are highly speculative and have historically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2021 would have resulted in a decrease of $14.3 million in the fair value of these investments.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we had $206.5 million of other equity investments and other debt investments of privately held companies that we hold for strategic business purposes. The fair value of these investments is not readily determinable. We periodically review these investments and may adjust the carrying amount to their estimated fair value when there are indications of impairment, observable prices changes for the investments or observable transactions of the same investments. A hypothetical adverse change equal to 10% of the carrying amount of these equity instruments during 2021 would have resulted in a decrease of $20.7 million in the value of these investments.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2021, we had foreign currency forward contracts with a notional value of $12.8 million in place to partially mitigate foreign currency exchange risk. The estimated fair values of the foreign currency contracts were not material as of December 31, 2021. The impact of a hypothetical 10% adverse change in exchange rates on the carrying amount of the net assets and liabilities of our foreign subsidiaries during 2021 would have resulted in an estimated loss to the cumulative translation adjustment of $42.6 million as of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currency exchange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included in Item 15 of this Form 10-K.</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10-K. Based upon that evaluation, our Chief Executive Officer and Chief Financial Officer concluded that our disclosure controls and procedures were effective as of the end of the period covered by this Form 10-K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Securities Exchange Act of 1934, as amended) that occurred during the three months ended December 31, 2021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660" w:hanging="409"/>
        <w:spacing w:after="0" w:line="261"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2" w:lineRule="exact"/>
        <w:rPr>
          <w:rFonts w:ascii="Arial" w:cs="Arial" w:eastAsia="Arial" w:hAnsi="Arial"/>
          <w:sz w:val="18"/>
          <w:szCs w:val="18"/>
          <w:color w:val="auto"/>
        </w:rPr>
      </w:pPr>
    </w:p>
    <w:p>
      <w:pPr>
        <w:jc w:val="both"/>
        <w:ind w:left="660" w:right="20" w:hanging="409"/>
        <w:spacing w:after="0" w:line="256" w:lineRule="auto"/>
        <w:tabs>
          <w:tab w:leader="none" w:pos="7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generally accepted accounting principles in the United States, and that our receipts and expenditures are being made only in accordance with authorizations of our management and our directors; and</w:t>
      </w:r>
    </w:p>
    <w:p>
      <w:pPr>
        <w:spacing w:after="0" w:line="66" w:lineRule="exact"/>
        <w:rPr>
          <w:rFonts w:ascii="Arial" w:cs="Arial" w:eastAsia="Arial" w:hAnsi="Arial"/>
          <w:sz w:val="18"/>
          <w:szCs w:val="18"/>
          <w:color w:val="auto"/>
        </w:rPr>
      </w:pPr>
    </w:p>
    <w:p>
      <w:pPr>
        <w:ind w:left="660" w:right="20" w:hanging="409"/>
        <w:spacing w:after="0" w:line="261" w:lineRule="auto"/>
        <w:tabs>
          <w:tab w:leader="none" w:pos="7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2021.</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KPMG LLP, an independent registered public accounting firm, as stated in their report which appears in Item 15(a) of this Form 10-K.</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24, 2022, we issued a press release (the “Press Release”) announcing our financial results for the quarter and year ended December 31, 2021.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with respect to the identity and business experience of our directors and corporate governance will be set forth in our Proxy Statement for the 2022 Annual Meeting of Shareholders, which will be filed no later than 120 days after December 31, 2021, under the caption “Election of Directors,” which information is hereby incorporated herein by reference.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with respect to the identity and business experience of our executive officers is set forth in Part I of this Form 10-K under the caption Item 1. Business — Information about our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with respect to our code of ethics is contained in Part I of this Form 10-K under the caption 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 Website Access.</w:t>
      </w:r>
    </w:p>
    <w:p>
      <w:pPr>
        <w:spacing w:after="0" w:line="23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which will be filed no later than 120 days after December 31, 2021, under the caption “Executive Compensation and Other Information,” which information is hereby incorporated herein by reference.</w:t>
      </w:r>
    </w:p>
    <w:p>
      <w:pPr>
        <w:spacing w:after="0" w:line="207" w:lineRule="exact"/>
        <w:rPr>
          <w:sz w:val="20"/>
          <w:szCs w:val="20"/>
          <w:color w:val="auto"/>
        </w:rPr>
      </w:pPr>
    </w:p>
    <w:p>
      <w:pPr>
        <w:ind w:left="940" w:right="540" w:hanging="971"/>
        <w:spacing w:after="0" w:line="287"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which will be filed no later than 120 days after December 31, 2021, under the captions “Election of Directors,” “Equity Security Ownership” and “Equity Compensation Plan Information,” which information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which will be filed no later than 120 days after December 31, 2021, under the caption “Certain Relationships and Related Party Transactions,” which information is hereby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in our Proxy Statement for the 2022 Annual Meeting of Shareholders, which will be filed no later than 120 days after December 31, 2021, under the caption “Principal Accountant Fees and Services,” which information is hereby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4"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following documents are filed as part of this report:</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8200" w:type="dxa"/>
            <w:vAlign w:val="bottom"/>
            <w:gridSpan w:val="9"/>
          </w:tcPr>
          <w:p>
            <w:pPr>
              <w:spacing w:after="0"/>
              <w:rPr>
                <w:sz w:val="20"/>
                <w:szCs w:val="20"/>
                <w:color w:val="auto"/>
              </w:rPr>
            </w:pPr>
            <w:r>
              <w:rPr>
                <w:rFonts w:ascii="Arial" w:cs="Arial" w:eastAsia="Arial" w:hAnsi="Arial"/>
                <w:sz w:val="18"/>
                <w:szCs w:val="18"/>
                <w:color w:val="auto"/>
              </w:rPr>
              <w:t>(1) Consolidated Financial Statements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7920" w:type="dxa"/>
            <w:vAlign w:val="bottom"/>
            <w:gridSpan w:val="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Index to Consolidated Financial Statements</w:t>
              </w:r>
            </w:hyperlink>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4"/>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68">
              <w:r>
                <w:rPr>
                  <w:rFonts w:ascii="Arial" w:cs="Arial" w:eastAsia="Arial" w:hAnsi="Arial"/>
                  <w:sz w:val="18"/>
                  <w:szCs w:val="18"/>
                  <w:color w:val="0000FF"/>
                  <w:w w:val="96"/>
                </w:rPr>
                <w:t>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4600" w:type="dxa"/>
            <w:vAlign w:val="bottom"/>
            <w:gridSpan w:val="4"/>
          </w:tcPr>
          <w:p>
            <w:pPr>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Report of Independent Registered Public Accounting Firm</w:t>
              </w:r>
            </w:hyperlink>
          </w:p>
        </w:tc>
        <w:tc>
          <w:tcPr>
            <w:tcW w:w="3320" w:type="dxa"/>
            <w:vAlign w:val="bottom"/>
            <w:gridSpan w:val="4"/>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69">
              <w:r>
                <w:rPr>
                  <w:rFonts w:ascii="Arial" w:cs="Arial" w:eastAsia="Arial" w:hAnsi="Arial"/>
                  <w:sz w:val="18"/>
                  <w:szCs w:val="18"/>
                  <w:color w:val="0000FF"/>
                  <w:w w:val="96"/>
                </w:rPr>
                <w:t>2</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92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Consolidated Balance Sheets as of December 31, 2021 and 2020</w:t>
              </w:r>
            </w:hyperlink>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1">
              <w:r>
                <w:rPr>
                  <w:rFonts w:ascii="Arial" w:cs="Arial" w:eastAsia="Arial" w:hAnsi="Arial"/>
                  <w:sz w:val="18"/>
                  <w:szCs w:val="18"/>
                  <w:color w:val="0000FF"/>
                  <w:w w:val="96"/>
                </w:rPr>
                <w:t>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920" w:type="dxa"/>
            <w:vAlign w:val="bottom"/>
            <w:gridSpan w:val="8"/>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 xml:space="preserve">Consolidated Statements of Operations for the years ended December 31, </w:t>
              </w:r>
            </w:hyperlink>
            <w:r>
              <w:rPr>
                <w:rFonts w:ascii="Arial" w:cs="Arial" w:eastAsia="Arial" w:hAnsi="Arial"/>
                <w:sz w:val="18"/>
                <w:szCs w:val="18"/>
                <w:color w:val="0000FF"/>
              </w:rPr>
              <w:t xml:space="preserve">2021, 2020 </w:t>
            </w:r>
            <w:hyperlink w:anchor="page73">
              <w:r>
                <w:rPr>
                  <w:rFonts w:ascii="Arial" w:cs="Arial" w:eastAsia="Arial" w:hAnsi="Arial"/>
                  <w:sz w:val="18"/>
                  <w:szCs w:val="18"/>
                  <w:color w:val="0000FF"/>
                </w:rPr>
                <w:t>and 2019</w:t>
              </w:r>
            </w:hyperlink>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3">
              <w:r>
                <w:rPr>
                  <w:rFonts w:ascii="Arial" w:cs="Arial" w:eastAsia="Arial" w:hAnsi="Arial"/>
                  <w:sz w:val="18"/>
                  <w:szCs w:val="18"/>
                  <w:color w:val="0000FF"/>
                  <w:w w:val="96"/>
                </w:rPr>
                <w:t>6</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660" w:type="dxa"/>
            <w:vAlign w:val="bottom"/>
            <w:gridSpan w:val="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Consolidated Statements of Comprehensive Income (Loss) for the years ended December 31,</w:t>
              </w:r>
            </w:hyperlink>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vMerge w:val="restart"/>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4">
              <w:r>
                <w:rPr>
                  <w:rFonts w:ascii="Arial" w:cs="Arial" w:eastAsia="Arial" w:hAnsi="Arial"/>
                  <w:sz w:val="18"/>
                  <w:szCs w:val="18"/>
                  <w:color w:val="0000FF"/>
                  <w:w w:val="96"/>
                </w:rPr>
                <w:t>7</w:t>
              </w:r>
            </w:hyperlink>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3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2021, 2020 and 2019</w:t>
              </w:r>
            </w:hyperlink>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920" w:type="dxa"/>
            <w:vAlign w:val="bottom"/>
            <w:gridSpan w:val="8"/>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Consolidated Statements of Changes in Stockholders' Equity for the years ended December 31,</w:t>
              </w:r>
            </w:hyperlink>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vMerge w:val="restart"/>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5">
              <w:r>
                <w:rPr>
                  <w:rFonts w:ascii="Arial" w:cs="Arial" w:eastAsia="Arial" w:hAnsi="Arial"/>
                  <w:sz w:val="18"/>
                  <w:szCs w:val="18"/>
                  <w:color w:val="0000FF"/>
                  <w:w w:val="96"/>
                </w:rPr>
                <w:t>8</w:t>
              </w:r>
            </w:hyperlink>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5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2021, 2020 and 2019</w:t>
              </w:r>
            </w:hyperlink>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920" w:type="dxa"/>
            <w:vAlign w:val="bottom"/>
            <w:gridSpan w:val="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Consolidated Statements of Cash Flows for the years ended December 31, 2021, 2020 and 2019</w:t>
              </w:r>
            </w:hyperlink>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4"/>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F-</w:t>
            </w:r>
            <w:hyperlink w:anchor="page76">
              <w:r>
                <w:rPr>
                  <w:rFonts w:ascii="Arial" w:cs="Arial" w:eastAsia="Arial" w:hAnsi="Arial"/>
                  <w:sz w:val="18"/>
                  <w:szCs w:val="18"/>
                  <w:color w:val="0000FF"/>
                  <w:w w:val="96"/>
                </w:rPr>
                <w:t>9</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3460" w:type="dxa"/>
            <w:vAlign w:val="bottom"/>
            <w:gridSpan w:val="3"/>
          </w:tcPr>
          <w:p>
            <w:pPr>
              <w:spacing w:after="0"/>
              <w:rPr>
                <w:rFonts w:ascii="Arial" w:cs="Arial" w:eastAsia="Arial" w:hAnsi="Arial"/>
                <w:sz w:val="18"/>
                <w:szCs w:val="18"/>
                <w:color w:val="0000FF"/>
                <w:w w:val="97"/>
              </w:rPr>
            </w:pPr>
            <w:hyperlink w:anchor="page78">
              <w:r>
                <w:rPr>
                  <w:rFonts w:ascii="Arial" w:cs="Arial" w:eastAsia="Arial" w:hAnsi="Arial"/>
                  <w:sz w:val="18"/>
                  <w:szCs w:val="18"/>
                  <w:color w:val="0000FF"/>
                  <w:w w:val="97"/>
                </w:rPr>
                <w:t>Notes to Consolidated Financial Statements</w:t>
              </w:r>
            </w:hyperlink>
          </w:p>
        </w:tc>
        <w:tc>
          <w:tcPr>
            <w:tcW w:w="420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5"/>
          </w:tcPr>
          <w:p>
            <w:pPr>
              <w:jc w:val="right"/>
              <w:ind w:right="20"/>
              <w:spacing w:after="0"/>
              <w:rPr>
                <w:rFonts w:ascii="Arial" w:cs="Arial" w:eastAsia="Arial" w:hAnsi="Arial"/>
                <w:sz w:val="18"/>
                <w:szCs w:val="18"/>
                <w:color w:val="auto"/>
                <w:w w:val="97"/>
              </w:rPr>
            </w:pPr>
            <w:r>
              <w:rPr>
                <w:rFonts w:ascii="Arial" w:cs="Arial" w:eastAsia="Arial" w:hAnsi="Arial"/>
                <w:sz w:val="18"/>
                <w:szCs w:val="18"/>
                <w:color w:val="auto"/>
                <w:w w:val="97"/>
              </w:rPr>
              <w:t>F-</w:t>
            </w:r>
            <w:hyperlink w:anchor="page78">
              <w:r>
                <w:rPr>
                  <w:rFonts w:ascii="Arial" w:cs="Arial" w:eastAsia="Arial" w:hAnsi="Arial"/>
                  <w:sz w:val="18"/>
                  <w:szCs w:val="18"/>
                  <w:color w:val="0000FF"/>
                  <w:w w:val="97"/>
                </w:rPr>
                <w:t>11</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880" w:type="dxa"/>
            <w:vAlign w:val="bottom"/>
            <w:gridSpan w:val="19"/>
          </w:tcPr>
          <w:p>
            <w:pPr>
              <w:ind w:left="80"/>
              <w:spacing w:after="0"/>
              <w:rPr>
                <w:sz w:val="20"/>
                <w:szCs w:val="20"/>
                <w:color w:val="auto"/>
              </w:rPr>
            </w:pPr>
            <w:r>
              <w:rPr>
                <w:rFonts w:ascii="Arial" w:cs="Arial" w:eastAsia="Arial" w:hAnsi="Arial"/>
                <w:sz w:val="18"/>
                <w:szCs w:val="18"/>
                <w:color w:val="auto"/>
              </w:rPr>
              <w:t>Exhibits</w:t>
            </w:r>
          </w:p>
        </w:tc>
      </w:tr>
      <w:tr>
        <w:trPr>
          <w:trHeight w:val="310"/>
        </w:trPr>
        <w:tc>
          <w:tcPr>
            <w:tcW w:w="500" w:type="dxa"/>
            <w:vAlign w:val="bottom"/>
            <w:gridSpan w:val="2"/>
          </w:tcPr>
          <w:p>
            <w:pPr>
              <w:jc w:val="right"/>
              <w:ind w:right="180"/>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2.</w:t>
              </w:r>
              <w:r>
                <w:rPr>
                  <w:rFonts w:ascii="Arial" w:cs="Arial" w:eastAsia="Arial" w:hAnsi="Arial"/>
                  <w:sz w:val="18"/>
                  <w:szCs w:val="18"/>
                  <w:u w:val="single" w:color="auto"/>
                  <w:color w:val="0000FF"/>
                  <w:w w:val="93"/>
                </w:rPr>
                <w:t>1*</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2">
              <w:r>
                <w:rPr>
                  <w:rFonts w:ascii="Arial" w:cs="Arial" w:eastAsia="Arial" w:hAnsi="Arial"/>
                  <w:sz w:val="18"/>
                  <w:szCs w:val="18"/>
                  <w:color w:val="0000FF"/>
                </w:rPr>
                <w:t>Form of Separation Agreement between EchoStar Corporation and DISH Network Corporation (incorporated by reference to</w:t>
              </w:r>
            </w:hyperlink>
          </w:p>
        </w:tc>
      </w:tr>
      <w:tr>
        <w:trPr>
          <w:trHeight w:val="156"/>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Exhibit 2.1 to Amendment No. 1 of EchoStar Corporation’s Form 10 filed December 12, 2007, Commission File No. 001-</w:t>
              </w:r>
            </w:hyperlink>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33807).</w:t>
              </w:r>
            </w:hyperlink>
          </w:p>
        </w:tc>
        <w:tc>
          <w:tcPr>
            <w:tcW w:w="48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2.</w:t>
              </w:r>
              <w:r>
                <w:rPr>
                  <w:rFonts w:ascii="Arial" w:cs="Arial" w:eastAsia="Arial" w:hAnsi="Arial"/>
                  <w:sz w:val="18"/>
                  <w:szCs w:val="18"/>
                  <w:u w:val="single" w:color="auto"/>
                  <w:color w:val="0000FF"/>
                  <w:w w:val="93"/>
                </w:rPr>
                <w:t>2*</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3">
              <w:r>
                <w:rPr>
                  <w:rFonts w:ascii="Arial" w:cs="Arial" w:eastAsia="Arial" w:hAnsi="Arial"/>
                  <w:sz w:val="18"/>
                  <w:szCs w:val="18"/>
                  <w:color w:val="0000FF"/>
                </w:rPr>
                <w:t>Agreement and Plan of Merger between EchoStar Corporation, EchoStar Satellite Services L.L.C., Broadband Acquisition</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Corporation and Hughes Communications, Inc. dated as of February 13, 2011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2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Hughes Communications Inc.’s Current Report on Form 8-K, filed February 15, 2011, Commission File No. 1-33040). ****</w:t>
              </w:r>
            </w:hyperlink>
          </w:p>
        </w:tc>
        <w:tc>
          <w:tcPr>
            <w:tcW w:w="3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2.</w:t>
              </w:r>
              <w:r>
                <w:rPr>
                  <w:rFonts w:ascii="Arial" w:cs="Arial" w:eastAsia="Arial" w:hAnsi="Arial"/>
                  <w:sz w:val="18"/>
                  <w:szCs w:val="18"/>
                  <w:u w:val="single" w:color="auto"/>
                  <w:color w:val="0000FF"/>
                  <w:w w:val="93"/>
                </w:rPr>
                <w:t>3*</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4">
              <w:r>
                <w:rPr>
                  <w:rFonts w:ascii="Arial" w:cs="Arial" w:eastAsia="Arial" w:hAnsi="Arial"/>
                  <w:sz w:val="18"/>
                  <w:szCs w:val="18"/>
                  <w:color w:val="0000FF"/>
                </w:rPr>
                <w:t>Master Transaction Agreement by and among DISH Network Corporation, BSS Merger Sub Inc., EchoStar Corporation, and</w:t>
              </w:r>
            </w:hyperlink>
          </w:p>
        </w:tc>
      </w:tr>
      <w:tr>
        <w:trPr>
          <w:trHeight w:val="156"/>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EchoStar BSS Corporation, dated as of May 19, 2019 (incorporated by reference to Exhibit 2.1 to EchoStar Corporation’s</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Quarterly Report on Form 10-Q for the quarter ended June 30, 2019, filed August 8, 2019, Commission File No. 001-33807).</w:t>
              </w:r>
            </w:hyperlink>
          </w:p>
        </w:tc>
        <w:tc>
          <w:tcPr>
            <w:tcW w:w="40" w:type="dxa"/>
            <w:vAlign w:val="bottom"/>
            <w:gridSpan w:val="2"/>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74">
              <w:r>
                <w:rPr>
                  <w:rFonts w:ascii="Arial" w:cs="Arial" w:eastAsia="Arial" w:hAnsi="Arial"/>
                  <w:sz w:val="18"/>
                  <w:szCs w:val="18"/>
                  <w:color w:val="0000FF"/>
                  <w:w w:val="85"/>
                </w:rPr>
                <w:t>****</w:t>
              </w:r>
            </w:hyperlink>
          </w:p>
        </w:tc>
        <w:tc>
          <w:tcPr>
            <w:tcW w:w="340" w:type="dxa"/>
            <w:vAlign w:val="bottom"/>
            <w:tcBorders>
              <w:top w:val="single" w:sz="8" w:color="0000FF"/>
            </w:tcBorders>
          </w:tcPr>
          <w:p>
            <w:pPr>
              <w:spacing w:after="0"/>
              <w:rPr>
                <w:sz w:val="13"/>
                <w:szCs w:val="13"/>
                <w:color w:val="auto"/>
              </w:rPr>
            </w:pPr>
          </w:p>
        </w:tc>
        <w:tc>
          <w:tcPr>
            <w:tcW w:w="48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3.</w:t>
              </w:r>
              <w:r>
                <w:rPr>
                  <w:rFonts w:ascii="Arial" w:cs="Arial" w:eastAsia="Arial" w:hAnsi="Arial"/>
                  <w:sz w:val="18"/>
                  <w:szCs w:val="18"/>
                  <w:u w:val="single" w:color="auto"/>
                  <w:color w:val="0000FF"/>
                  <w:w w:val="93"/>
                </w:rPr>
                <w:t>1*</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5">
              <w:r>
                <w:rPr>
                  <w:rFonts w:ascii="Arial" w:cs="Arial" w:eastAsia="Arial" w:hAnsi="Arial"/>
                  <w:sz w:val="18"/>
                  <w:szCs w:val="18"/>
                  <w:color w:val="0000FF"/>
                </w:rPr>
                <w:t>Articles of Incorporation of EchoStar Corporation (incorporated by reference to Exhibit 3.1 to Amendment No. 1 of EchoStar</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Corporation’s Form 10 filed December 12, 2007, Commission File No. 001-33807).</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3.</w:t>
              </w:r>
              <w:r>
                <w:rPr>
                  <w:rFonts w:ascii="Arial" w:cs="Arial" w:eastAsia="Arial" w:hAnsi="Arial"/>
                  <w:sz w:val="18"/>
                  <w:szCs w:val="18"/>
                  <w:u w:val="single" w:color="auto"/>
                  <w:color w:val="0000FF"/>
                  <w:w w:val="93"/>
                </w:rPr>
                <w:t>2*</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6">
              <w:r>
                <w:rPr>
                  <w:rFonts w:ascii="Arial" w:cs="Arial" w:eastAsia="Arial" w:hAnsi="Arial"/>
                  <w:sz w:val="18"/>
                  <w:szCs w:val="18"/>
                  <w:color w:val="0000FF"/>
                </w:rPr>
                <w:t>Amendment to the Articles of Incorporation of EchoStar Corporation (incorporated by reference to Exhibit 3.1 to EchoStar</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Corporation’s Current Report on Form 8-K filed January 25, 2008, Commission File No. 001-33807).</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3.</w:t>
              </w:r>
              <w:r>
                <w:rPr>
                  <w:rFonts w:ascii="Arial" w:cs="Arial" w:eastAsia="Arial" w:hAnsi="Arial"/>
                  <w:sz w:val="18"/>
                  <w:szCs w:val="18"/>
                  <w:u w:val="single" w:color="auto"/>
                  <w:color w:val="0000FF"/>
                  <w:w w:val="93"/>
                </w:rPr>
                <w:t>3*</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7">
              <w:r>
                <w:rPr>
                  <w:rFonts w:ascii="Arial" w:cs="Arial" w:eastAsia="Arial" w:hAnsi="Arial"/>
                  <w:sz w:val="18"/>
                  <w:szCs w:val="18"/>
                  <w:color w:val="0000FF"/>
                </w:rPr>
                <w:t>Certificate of Amendment to Articles of Incorporation of EchoStar Corporation, dated as of May 4, 2016 (incorporated by</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reference to Exhibit 3.1 to EchoStar Corporation’s Current Report on Form 8-K, filed May 5, 2016, Commission File No. 001-</w:t>
              </w:r>
            </w:hyperlink>
          </w:p>
        </w:tc>
        <w:tc>
          <w:tcPr>
            <w:tcW w:w="60" w:type="dxa"/>
            <w:vAlign w:val="bottom"/>
            <w:gridSpan w:val="3"/>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33807).</w:t>
              </w:r>
            </w:hyperlink>
          </w:p>
        </w:tc>
        <w:tc>
          <w:tcPr>
            <w:tcW w:w="48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3.</w:t>
              </w:r>
              <w:r>
                <w:rPr>
                  <w:rFonts w:ascii="Arial" w:cs="Arial" w:eastAsia="Arial" w:hAnsi="Arial"/>
                  <w:sz w:val="18"/>
                  <w:szCs w:val="18"/>
                  <w:u w:val="single" w:color="auto"/>
                  <w:color w:val="0000FF"/>
                  <w:w w:val="93"/>
                </w:rPr>
                <w:t>4*</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8">
              <w:r>
                <w:rPr>
                  <w:rFonts w:ascii="Arial" w:cs="Arial" w:eastAsia="Arial" w:hAnsi="Arial"/>
                  <w:sz w:val="18"/>
                  <w:szCs w:val="18"/>
                  <w:color w:val="0000FF"/>
                </w:rPr>
                <w:t>Certificate of Withdrawal of Certificate of Designation of EchoStar Corporation (incorporated by reference to Exhibit 31 to</w:t>
              </w:r>
            </w:hyperlink>
          </w:p>
        </w:tc>
      </w:tr>
      <w:tr>
        <w:trPr>
          <w:trHeight w:val="155"/>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EchoStar Corporation’s Current Report on Form 8-K, filed March 6, 2017, Commission File No. 001-33807).</w:t>
              </w:r>
            </w:hyperlink>
          </w:p>
        </w:tc>
        <w:tc>
          <w:tcPr>
            <w:tcW w:w="160" w:type="dxa"/>
            <w:vAlign w:val="bottom"/>
            <w:gridSpan w:val="8"/>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r>
      <w:tr>
        <w:trPr>
          <w:trHeight w:val="453"/>
        </w:trPr>
        <w:tc>
          <w:tcPr>
            <w:tcW w:w="500" w:type="dxa"/>
            <w:vAlign w:val="bottom"/>
            <w:gridSpan w:val="2"/>
          </w:tcPr>
          <w:p>
            <w:pPr>
              <w:jc w:val="right"/>
              <w:ind w:right="180"/>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3.</w:t>
              </w:r>
              <w:r>
                <w:rPr>
                  <w:rFonts w:ascii="Arial" w:cs="Arial" w:eastAsia="Arial" w:hAnsi="Arial"/>
                  <w:sz w:val="18"/>
                  <w:szCs w:val="18"/>
                  <w:u w:val="single" w:color="auto"/>
                  <w:color w:val="0000FF"/>
                  <w:w w:val="93"/>
                </w:rPr>
                <w:t>5*</w:t>
              </w:r>
            </w:hyperlink>
          </w:p>
        </w:tc>
        <w:tc>
          <w:tcPr>
            <w:tcW w:w="80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FF"/>
              </w:rPr>
            </w:pPr>
            <w:hyperlink r:id="rId79">
              <w:r>
                <w:rPr>
                  <w:rFonts w:ascii="Arial" w:cs="Arial" w:eastAsia="Arial" w:hAnsi="Arial"/>
                  <w:sz w:val="18"/>
                  <w:szCs w:val="18"/>
                  <w:color w:val="0000FF"/>
                </w:rPr>
                <w:t>Bylaws of EchoStar Corporation (incorporated by reference to Exhibit 3.2 to Amendment No. 1 of EchoStar Corporation’s</w:t>
              </w:r>
            </w:hyperlink>
          </w:p>
        </w:tc>
      </w:tr>
      <w:tr>
        <w:trPr>
          <w:trHeight w:val="156"/>
        </w:trPr>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Form 10 filed December 12, 2007, Commission File No. 001-33807).</w:t>
              </w:r>
            </w:hyperlink>
          </w:p>
        </w:tc>
        <w:tc>
          <w:tcPr>
            <w:tcW w:w="140" w:type="dxa"/>
            <w:vAlign w:val="bottom"/>
            <w:gridSpan w:val="7"/>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FF"/>
              </w:rPr>
            </w:pPr>
            <w:hyperlink r:id="rId8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60" w:type="dxa"/>
            <w:vAlign w:val="bottom"/>
          </w:tcPr>
          <w:p>
            <w:pPr>
              <w:spacing w:after="0"/>
              <w:rPr>
                <w:sz w:val="17"/>
                <w:szCs w:val="17"/>
                <w:color w:val="auto"/>
              </w:rPr>
            </w:pPr>
          </w:p>
        </w:tc>
        <w:tc>
          <w:tcPr>
            <w:tcW w:w="10360" w:type="dxa"/>
            <w:vAlign w:val="bottom"/>
            <w:gridSpan w:val="36"/>
          </w:tcPr>
          <w:p>
            <w:pPr>
              <w:spacing w:after="0"/>
              <w:rPr>
                <w:rFonts w:ascii="Arial" w:cs="Arial" w:eastAsia="Arial" w:hAnsi="Arial"/>
                <w:sz w:val="18"/>
                <w:szCs w:val="18"/>
                <w:color w:val="0000FF"/>
              </w:rPr>
            </w:pPr>
            <w:hyperlink r:id="rId81">
              <w:r>
                <w:rPr>
                  <w:rFonts w:ascii="Arial" w:cs="Arial" w:eastAsia="Arial" w:hAnsi="Arial"/>
                  <w:sz w:val="18"/>
                  <w:szCs w:val="18"/>
                  <w:color w:val="0000FF"/>
                </w:rPr>
                <w:t>Specimen Class A Common Stock Certificate of EchoStar Corporation (incorporated by reference to Exhibit 4.1 to</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Amendment No. 1 of EchoStar Corporation’s Form 10 filed December 12, 2007, Commission File No. 001-33807).</w:t>
              </w:r>
            </w:hyperlink>
          </w:p>
        </w:tc>
        <w:tc>
          <w:tcPr>
            <w:tcW w:w="11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320" w:type="dxa"/>
            <w:vAlign w:val="bottom"/>
          </w:tcPr>
          <w:p>
            <w:pPr>
              <w:spacing w:after="0"/>
              <w:rPr>
                <w:rFonts w:ascii="Arial" w:cs="Arial" w:eastAsia="Arial" w:hAnsi="Arial"/>
                <w:sz w:val="18"/>
                <w:szCs w:val="18"/>
                <w:color w:val="0000FF"/>
                <w:w w:val="93"/>
              </w:rPr>
            </w:pPr>
            <w:hyperlink r:id="rId82">
              <w:r>
                <w:rPr>
                  <w:rFonts w:ascii="Arial" w:cs="Arial" w:eastAsia="Arial" w:hAnsi="Arial"/>
                  <w:sz w:val="18"/>
                  <w:szCs w:val="18"/>
                  <w:color w:val="0000FF"/>
                  <w:w w:val="93"/>
                </w:rPr>
                <w:t>4.</w:t>
              </w:r>
            </w:hyperlink>
            <w:r>
              <w:rPr>
                <w:rFonts w:ascii="Arial" w:cs="Arial" w:eastAsia="Arial" w:hAnsi="Arial"/>
                <w:sz w:val="18"/>
                <w:szCs w:val="18"/>
                <w:u w:val="single" w:color="auto"/>
                <w:color w:val="0000FF"/>
                <w:w w:val="93"/>
              </w:rPr>
              <w:t>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60" w:type="dxa"/>
            <w:vAlign w:val="bottom"/>
            <w:gridSpan w:val="36"/>
          </w:tcPr>
          <w:p>
            <w:pPr>
              <w:spacing w:after="0"/>
              <w:rPr>
                <w:rFonts w:ascii="Arial" w:cs="Arial" w:eastAsia="Arial" w:hAnsi="Arial"/>
                <w:sz w:val="18"/>
                <w:szCs w:val="18"/>
                <w:color w:val="0000FF"/>
              </w:rPr>
            </w:pPr>
            <w:hyperlink r:id="rId82">
              <w:r>
                <w:rPr>
                  <w:rFonts w:ascii="Arial" w:cs="Arial" w:eastAsia="Arial" w:hAnsi="Arial"/>
                  <w:sz w:val="18"/>
                  <w:szCs w:val="18"/>
                  <w:color w:val="0000FF"/>
                </w:rPr>
                <w:t>Security Agreement, dated as of June 8, 2011, among EH Holding Corporation (currently known as Hughes Satellite</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Systems Corporation), the guarantors listed on the signature pages thereto, and U.S. Bank National Association,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120" w:type="dxa"/>
            <w:vAlign w:val="bottom"/>
            <w:gridSpan w:val="24"/>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successor collateral agent (incorporated by reference to Exhibit 4.1 to EchoStar Corporation’s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filed June 9, 2011,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20" w:type="dxa"/>
            <w:vAlign w:val="bottom"/>
            <w:gridSpan w:val="2"/>
          </w:tcPr>
          <w:p>
            <w:pPr>
              <w:spacing w:after="0"/>
              <w:rPr>
                <w:rFonts w:ascii="Arial" w:cs="Arial" w:eastAsia="Arial" w:hAnsi="Arial"/>
                <w:sz w:val="18"/>
                <w:szCs w:val="18"/>
                <w:color w:val="0000FF"/>
              </w:rPr>
            </w:pPr>
            <w:hyperlink r:id="rId83">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860" w:type="dxa"/>
            <w:vAlign w:val="bottom"/>
          </w:tcPr>
          <w:p>
            <w:pPr>
              <w:spacing w:after="0"/>
              <w:rPr>
                <w:sz w:val="24"/>
                <w:szCs w:val="24"/>
                <w:color w:val="auto"/>
              </w:rPr>
            </w:pPr>
          </w:p>
        </w:tc>
        <w:tc>
          <w:tcPr>
            <w:tcW w:w="10360" w:type="dxa"/>
            <w:vAlign w:val="bottom"/>
            <w:gridSpan w:val="36"/>
          </w:tcPr>
          <w:p>
            <w:pPr>
              <w:spacing w:after="0"/>
              <w:rPr>
                <w:rFonts w:ascii="Arial" w:cs="Arial" w:eastAsia="Arial" w:hAnsi="Arial"/>
                <w:sz w:val="18"/>
                <w:szCs w:val="18"/>
                <w:color w:val="0000FF"/>
              </w:rPr>
            </w:pPr>
            <w:hyperlink r:id="rId83">
              <w:r>
                <w:rPr>
                  <w:rFonts w:ascii="Arial" w:cs="Arial" w:eastAsia="Arial" w:hAnsi="Arial"/>
                  <w:sz w:val="18"/>
                  <w:szCs w:val="18"/>
                  <w:color w:val="0000FF"/>
                </w:rPr>
                <w:t>Indenture, relating to the 5.250% Senior Secured Notes, dated as of July 27, 2016, among Hughes Satellite Systems</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Corporation, the guarantors party thereto, U.S. Bank National Association, as trustee and successor collateral agent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40" w:type="dxa"/>
            <w:vAlign w:val="bottom"/>
            <w:tcBorders>
              <w:bottom w:val="single" w:sz="8" w:color="0000FF"/>
            </w:tcBorders>
            <w:gridSpan w:val="30"/>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(incorporated by reference to Exhibit 4.1 to EchoStar Corporation’s Current Report on Form 8-K filed on July 27, 2016,</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80" w:type="dxa"/>
            <w:vAlign w:val="bottom"/>
            <w:gridSpan w:val="32"/>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20" w:type="dxa"/>
            <w:vAlign w:val="bottom"/>
            <w:gridSpan w:val="2"/>
          </w:tcPr>
          <w:p>
            <w:pPr>
              <w:spacing w:after="0"/>
              <w:rPr>
                <w:rFonts w:ascii="Arial" w:cs="Arial" w:eastAsia="Arial" w:hAnsi="Arial"/>
                <w:sz w:val="18"/>
                <w:szCs w:val="18"/>
                <w:color w:val="0000FF"/>
              </w:rPr>
            </w:pPr>
            <w:hyperlink r:id="rId84">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860" w:type="dxa"/>
            <w:vAlign w:val="bottom"/>
          </w:tcPr>
          <w:p>
            <w:pPr>
              <w:spacing w:after="0"/>
              <w:rPr>
                <w:sz w:val="18"/>
                <w:szCs w:val="18"/>
                <w:color w:val="auto"/>
              </w:rPr>
            </w:pPr>
          </w:p>
        </w:tc>
        <w:tc>
          <w:tcPr>
            <w:tcW w:w="10360" w:type="dxa"/>
            <w:vAlign w:val="bottom"/>
            <w:gridSpan w:val="36"/>
          </w:tcPr>
          <w:p>
            <w:pPr>
              <w:spacing w:after="0"/>
              <w:rPr>
                <w:rFonts w:ascii="Arial" w:cs="Arial" w:eastAsia="Arial" w:hAnsi="Arial"/>
                <w:sz w:val="18"/>
                <w:szCs w:val="18"/>
                <w:color w:val="0000FF"/>
              </w:rPr>
            </w:pPr>
            <w:hyperlink r:id="rId84">
              <w:r>
                <w:rPr>
                  <w:rFonts w:ascii="Arial" w:cs="Arial" w:eastAsia="Arial" w:hAnsi="Arial"/>
                  <w:sz w:val="18"/>
                  <w:szCs w:val="18"/>
                  <w:color w:val="0000FF"/>
                </w:rPr>
                <w:t>Indenture, relating to the 6.625% Senior Unsecured Notes, dated as of July 27, 2016, among Hughes Satellite Systems</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Corporation, the guarantors party thereto and U.S. Bank National Association,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78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Exhibit 4.2 to EchoStar Corporation’s Current Report on Form 8-K filed on July 27, 2016, Commission File No. 001-33807).</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420" w:type="dxa"/>
            <w:vAlign w:val="bottom"/>
            <w:gridSpan w:val="2"/>
          </w:tcPr>
          <w:p>
            <w:pPr>
              <w:spacing w:after="0"/>
              <w:rPr>
                <w:rFonts w:ascii="Arial" w:cs="Arial" w:eastAsia="Arial" w:hAnsi="Arial"/>
                <w:sz w:val="18"/>
                <w:szCs w:val="18"/>
                <w:color w:val="0000FF"/>
              </w:rPr>
            </w:pPr>
            <w:hyperlink r:id="rId85">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860" w:type="dxa"/>
            <w:vAlign w:val="bottom"/>
          </w:tcPr>
          <w:p>
            <w:pPr>
              <w:spacing w:after="0"/>
              <w:rPr>
                <w:sz w:val="24"/>
                <w:szCs w:val="24"/>
                <w:color w:val="auto"/>
              </w:rPr>
            </w:pPr>
          </w:p>
        </w:tc>
        <w:tc>
          <w:tcPr>
            <w:tcW w:w="10360" w:type="dxa"/>
            <w:vAlign w:val="bottom"/>
            <w:gridSpan w:val="36"/>
          </w:tcPr>
          <w:p>
            <w:pPr>
              <w:spacing w:after="0"/>
              <w:rPr>
                <w:rFonts w:ascii="Arial" w:cs="Arial" w:eastAsia="Arial" w:hAnsi="Arial"/>
                <w:sz w:val="18"/>
                <w:szCs w:val="18"/>
                <w:color w:val="0000FF"/>
              </w:rPr>
            </w:pPr>
            <w:hyperlink r:id="rId85">
              <w:r>
                <w:rPr>
                  <w:rFonts w:ascii="Arial" w:cs="Arial" w:eastAsia="Arial" w:hAnsi="Arial"/>
                  <w:sz w:val="18"/>
                  <w:szCs w:val="18"/>
                  <w:color w:val="0000FF"/>
                </w:rPr>
                <w:t>Registration Rights Agreement, dated as of July 27, 2016, among Hughes Satellite Systems Corporation, the guarantors</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party thereto and Deutsche Bank Securities Inc. (incorporated by reference to Exhibit 4.3 to EchoStar Corporation’s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3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Report on Form 8-K filed on July 27, 2016, 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20" w:type="dxa"/>
            <w:vAlign w:val="bottom"/>
            <w:gridSpan w:val="2"/>
          </w:tcPr>
          <w:p>
            <w:pPr>
              <w:spacing w:after="0"/>
              <w:rPr>
                <w:rFonts w:ascii="Arial" w:cs="Arial" w:eastAsia="Arial" w:hAnsi="Arial"/>
                <w:sz w:val="18"/>
                <w:szCs w:val="18"/>
                <w:color w:val="0000FF"/>
              </w:rPr>
            </w:pPr>
            <w:hyperlink r:id="rId86">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860" w:type="dxa"/>
            <w:vAlign w:val="bottom"/>
          </w:tcPr>
          <w:p>
            <w:pPr>
              <w:spacing w:after="0"/>
              <w:rPr>
                <w:sz w:val="24"/>
                <w:szCs w:val="24"/>
                <w:color w:val="auto"/>
              </w:rPr>
            </w:pPr>
          </w:p>
        </w:tc>
        <w:tc>
          <w:tcPr>
            <w:tcW w:w="10360" w:type="dxa"/>
            <w:vAlign w:val="bottom"/>
            <w:gridSpan w:val="36"/>
          </w:tcPr>
          <w:p>
            <w:pPr>
              <w:spacing w:after="0"/>
              <w:rPr>
                <w:rFonts w:ascii="Arial" w:cs="Arial" w:eastAsia="Arial" w:hAnsi="Arial"/>
                <w:sz w:val="18"/>
                <w:szCs w:val="18"/>
                <w:color w:val="0000FF"/>
              </w:rPr>
            </w:pPr>
            <w:hyperlink r:id="rId86">
              <w:r>
                <w:rPr>
                  <w:rFonts w:ascii="Arial" w:cs="Arial" w:eastAsia="Arial" w:hAnsi="Arial"/>
                  <w:sz w:val="18"/>
                  <w:szCs w:val="18"/>
                  <w:color w:val="0000FF"/>
                </w:rPr>
                <w:t>Additional Secured Party Joinder, dated as of July 27, 2016, among U.S. Bank National Association, as trustee and</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1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successor collateral agent, and Hughes Satellite Systems Corporation (incorporated by reference to Exhibit 4.4 to EchoStar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Corporation’s Current Report on Form 8-K filed on July 27, 2016, Commission File No. 001-33807).</w:t>
              </w:r>
            </w:hyperlink>
          </w:p>
        </w:tc>
        <w:tc>
          <w:tcPr>
            <w:tcW w:w="218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420" w:type="dxa"/>
            <w:vAlign w:val="bottom"/>
            <w:gridSpan w:val="2"/>
          </w:tcPr>
          <w:p>
            <w:pPr>
              <w:spacing w:after="0"/>
              <w:rPr>
                <w:rFonts w:ascii="Arial" w:cs="Arial" w:eastAsia="Arial" w:hAnsi="Arial"/>
                <w:sz w:val="18"/>
                <w:szCs w:val="18"/>
                <w:color w:val="0000FF"/>
              </w:rPr>
            </w:pPr>
            <w:hyperlink r:id="rId83">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860" w:type="dxa"/>
            <w:vAlign w:val="bottom"/>
          </w:tcPr>
          <w:p>
            <w:pPr>
              <w:spacing w:after="0"/>
              <w:rPr>
                <w:sz w:val="24"/>
                <w:szCs w:val="24"/>
                <w:color w:val="auto"/>
              </w:rPr>
            </w:pPr>
          </w:p>
        </w:tc>
        <w:tc>
          <w:tcPr>
            <w:tcW w:w="10360" w:type="dxa"/>
            <w:vAlign w:val="bottom"/>
            <w:gridSpan w:val="36"/>
          </w:tcPr>
          <w:p>
            <w:pPr>
              <w:spacing w:after="0"/>
              <w:rPr>
                <w:rFonts w:ascii="Arial" w:cs="Arial" w:eastAsia="Arial" w:hAnsi="Arial"/>
                <w:sz w:val="18"/>
                <w:szCs w:val="18"/>
                <w:color w:val="0000FF"/>
              </w:rPr>
            </w:pPr>
            <w:hyperlink r:id="rId83">
              <w:r>
                <w:rPr>
                  <w:rFonts w:ascii="Arial" w:cs="Arial" w:eastAsia="Arial" w:hAnsi="Arial"/>
                  <w:sz w:val="18"/>
                  <w:szCs w:val="18"/>
                  <w:color w:val="0000FF"/>
                </w:rPr>
                <w:t>Form of 5.250% Senior Secured Note due 2026 (included as part of Exhibit 4.3).</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20" w:type="dxa"/>
            <w:vAlign w:val="bottom"/>
          </w:tcPr>
          <w:p>
            <w:pPr>
              <w:spacing w:after="0"/>
              <w:rPr>
                <w:rFonts w:ascii="Arial" w:cs="Arial" w:eastAsia="Arial" w:hAnsi="Arial"/>
                <w:sz w:val="18"/>
                <w:szCs w:val="18"/>
                <w:color w:val="0000FF"/>
                <w:w w:val="93"/>
              </w:rPr>
            </w:pPr>
            <w:hyperlink r:id="rId84">
              <w:r>
                <w:rPr>
                  <w:rFonts w:ascii="Arial" w:cs="Arial" w:eastAsia="Arial" w:hAnsi="Arial"/>
                  <w:sz w:val="18"/>
                  <w:szCs w:val="18"/>
                  <w:color w:val="0000FF"/>
                  <w:w w:val="93"/>
                </w:rPr>
                <w:t>4.</w:t>
              </w:r>
            </w:hyperlink>
            <w:r>
              <w:rPr>
                <w:rFonts w:ascii="Arial" w:cs="Arial" w:eastAsia="Arial" w:hAnsi="Arial"/>
                <w:sz w:val="18"/>
                <w:szCs w:val="18"/>
                <w:u w:val="single" w:color="auto"/>
                <w:color w:val="0000FF"/>
                <w:w w:val="93"/>
              </w:rPr>
              <w:t>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60" w:type="dxa"/>
            <w:vAlign w:val="bottom"/>
            <w:gridSpan w:val="36"/>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6.625% Senior Unsecured Note due 2026 (included as part of Exhibit 4.4).</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320" w:type="dxa"/>
            <w:vAlign w:val="bottom"/>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4.</w:t>
              </w:r>
            </w:hyperlink>
            <w:r>
              <w:rPr>
                <w:rFonts w:ascii="Arial" w:cs="Arial" w:eastAsia="Arial" w:hAnsi="Arial"/>
                <w:sz w:val="18"/>
                <w:szCs w:val="18"/>
                <w:u w:val="single" w:color="auto"/>
                <w:color w:val="0000FF"/>
                <w:w w:val="93"/>
              </w:rPr>
              <w:t>9*</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60" w:type="dxa"/>
            <w:vAlign w:val="bottom"/>
            <w:gridSpan w:val="36"/>
          </w:tcPr>
          <w:p>
            <w:pPr>
              <w:spacing w:after="0"/>
              <w:rPr>
                <w:rFonts w:ascii="Arial" w:cs="Arial" w:eastAsia="Arial" w:hAnsi="Arial"/>
                <w:sz w:val="18"/>
                <w:szCs w:val="18"/>
                <w:color w:val="0000FF"/>
              </w:rPr>
            </w:pPr>
            <w:hyperlink r:id="rId87">
              <w:r>
                <w:rPr>
                  <w:rFonts w:ascii="Arial" w:cs="Arial" w:eastAsia="Arial" w:hAnsi="Arial"/>
                  <w:sz w:val="18"/>
                  <w:szCs w:val="18"/>
                  <w:color w:val="0000FF"/>
                </w:rPr>
                <w:t>Supplemental Indenture relating to Hughes Satellite Systems Corporation’s 5.250% Senior Secured Notes due 2026, dated</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March 23, 2017, by and among Hughes Satellite Systems Corporation, the guarantors and the supplemental guarantor listed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on the signature pages thereto, U.S. Bank National Association, as trustee and successor collateral agent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340" w:type="dxa"/>
            <w:vAlign w:val="bottom"/>
            <w:gridSpan w:val="35"/>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reference to Exhibit 4.19 to Hughes Satellite Systems Corporation’s Registration Statement on Form S-4, filed April 6, 2017,</w:t>
              </w:r>
            </w:hyperlink>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Commission File No. 333-179121).</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88">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10360" w:type="dxa"/>
            <w:vAlign w:val="bottom"/>
            <w:gridSpan w:val="36"/>
          </w:tcPr>
          <w:p>
            <w:pPr>
              <w:spacing w:after="0"/>
              <w:rPr>
                <w:rFonts w:ascii="Arial" w:cs="Arial" w:eastAsia="Arial" w:hAnsi="Arial"/>
                <w:sz w:val="18"/>
                <w:szCs w:val="18"/>
                <w:color w:val="0000FF"/>
              </w:rPr>
            </w:pPr>
            <w:hyperlink r:id="rId88">
              <w:r>
                <w:rPr>
                  <w:rFonts w:ascii="Arial" w:cs="Arial" w:eastAsia="Arial" w:hAnsi="Arial"/>
                  <w:sz w:val="18"/>
                  <w:szCs w:val="18"/>
                  <w:color w:val="0000FF"/>
                </w:rPr>
                <w:t>Supplemental Indenture relating to Hughes Satellite Systems Corporation’s 6.625% Senior Notes due 2026, dated as of</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2"/>
          </w:tcPr>
          <w:p>
            <w:pPr>
              <w:spacing w:after="0" w:line="15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March 23, 2017, by and among Hughes Satellite Systems Corporation, the guarantors and the supplemental guarantor listed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on the signature pages thereto and U.S. Bank National Association, as trustee (incorporated by reference to Exhibit 4.20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Hughes Satellite Systems Corporation’s Registration Statement on Form S-4, filed April 6, 2017, Commission File No. 333-</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179121).</w:t>
              </w:r>
            </w:hyperlink>
          </w:p>
        </w:tc>
        <w:tc>
          <w:tcPr>
            <w:tcW w:w="19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89">
              <w:r>
                <w:rPr>
                  <w:rFonts w:ascii="Arial" w:cs="Arial" w:eastAsia="Arial" w:hAnsi="Arial"/>
                  <w:sz w:val="18"/>
                  <w:szCs w:val="18"/>
                  <w:color w:val="0000FF"/>
                </w:rPr>
                <w:t>4.</w:t>
              </w:r>
              <w:r>
                <w:rPr>
                  <w:rFonts w:ascii="Arial" w:cs="Arial" w:eastAsia="Arial" w:hAnsi="Arial"/>
                  <w:sz w:val="18"/>
                  <w:szCs w:val="18"/>
                  <w:u w:val="single" w:color="auto"/>
                  <w:color w:val="0000FF"/>
                </w:rPr>
                <w:t>11*</w:t>
              </w:r>
            </w:hyperlink>
          </w:p>
        </w:tc>
        <w:tc>
          <w:tcPr>
            <w:tcW w:w="10360" w:type="dxa"/>
            <w:vAlign w:val="bottom"/>
            <w:gridSpan w:val="36"/>
          </w:tcPr>
          <w:p>
            <w:pPr>
              <w:spacing w:after="0"/>
              <w:rPr>
                <w:rFonts w:ascii="Arial" w:cs="Arial" w:eastAsia="Arial" w:hAnsi="Arial"/>
                <w:sz w:val="18"/>
                <w:szCs w:val="18"/>
                <w:color w:val="0000FF"/>
              </w:rPr>
            </w:pPr>
            <w:hyperlink r:id="rId89">
              <w:r>
                <w:rPr>
                  <w:rFonts w:ascii="Arial" w:cs="Arial" w:eastAsia="Arial" w:hAnsi="Arial"/>
                  <w:sz w:val="18"/>
                  <w:szCs w:val="18"/>
                  <w:color w:val="0000FF"/>
                </w:rPr>
                <w:t>Joinder Agreement, dated as of August 10, 2017, to the Security Agreement dated as of June 8, 2011, by and between HNS</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Americas, L.L.C., HNS Americas II, L.L.C. and U.S. Bank National Association, as successor collateral agent (incorporated</w:t>
              </w:r>
            </w:hyperlink>
          </w:p>
        </w:tc>
        <w:tc>
          <w:tcPr>
            <w:tcW w:w="140" w:type="dxa"/>
            <w:vAlign w:val="bottom"/>
            <w:gridSpan w:val="7"/>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by reference to Exhibit 4.24 to EchoStar Corporation’s Annual Report on Form 10-K for the year ended December 31, 2017,</w:t>
              </w:r>
            </w:hyperlink>
          </w:p>
        </w:tc>
        <w:tc>
          <w:tcPr>
            <w:tcW w:w="160" w:type="dxa"/>
            <w:vAlign w:val="bottom"/>
            <w:gridSpan w:val="8"/>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filed February 22, 2018, Commission File No. 001-33807).</w:t>
              </w:r>
            </w:hyperlink>
          </w:p>
        </w:tc>
        <w:tc>
          <w:tcPr>
            <w:tcW w:w="544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10"/>
        </w:trPr>
        <w:tc>
          <w:tcPr>
            <w:tcW w:w="1280" w:type="dxa"/>
            <w:vAlign w:val="bottom"/>
            <w:gridSpan w:val="3"/>
          </w:tcPr>
          <w:p>
            <w:pPr>
              <w:spacing w:after="0"/>
              <w:rPr>
                <w:rFonts w:ascii="Arial" w:cs="Arial" w:eastAsia="Arial" w:hAnsi="Arial"/>
                <w:sz w:val="18"/>
                <w:szCs w:val="18"/>
                <w:color w:val="0000FF"/>
              </w:rPr>
            </w:pPr>
            <w:hyperlink r:id="rId90">
              <w:r>
                <w:rPr>
                  <w:rFonts w:ascii="Arial" w:cs="Arial" w:eastAsia="Arial" w:hAnsi="Arial"/>
                  <w:sz w:val="18"/>
                  <w:szCs w:val="18"/>
                  <w:color w:val="0000FF"/>
                </w:rPr>
                <w:t>4.</w:t>
              </w:r>
              <w:r>
                <w:rPr>
                  <w:rFonts w:ascii="Arial" w:cs="Arial" w:eastAsia="Arial" w:hAnsi="Arial"/>
                  <w:sz w:val="18"/>
                  <w:szCs w:val="18"/>
                  <w:u w:val="single" w:color="auto"/>
                  <w:color w:val="0000FF"/>
                </w:rPr>
                <w:t>12*</w:t>
              </w:r>
            </w:hyperlink>
          </w:p>
        </w:tc>
        <w:tc>
          <w:tcPr>
            <w:tcW w:w="10360" w:type="dxa"/>
            <w:vAlign w:val="bottom"/>
            <w:gridSpan w:val="36"/>
          </w:tcPr>
          <w:p>
            <w:pPr>
              <w:spacing w:after="0"/>
              <w:rPr>
                <w:rFonts w:ascii="Arial" w:cs="Arial" w:eastAsia="Arial" w:hAnsi="Arial"/>
                <w:sz w:val="18"/>
                <w:szCs w:val="18"/>
                <w:color w:val="0000FF"/>
              </w:rPr>
            </w:pPr>
            <w:hyperlink r:id="rId90">
              <w:r>
                <w:rPr>
                  <w:rFonts w:ascii="Arial" w:cs="Arial" w:eastAsia="Arial" w:hAnsi="Arial"/>
                  <w:sz w:val="18"/>
                  <w:szCs w:val="18"/>
                  <w:color w:val="0000FF"/>
                </w:rPr>
                <w:t>Second Supplemental Indenture relating to Hughes Satellite Systems Corporation’s 5.250% Senior Secured Notes due</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2026, dated August 10, 2017, by and among Hughes Satellite Systems Corporation, the guarantors and the supplemental</w:t>
              </w:r>
            </w:hyperlink>
          </w:p>
        </w:tc>
        <w:tc>
          <w:tcPr>
            <w:tcW w:w="220" w:type="dxa"/>
            <w:vAlign w:val="bottom"/>
            <w:gridSpan w:val="11"/>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guarantor listed on the signature pages thereto, U.S. Bank National Association, as trustee and successor collateral agent</w:t>
              </w:r>
            </w:hyperlink>
          </w:p>
        </w:tc>
        <w:tc>
          <w:tcPr>
            <w:tcW w:w="20" w:type="dxa"/>
            <w:vAlign w:val="bottom"/>
          </w:tcPr>
          <w:p>
            <w:pPr>
              <w:spacing w:after="0"/>
              <w:rPr>
                <w:sz w:val="13"/>
                <w:szCs w:val="13"/>
                <w:color w:val="auto"/>
              </w:rPr>
            </w:pPr>
          </w:p>
        </w:tc>
        <w:tc>
          <w:tcPr>
            <w:tcW w:w="360" w:type="dxa"/>
            <w:vAlign w:val="bottom"/>
            <w:gridSpan w:val="18"/>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1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(incorporated by reference to Exhibit 4.25 to EchoStar Corporation’s Annual Report on Form 10-K for the year ended</w:t>
              </w:r>
            </w:hyperlink>
          </w:p>
        </w:tc>
        <w:tc>
          <w:tcPr>
            <w:tcW w:w="200" w:type="dxa"/>
            <w:vAlign w:val="bottom"/>
            <w:gridSpan w:val="10"/>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December 31, 2017, filed February 22, 2018, Commission File No. 001-33807).</w:t>
              </w:r>
            </w:hyperlink>
          </w:p>
        </w:tc>
        <w:tc>
          <w:tcPr>
            <w:tcW w:w="3620" w:type="dxa"/>
            <w:vAlign w:val="bottom"/>
            <w:tcBorders>
              <w:top w:val="single" w:sz="8" w:color="0000FF"/>
            </w:tcBorders>
            <w:gridSpan w:val="10"/>
          </w:tcPr>
          <w:p>
            <w:pPr>
              <w:spacing w:after="0"/>
              <w:rPr>
                <w:sz w:val="13"/>
                <w:szCs w:val="13"/>
                <w:color w:val="auto"/>
              </w:rPr>
            </w:pPr>
          </w:p>
        </w:tc>
        <w:tc>
          <w:tcPr>
            <w:tcW w:w="360" w:type="dxa"/>
            <w:vAlign w:val="bottom"/>
            <w:gridSpan w:val="1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gridSpan w:val="2"/>
          </w:tcPr>
          <w:p>
            <w:pPr>
              <w:jc w:val="right"/>
              <w:ind w:right="880"/>
              <w:spacing w:after="0"/>
              <w:rPr>
                <w:rFonts w:ascii="Arial" w:cs="Arial" w:eastAsia="Arial" w:hAnsi="Arial"/>
                <w:sz w:val="18"/>
                <w:szCs w:val="18"/>
                <w:color w:val="0000FF"/>
                <w:w w:val="95"/>
              </w:rPr>
            </w:pPr>
            <w:hyperlink r:id="rId9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13*</w:t>
              </w:r>
            </w:hyperlink>
          </w:p>
        </w:tc>
        <w:tc>
          <w:tcPr>
            <w:tcW w:w="10340" w:type="dxa"/>
            <w:vAlign w:val="bottom"/>
            <w:gridSpan w:val="34"/>
          </w:tcPr>
          <w:p>
            <w:pPr>
              <w:spacing w:after="0"/>
              <w:rPr>
                <w:rFonts w:ascii="Arial" w:cs="Arial" w:eastAsia="Arial" w:hAnsi="Arial"/>
                <w:sz w:val="18"/>
                <w:szCs w:val="18"/>
                <w:color w:val="0000FF"/>
              </w:rPr>
            </w:pPr>
            <w:hyperlink r:id="rId92">
              <w:r>
                <w:rPr>
                  <w:rFonts w:ascii="Arial" w:cs="Arial" w:eastAsia="Arial" w:hAnsi="Arial"/>
                  <w:sz w:val="18"/>
                  <w:szCs w:val="18"/>
                  <w:color w:val="0000FF"/>
                </w:rPr>
                <w:t>Second Supplemental Indenture relating to Hughes Satellite Systems Corporation’s 6.625% Senior Notes due 2026, dated</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as of August 10, 2017, by and among Hughes Satellite Systems Corporation, the guarantors and the supplemental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60" w:type="dxa"/>
            <w:vAlign w:val="bottom"/>
            <w:tcBorders>
              <w:bottom w:val="single" w:sz="8" w:color="0000FF"/>
            </w:tcBorders>
            <w:gridSpan w:val="20"/>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guarantor listed on the signature pages thereto and U.S. Bank National Association,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60" w:type="dxa"/>
            <w:vAlign w:val="bottom"/>
            <w:tcBorders>
              <w:bottom w:val="single" w:sz="8" w:color="0000FF"/>
            </w:tcBorders>
            <w:gridSpan w:val="30"/>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Exhibit 4.26 to EchoStar Corporation’s Annual Report on Form 10-K for the year ended December 31, 2017, filed February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320" w:type="dxa"/>
            <w:vAlign w:val="bottom"/>
            <w:gridSpan w:val="33"/>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22, 2018, Commission File No. 001-33807).</w:t>
              </w:r>
            </w:hyperlink>
          </w:p>
        </w:tc>
        <w:tc>
          <w:tcPr>
            <w:tcW w:w="20" w:type="dxa"/>
            <w:vAlign w:val="bottom"/>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9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14*</w:t>
              </w:r>
            </w:hyperlink>
          </w:p>
        </w:tc>
        <w:tc>
          <w:tcPr>
            <w:tcW w:w="10340" w:type="dxa"/>
            <w:vAlign w:val="bottom"/>
            <w:gridSpan w:val="34"/>
          </w:tcPr>
          <w:p>
            <w:pPr>
              <w:spacing w:after="0"/>
              <w:rPr>
                <w:rFonts w:ascii="Arial" w:cs="Arial" w:eastAsia="Arial" w:hAnsi="Arial"/>
                <w:sz w:val="18"/>
                <w:szCs w:val="18"/>
                <w:color w:val="0000FF"/>
              </w:rPr>
            </w:pPr>
            <w:hyperlink r:id="rId93">
              <w:r>
                <w:rPr>
                  <w:rFonts w:ascii="Arial" w:cs="Arial" w:eastAsia="Arial" w:hAnsi="Arial"/>
                  <w:sz w:val="18"/>
                  <w:szCs w:val="18"/>
                  <w:color w:val="0000FF"/>
                </w:rPr>
                <w:t>Joinder Agreement, dated as of June 12, 2019, to the Security Agreement dated as of June 8, 2011, by and between</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EchoStar BSS Corporation, EchoStar FSS L.L.C. and U.S. Bank National Association, as successor collateral agent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100" w:type="dxa"/>
            <w:vAlign w:val="bottom"/>
            <w:tcBorders>
              <w:bottom w:val="single" w:sz="8" w:color="0000FF"/>
            </w:tcBorders>
            <w:gridSpan w:val="22"/>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(incorporated by reference to Exhibit 4.1 to EchoStar Corporation’s Quarterly Report on Form 10-Q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June 30, 2019, filed August 8, 2019, Commission File No. 001-33807).</w:t>
              </w:r>
            </w:hyperlink>
          </w:p>
        </w:tc>
        <w:tc>
          <w:tcPr>
            <w:tcW w:w="4640" w:type="dxa"/>
            <w:vAlign w:val="bottom"/>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15*</w:t>
              </w:r>
            </w:hyperlink>
          </w:p>
        </w:tc>
        <w:tc>
          <w:tcPr>
            <w:tcW w:w="10340" w:type="dxa"/>
            <w:vAlign w:val="bottom"/>
            <w:gridSpan w:val="34"/>
          </w:tcPr>
          <w:p>
            <w:pPr>
              <w:spacing w:after="0"/>
              <w:rPr>
                <w:rFonts w:ascii="Arial" w:cs="Arial" w:eastAsia="Arial" w:hAnsi="Arial"/>
                <w:sz w:val="18"/>
                <w:szCs w:val="18"/>
                <w:color w:val="0000FF"/>
              </w:rPr>
            </w:pPr>
            <w:hyperlink r:id="rId94">
              <w:r>
                <w:rPr>
                  <w:rFonts w:ascii="Arial" w:cs="Arial" w:eastAsia="Arial" w:hAnsi="Arial"/>
                  <w:sz w:val="18"/>
                  <w:szCs w:val="18"/>
                  <w:color w:val="0000FF"/>
                </w:rPr>
                <w:t>Third Supplemental Indenture relating to Hughes Satellite Systems Corporation’s 5.250% Senior Secured Notes due 2026,</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1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dated June 12, 2019, by and among Hughes Satellite Systems Corporation, the guarantors and the supplemental guarantors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listed on the signature pages thereto, U.S. Bank National Association, as trustee and successor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(incorporated by reference to Exhibit 4.2 to EchoStar Corporation’s Quarterly Report on Form 10-Q for the quarter 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June 30, 2019, filed August 8, 2019, Commission File No. 001-33807).</w:t>
              </w:r>
            </w:hyperlink>
          </w:p>
        </w:tc>
        <w:tc>
          <w:tcPr>
            <w:tcW w:w="464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9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16*</w:t>
              </w:r>
            </w:hyperlink>
          </w:p>
        </w:tc>
        <w:tc>
          <w:tcPr>
            <w:tcW w:w="10340" w:type="dxa"/>
            <w:vAlign w:val="bottom"/>
            <w:gridSpan w:val="34"/>
          </w:tcPr>
          <w:p>
            <w:pPr>
              <w:spacing w:after="0"/>
              <w:rPr>
                <w:rFonts w:ascii="Arial" w:cs="Arial" w:eastAsia="Arial" w:hAnsi="Arial"/>
                <w:sz w:val="18"/>
                <w:szCs w:val="18"/>
                <w:color w:val="0000FF"/>
              </w:rPr>
            </w:pPr>
            <w:hyperlink r:id="rId95">
              <w:r>
                <w:rPr>
                  <w:rFonts w:ascii="Arial" w:cs="Arial" w:eastAsia="Arial" w:hAnsi="Arial"/>
                  <w:sz w:val="18"/>
                  <w:szCs w:val="18"/>
                  <w:color w:val="0000FF"/>
                </w:rPr>
                <w:t>Third Supplemental Indenture relating to Hughes Satellite Systems Corporation’s 6.625% Senior Notes due 2026, dated as</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of June 12, 2019, by and among Hughes Satellite Systems Corporation, the guarantors and the supplemental guarantors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80" w:type="dxa"/>
            <w:vAlign w:val="bottom"/>
            <w:gridSpan w:val="21"/>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listed on the signature pages thereto and U.S. Bank National Association, as trustee (incorporated by reference to Exhibit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EchoStar Corporation’s Quarterly Report on Form 10-Q for the quarter ended June 30, 2019, filed August 8,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9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17*</w:t>
              </w:r>
            </w:hyperlink>
          </w:p>
        </w:tc>
        <w:tc>
          <w:tcPr>
            <w:tcW w:w="10340" w:type="dxa"/>
            <w:vAlign w:val="bottom"/>
            <w:gridSpan w:val="34"/>
          </w:tcPr>
          <w:p>
            <w:pPr>
              <w:spacing w:after="0"/>
              <w:rPr>
                <w:rFonts w:ascii="Arial" w:cs="Arial" w:eastAsia="Arial" w:hAnsi="Arial"/>
                <w:sz w:val="18"/>
                <w:szCs w:val="18"/>
                <w:color w:val="0000FF"/>
              </w:rPr>
            </w:pPr>
            <w:hyperlink r:id="rId96">
              <w:r>
                <w:rPr>
                  <w:rFonts w:ascii="Arial" w:cs="Arial" w:eastAsia="Arial" w:hAnsi="Arial"/>
                  <w:sz w:val="18"/>
                  <w:szCs w:val="18"/>
                  <w:color w:val="0000FF"/>
                </w:rPr>
                <w:t>Description of our Capital Stock ((incorporated by reference to Exhibit 4.25 to EchoStar Corporations’ Annual Report on</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1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Form 10-K for the year ended December 31, 2019, filed February 20, 2020, Commission File No. 001-33807).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2"/>
        </w:trPr>
        <w:tc>
          <w:tcPr>
            <w:tcW w:w="1300" w:type="dxa"/>
            <w:vAlign w:val="bottom"/>
            <w:gridSpan w:val="2"/>
          </w:tcPr>
          <w:p>
            <w:pPr>
              <w:jc w:val="right"/>
              <w:ind w:right="880"/>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10340" w:type="dxa"/>
            <w:vAlign w:val="bottom"/>
            <w:gridSpan w:val="34"/>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Tax Sharing Agreement between EchoStar Corporation and DISH Network Corporation (incorporated by reference</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to Exhibit 10.2 to Amendment No. 1 of EchoStar Corporation’s Form 10 filed December 12, 2007, Commission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33807).</w:t>
              </w:r>
            </w:hyperlink>
          </w:p>
        </w:tc>
        <w:tc>
          <w:tcPr>
            <w:tcW w:w="8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10340" w:type="dxa"/>
            <w:vAlign w:val="bottom"/>
            <w:gridSpan w:val="34"/>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EchoStar Corporation 2008 Class B CEO Stock Option Plan (incorporated by reference to Exhibit 10.25 to</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Amendment No. 1 of EchoStar Corporation’s Form 10 filed December 12, 2007, Commission File No. 001-33807).**</w:t>
              </w:r>
            </w:hyperlink>
          </w:p>
        </w:tc>
        <w:tc>
          <w:tcPr>
            <w:tcW w:w="9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10340" w:type="dxa"/>
            <w:vAlign w:val="bottom"/>
            <w:gridSpan w:val="34"/>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EchoStar Corporation 2008 Stock Incentive Plan (the “2008 Stock Incentive Plan”) (incorporated by</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reference to EchoStar Corporation’s Definitive Proxy Statement on Form 14, filed September 18, 2014, Commission File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No. 001-33807).**</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00" w:type="dxa"/>
            <w:vAlign w:val="bottom"/>
            <w:tcBorders>
              <w:right w:val="single" w:sz="8" w:color="0000FF"/>
            </w:tcBorders>
            <w:gridSpan w:val="2"/>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10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10340" w:type="dxa"/>
            <w:vAlign w:val="bottom"/>
            <w:gridSpan w:val="34"/>
          </w:tcPr>
          <w:p>
            <w:pPr>
              <w:spacing w:after="0"/>
              <w:rPr>
                <w:rFonts w:ascii="Arial" w:cs="Arial" w:eastAsia="Arial" w:hAnsi="Arial"/>
                <w:sz w:val="18"/>
                <w:szCs w:val="18"/>
                <w:color w:val="0000FF"/>
              </w:rPr>
            </w:pPr>
            <w:hyperlink r:id="rId100">
              <w:r>
                <w:rPr>
                  <w:rFonts w:ascii="Arial" w:cs="Arial" w:eastAsia="Arial" w:hAnsi="Arial"/>
                  <w:sz w:val="18"/>
                  <w:szCs w:val="18"/>
                  <w:color w:val="0000FF"/>
                </w:rPr>
                <w:t>Amended and Restated EchoStar Corporation 2008 Non-Employee Director Stock Option Plan (the “2008 Non-Employee</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Director Stock Option Plan”) (incorporated by reference to EchoStar Corporation’s Definitive Proxy Statement on Form 14,</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40" w:type="dxa"/>
            <w:vAlign w:val="bottom"/>
            <w:tcBorders>
              <w:bottom w:val="single" w:sz="8" w:color="0000FF"/>
            </w:tcBorders>
            <w:gridSpan w:val="6"/>
          </w:tcPr>
          <w:p>
            <w:pPr>
              <w:spacing w:after="0" w:line="156"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filed March 31, 2009, Commission File No. 001-33807).**</w:t>
              </w:r>
            </w:hyperlink>
          </w:p>
        </w:tc>
        <w:tc>
          <w:tcPr>
            <w:tcW w:w="576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10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5*</w:t>
              </w:r>
            </w:hyperlink>
          </w:p>
        </w:tc>
        <w:tc>
          <w:tcPr>
            <w:tcW w:w="10340" w:type="dxa"/>
            <w:vAlign w:val="bottom"/>
            <w:gridSpan w:val="34"/>
          </w:tcPr>
          <w:p>
            <w:pPr>
              <w:spacing w:after="0"/>
              <w:rPr>
                <w:rFonts w:ascii="Arial" w:cs="Arial" w:eastAsia="Arial" w:hAnsi="Arial"/>
                <w:sz w:val="18"/>
                <w:szCs w:val="18"/>
                <w:color w:val="0000FF"/>
              </w:rPr>
            </w:pPr>
            <w:hyperlink r:id="rId101">
              <w:r>
                <w:rPr>
                  <w:rFonts w:ascii="Arial" w:cs="Arial" w:eastAsia="Arial" w:hAnsi="Arial"/>
                  <w:sz w:val="18"/>
                  <w:szCs w:val="18"/>
                  <w:color w:val="0000FF"/>
                </w:rPr>
                <w:t>Allocation Agreement, dated August 4, 2009, between EchoStar Corporation and DISH Network Corporation (incorporated</w:t>
              </w:r>
            </w:hyperlink>
          </w:p>
        </w:tc>
      </w:tr>
      <w:tr>
        <w:trPr>
          <w:trHeight w:val="156"/>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101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by  reference  from  Exhibit  10.4  to  EchoStar  Corporation’s  Quarterly  Report  on  Form  10-Q  for  the  quarter  ended</w:t>
              </w:r>
            </w:hyperlink>
          </w:p>
        </w:tc>
        <w:tc>
          <w:tcPr>
            <w:tcW w:w="180" w:type="dxa"/>
            <w:vAlign w:val="bottom"/>
            <w:gridSpan w:val="9"/>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September 30, 2009, filed November 9, 2009, Commission File No. 001-33807).</w:t>
              </w:r>
            </w:hyperlink>
          </w:p>
        </w:tc>
        <w:tc>
          <w:tcPr>
            <w:tcW w:w="36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453"/>
        </w:trPr>
        <w:tc>
          <w:tcPr>
            <w:tcW w:w="1300" w:type="dxa"/>
            <w:vAlign w:val="bottom"/>
            <w:gridSpan w:val="2"/>
          </w:tcPr>
          <w:p>
            <w:pPr>
              <w:jc w:val="right"/>
              <w:ind w:right="880"/>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6*</w:t>
              </w:r>
            </w:hyperlink>
          </w:p>
        </w:tc>
        <w:tc>
          <w:tcPr>
            <w:tcW w:w="10340" w:type="dxa"/>
            <w:vAlign w:val="bottom"/>
            <w:gridSpan w:val="34"/>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Restricted Stock Unit Agreement for 2008 Stock Incentive Plan — Executive or Director (incorporated by reference</w:t>
              </w:r>
            </w:hyperlink>
          </w:p>
        </w:tc>
      </w:tr>
      <w:tr>
        <w:trPr>
          <w:trHeight w:val="155"/>
        </w:trPr>
        <w:tc>
          <w:tcPr>
            <w:tcW w:w="4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to Exhibit 10.1 to EchoStar Corporation’s Quarterly Report on Form 10-Q for the quarter ended September 30, 2015, filed</w:t>
              </w:r>
            </w:hyperlink>
          </w:p>
        </w:tc>
        <w:tc>
          <w:tcPr>
            <w:tcW w:w="140" w:type="dxa"/>
            <w:vAlign w:val="bottom"/>
            <w:tcBorders>
              <w:bottom w:val="single" w:sz="8" w:color="0000FF"/>
            </w:tcBorders>
            <w:gridSpan w:val="7"/>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40" w:type="dxa"/>
            <w:vAlign w:val="bottom"/>
            <w:gridSpan w:val="19"/>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November 6, 2015, Commission File No. 001-33807).**</w:t>
              </w:r>
            </w:hyperlink>
          </w:p>
        </w:tc>
        <w:tc>
          <w:tcPr>
            <w:tcW w:w="300" w:type="dxa"/>
            <w:vAlign w:val="bottom"/>
            <w:gridSpan w:val="15"/>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0" w:type="dxa"/>
            <w:vAlign w:val="bottom"/>
            <w:gridSpan w:val="2"/>
          </w:tcPr>
          <w:p>
            <w:pPr>
              <w:spacing w:after="0"/>
              <w:rPr>
                <w:rFonts w:ascii="Arial" w:cs="Arial" w:eastAsia="Arial" w:hAnsi="Arial"/>
                <w:sz w:val="18"/>
                <w:szCs w:val="18"/>
                <w:color w:val="0000FF"/>
              </w:rPr>
            </w:pPr>
            <w:hyperlink r:id="rId10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760" w:type="dxa"/>
            <w:vAlign w:val="bottom"/>
          </w:tcPr>
          <w:p>
            <w:pPr>
              <w:spacing w:after="0"/>
              <w:rPr>
                <w:sz w:val="17"/>
                <w:szCs w:val="17"/>
                <w:color w:val="auto"/>
              </w:rPr>
            </w:pPr>
          </w:p>
        </w:tc>
        <w:tc>
          <w:tcPr>
            <w:tcW w:w="10240" w:type="dxa"/>
            <w:vAlign w:val="bottom"/>
            <w:gridSpan w:val="27"/>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Stock Option Agreement for 2008 Stock Incentive Plan (1999) (incorporated by reference to Exhibit 10.39 to</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EchoStar Corporation’s Annual Report on Form 10-K for the year ended December 31, 2015, filed February 24,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Commission File No. 001-33807).**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520" w:type="dxa"/>
            <w:vAlign w:val="bottom"/>
            <w:gridSpan w:val="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760" w:type="dxa"/>
            <w:vAlign w:val="bottom"/>
          </w:tcPr>
          <w:p>
            <w:pPr>
              <w:spacing w:after="0"/>
              <w:rPr>
                <w:sz w:val="24"/>
                <w:szCs w:val="24"/>
                <w:color w:val="auto"/>
              </w:rPr>
            </w:pPr>
          </w:p>
        </w:tc>
        <w:tc>
          <w:tcPr>
            <w:tcW w:w="10240" w:type="dxa"/>
            <w:vAlign w:val="bottom"/>
            <w:gridSpan w:val="27"/>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Stock Option Agreement for 2008 Stock Incentive Plan — Employee (2008) (incorporated by reference to Exhibit</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10.</w:t>
              </w:r>
              <w:r>
                <w:rPr>
                  <w:rFonts w:ascii="Arial" w:cs="Arial" w:eastAsia="Arial" w:hAnsi="Arial"/>
                  <w:sz w:val="18"/>
                  <w:szCs w:val="18"/>
                  <w:u w:val="single" w:color="auto"/>
                  <w:color w:val="0000FF"/>
                </w:rPr>
                <w:t>40</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0" w:type="dxa"/>
            <w:vAlign w:val="bottom"/>
            <w:gridSpan w:val="25"/>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2016,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520" w:type="dxa"/>
            <w:vAlign w:val="bottom"/>
            <w:gridSpan w:val="2"/>
          </w:tcPr>
          <w:p>
            <w:pPr>
              <w:spacing w:after="0"/>
              <w:rPr>
                <w:rFonts w:ascii="Arial" w:cs="Arial" w:eastAsia="Arial" w:hAnsi="Arial"/>
                <w:sz w:val="18"/>
                <w:szCs w:val="18"/>
                <w:color w:val="0000FF"/>
              </w:rPr>
            </w:pPr>
            <w:hyperlink r:id="rId106">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760" w:type="dxa"/>
            <w:vAlign w:val="bottom"/>
          </w:tcPr>
          <w:p>
            <w:pPr>
              <w:spacing w:after="0"/>
              <w:rPr>
                <w:sz w:val="24"/>
                <w:szCs w:val="24"/>
                <w:color w:val="auto"/>
              </w:rPr>
            </w:pPr>
          </w:p>
        </w:tc>
        <w:tc>
          <w:tcPr>
            <w:tcW w:w="10240" w:type="dxa"/>
            <w:vAlign w:val="bottom"/>
            <w:gridSpan w:val="27"/>
          </w:tcPr>
          <w:p>
            <w:pPr>
              <w:spacing w:after="0"/>
              <w:rPr>
                <w:rFonts w:ascii="Arial" w:cs="Arial" w:eastAsia="Arial" w:hAnsi="Arial"/>
                <w:sz w:val="18"/>
                <w:szCs w:val="18"/>
                <w:color w:val="0000FF"/>
              </w:rPr>
            </w:pPr>
            <w:hyperlink r:id="rId106">
              <w:r>
                <w:rPr>
                  <w:rFonts w:ascii="Arial" w:cs="Arial" w:eastAsia="Arial" w:hAnsi="Arial"/>
                  <w:sz w:val="18"/>
                  <w:szCs w:val="18"/>
                  <w:color w:val="0000FF"/>
                </w:rPr>
                <w:t>Form of Stock Option Agreement for 2008 Stock Incentive Plan — Executive (2008)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10.</w:t>
              </w:r>
              <w:r>
                <w:rPr>
                  <w:rFonts w:ascii="Arial" w:cs="Arial" w:eastAsia="Arial" w:hAnsi="Arial"/>
                  <w:sz w:val="18"/>
                  <w:szCs w:val="18"/>
                  <w:u w:val="single" w:color="auto"/>
                  <w:color w:val="0000FF"/>
                </w:rPr>
                <w:t>41</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2016,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07">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240" w:type="dxa"/>
            <w:vAlign w:val="bottom"/>
            <w:gridSpan w:val="27"/>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Form of Stock Option Agreement for 2008 Stock Incentive Plan — Employee (2014) (incorporated by reference to Exhibit</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10.</w:t>
              </w:r>
              <w:r>
                <w:rPr>
                  <w:rFonts w:ascii="Arial" w:cs="Arial" w:eastAsia="Arial" w:hAnsi="Arial"/>
                  <w:sz w:val="18"/>
                  <w:szCs w:val="18"/>
                  <w:u w:val="single" w:color="auto"/>
                  <w:color w:val="0000FF"/>
                </w:rPr>
                <w:t>42</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2016, Commission File No. 001-33807).**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3"/>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08">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10240" w:type="dxa"/>
            <w:vAlign w:val="bottom"/>
            <w:gridSpan w:val="27"/>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Form of Stock Option Agreement for 2008 Stock Incentive Plan — Executive (2014) (incorporated by reference to Exhibit</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10.</w:t>
              </w:r>
              <w:r>
                <w:rPr>
                  <w:rFonts w:ascii="Arial" w:cs="Arial" w:eastAsia="Arial" w:hAnsi="Arial"/>
                  <w:sz w:val="18"/>
                  <w:szCs w:val="18"/>
                  <w:u w:val="single" w:color="auto"/>
                  <w:color w:val="0000FF"/>
                </w:rPr>
                <w:t>43</w:t>
              </w:r>
              <w:r>
                <w:rPr>
                  <w:rFonts w:ascii="Arial" w:cs="Arial" w:eastAsia="Arial" w:hAnsi="Arial"/>
                  <w:sz w:val="18"/>
                  <w:szCs w:val="18"/>
                  <w:color w:val="0000FF"/>
                </w:rPr>
                <w:t xml:space="preserve"> to EchoStar Corporation’s Annual Report on Form 10-K for the year ended December 31, 2015, filed February 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2016, Commission File No. 001-33807). **</w:t>
              </w:r>
            </w:hyperlink>
          </w:p>
        </w:tc>
        <w:tc>
          <w:tcPr>
            <w:tcW w:w="68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09">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240" w:type="dxa"/>
            <w:vAlign w:val="bottom"/>
            <w:gridSpan w:val="27"/>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Non-Employee Director Stock Option Agreement for 2008 Non-Employee Director Stock Option Plan (incorporated</w:t>
              </w:r>
            </w:hyperlink>
          </w:p>
        </w:tc>
      </w:tr>
      <w:tr>
        <w:trPr>
          <w:trHeight w:val="156"/>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by reference to Exhibit 10.44 to EchoStar Corporation’s Annual Report on Form 10-K for the year ended December 31,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60" w:type="dxa"/>
            <w:vAlign w:val="bottom"/>
            <w:gridSpan w:val="23"/>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2015, filed February 24, 2016, Commission File No. 001-33807). **</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3"/>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10">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240" w:type="dxa"/>
            <w:vAlign w:val="bottom"/>
            <w:gridSpan w:val="2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Restricted Stock Unit Agreement for 2008 Stock Incentive Plan — Executive or Director (2011) (incorporated by</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reference to Exhibit 10.45 to EchoStar Corporation’s Annual Report on Form 10-K for the year ended December 31,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filed February 24, 2016, Commission File No. 001-33807).**</w:t>
              </w:r>
            </w:hyperlink>
          </w:p>
        </w:tc>
        <w:tc>
          <w:tcPr>
            <w:tcW w:w="51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11">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240" w:type="dxa"/>
            <w:vAlign w:val="bottom"/>
            <w:gridSpan w:val="27"/>
          </w:tcPr>
          <w:p>
            <w:pPr>
              <w:spacing w:after="0"/>
              <w:rPr>
                <w:rFonts w:ascii="Arial" w:cs="Arial" w:eastAsia="Arial" w:hAnsi="Arial"/>
                <w:sz w:val="18"/>
                <w:szCs w:val="18"/>
                <w:color w:val="0000FF"/>
              </w:rPr>
            </w:pPr>
            <w:hyperlink r:id="rId111">
              <w:r>
                <w:rPr>
                  <w:rFonts w:ascii="Arial" w:cs="Arial" w:eastAsia="Arial" w:hAnsi="Arial"/>
                  <w:sz w:val="18"/>
                  <w:szCs w:val="18"/>
                  <w:color w:val="0000FF"/>
                </w:rPr>
                <w:t>Share Exchange Agreement among DISH Network Corporation, DISH Network L.L.C., DISH Operating L.L.C., EchoStar</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Corporation,  EchoStar  Broadcasting  Holding  Parent  L.L.C.,  EchoStar  Broadcasting  Holding  Corporation,  EchoStar</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00" w:type="dxa"/>
            <w:vAlign w:val="bottom"/>
            <w:tcBorders>
              <w:bottom w:val="single" w:sz="8" w:color="0000FF"/>
            </w:tcBorders>
            <w:gridSpan w:val="20"/>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Technologies Holding Corporation, and EchoStar Technologies L.L.C., dated as of January 31, 2017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40" w:type="dxa"/>
            <w:vAlign w:val="bottom"/>
            <w:gridSpan w:val="22"/>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reference to Exhibit 10.1 to EchoStar Corporation’s Quarterly Report on Form 10-Q for the quarter ended March 31, 2017,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filed May 10, 2017, Commission File No. 001-33807. ***/****</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3"/>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240" w:type="dxa"/>
            <w:vAlign w:val="bottom"/>
            <w:gridSpan w:val="2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EchoStar Corporation 2017 Stock Incentive Plan (incorporated by reference to EchoStar Corporation’s Definitive Proxy</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Statement on Form 14, filed March 23, 2017, Commission File No. 001-33807).**</w:t>
              </w:r>
            </w:hyperlink>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3"/>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240" w:type="dxa"/>
            <w:vAlign w:val="bottom"/>
            <w:gridSpan w:val="2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EchoStar  Corporation  2017  Non-Employee  Director  Stock  Incentive  Plan  (incorporated  by  reference  to  EchoStar</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Corporation’s Definitive Proxy Statement on Form 14, filed March 23, 2017, Commission File No. 001-33807).**</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3"/>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240" w:type="dxa"/>
            <w:vAlign w:val="bottom"/>
            <w:gridSpan w:val="2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Amended and Restated EchoStar Corporation 2017 Employee Stock Purchase Plan (incorporated by reference to EchoStar</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Corporation’s Definitive Proxy Statement on Form 14, filed March 23, 2017, Commission File No. 001-33807).**</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3"/>
          </w:tcPr>
          <w:p>
            <w:pPr>
              <w:spacing w:after="0" w:line="20" w:lineRule="exact"/>
              <w:rPr>
                <w:sz w:val="1"/>
                <w:szCs w:val="1"/>
                <w:color w:val="auto"/>
              </w:rPr>
            </w:pPr>
          </w:p>
        </w:tc>
        <w:tc>
          <w:tcPr>
            <w:tcW w:w="4520" w:type="dxa"/>
            <w:vAlign w:val="bottom"/>
            <w:gridSpan w:val="5"/>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36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13">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0240" w:type="dxa"/>
            <w:vAlign w:val="bottom"/>
            <w:gridSpan w:val="27"/>
          </w:tcPr>
          <w:p>
            <w:pPr>
              <w:spacing w:after="0"/>
              <w:rPr>
                <w:rFonts w:ascii="Arial" w:cs="Arial" w:eastAsia="Arial" w:hAnsi="Arial"/>
                <w:sz w:val="18"/>
                <w:szCs w:val="18"/>
                <w:color w:val="0000FF"/>
              </w:rPr>
            </w:pPr>
            <w:hyperlink r:id="rId113">
              <w:r>
                <w:rPr>
                  <w:rFonts w:ascii="Arial" w:cs="Arial" w:eastAsia="Arial" w:hAnsi="Arial"/>
                  <w:sz w:val="18"/>
                  <w:szCs w:val="18"/>
                  <w:color w:val="0000FF"/>
                </w:rPr>
                <w:t>EchoStar Non-Qualified Plan -- Executive Plan and Adoption Agreement, as amended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EchoStar Corporation’s Quarterly Report on Form 10-Q for the quarter ended June 30, 2017, filed August 9, 2017,</w:t>
              </w:r>
            </w:hyperlink>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Commission File No. 001-33807).**</w:t>
              </w:r>
            </w:hyperlink>
          </w:p>
        </w:tc>
        <w:tc>
          <w:tcPr>
            <w:tcW w:w="60" w:type="dxa"/>
            <w:vAlign w:val="bottom"/>
            <w:gridSpan w:val="3"/>
          </w:tcPr>
          <w:p>
            <w:pPr>
              <w:spacing w:after="0"/>
              <w:rPr>
                <w:sz w:val="13"/>
                <w:szCs w:val="13"/>
                <w:color w:val="auto"/>
              </w:rPr>
            </w:pPr>
          </w:p>
        </w:tc>
      </w:tr>
      <w:tr>
        <w:trPr>
          <w:trHeight w:val="20"/>
        </w:trPr>
        <w:tc>
          <w:tcPr>
            <w:tcW w:w="1280" w:type="dxa"/>
            <w:vAlign w:val="bottom"/>
            <w:gridSpan w:val="3"/>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720" w:type="dxa"/>
            <w:vAlign w:val="bottom"/>
            <w:gridSpan w:val="22"/>
          </w:tcPr>
          <w:p>
            <w:pPr>
              <w:spacing w:after="0" w:line="20" w:lineRule="exact"/>
              <w:rPr>
                <w:sz w:val="1"/>
                <w:szCs w:val="1"/>
                <w:color w:val="auto"/>
              </w:rPr>
            </w:pPr>
          </w:p>
        </w:tc>
      </w:tr>
      <w:tr>
        <w:trPr>
          <w:trHeight w:val="453"/>
        </w:trPr>
        <w:tc>
          <w:tcPr>
            <w:tcW w:w="1280" w:type="dxa"/>
            <w:vAlign w:val="bottom"/>
            <w:gridSpan w:val="3"/>
          </w:tcPr>
          <w:p>
            <w:pPr>
              <w:spacing w:after="0"/>
              <w:rPr>
                <w:rFonts w:ascii="Arial" w:cs="Arial" w:eastAsia="Arial" w:hAnsi="Arial"/>
                <w:sz w:val="18"/>
                <w:szCs w:val="18"/>
                <w:color w:val="0000FF"/>
              </w:rPr>
            </w:pPr>
            <w:hyperlink r:id="rId114">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10240" w:type="dxa"/>
            <w:vAlign w:val="bottom"/>
            <w:gridSpan w:val="27"/>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Stock Option Agreement for the EchoStar Corporation 2017 Stock Incentive Plan - Employee (2017) (incorporated</w:t>
              </w:r>
            </w:hyperlink>
          </w:p>
        </w:tc>
      </w:tr>
      <w:tr>
        <w:trPr>
          <w:trHeight w:val="155"/>
        </w:trPr>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by reference to Exhibit 10.2 to EchoStar Corporation’s Quarterly Report on Form 10-Q for the quarter ended June 30, 2017,</w:t>
              </w:r>
            </w:hyperlink>
          </w:p>
        </w:tc>
        <w:tc>
          <w:tcPr>
            <w:tcW w:w="220" w:type="dxa"/>
            <w:vAlign w:val="bottom"/>
            <w:gridSpan w:val="11"/>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filed August 9, 2017, Commission File No. 001-33807).**</w:t>
              </w:r>
            </w:hyperlink>
          </w:p>
        </w:tc>
        <w:tc>
          <w:tcPr>
            <w:tcW w:w="568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00" w:type="dxa"/>
            <w:vAlign w:val="bottom"/>
            <w:gridSpan w:val="2"/>
          </w:tcPr>
          <w:p>
            <w:pPr>
              <w:spacing w:after="0"/>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600" w:type="dxa"/>
            <w:vAlign w:val="bottom"/>
          </w:tcPr>
          <w:p>
            <w:pPr>
              <w:spacing w:after="0"/>
              <w:rPr>
                <w:sz w:val="17"/>
                <w:szCs w:val="17"/>
                <w:color w:val="auto"/>
              </w:rPr>
            </w:pPr>
          </w:p>
        </w:tc>
        <w:tc>
          <w:tcPr>
            <w:tcW w:w="10200" w:type="dxa"/>
            <w:vAlign w:val="bottom"/>
            <w:gridSpan w:val="35"/>
          </w:tcPr>
          <w:p>
            <w:pPr>
              <w:spacing w:after="0"/>
              <w:rPr>
                <w:rFonts w:ascii="Arial" w:cs="Arial" w:eastAsia="Arial" w:hAnsi="Arial"/>
                <w:sz w:val="18"/>
                <w:szCs w:val="18"/>
                <w:color w:val="0000FF"/>
              </w:rPr>
            </w:pPr>
            <w:hyperlink r:id="rId116">
              <w:r>
                <w:rPr>
                  <w:rFonts w:ascii="Arial" w:cs="Arial" w:eastAsia="Arial" w:hAnsi="Arial"/>
                  <w:sz w:val="18"/>
                  <w:szCs w:val="18"/>
                  <w:color w:val="0000FF"/>
                </w:rPr>
                <w:t>Form of Stock Option Agreement for the EchoStar Corporation 2017 Stock Incentive Plan - Executive (2017) (incorporated</w:t>
              </w:r>
            </w:hyperlink>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by reference to Exhibit 10.3 to EchoStar Corporation’s Quarterly Report on Form 10-Q for the quarter ended June 30, 2017,</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20" w:type="dxa"/>
            <w:vAlign w:val="bottom"/>
            <w:gridSpan w:val="31"/>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filed August 9, 2017, Commission File No. 001-33807). **</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gridSpan w:val="2"/>
          </w:tcPr>
          <w:p>
            <w:pPr>
              <w:spacing w:after="0"/>
              <w:rPr>
                <w:rFonts w:ascii="Arial" w:cs="Arial" w:eastAsia="Arial" w:hAnsi="Arial"/>
                <w:sz w:val="18"/>
                <w:szCs w:val="18"/>
                <w:color w:val="0000FF"/>
              </w:rPr>
            </w:pPr>
            <w:hyperlink r:id="rId117">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600" w:type="dxa"/>
            <w:vAlign w:val="bottom"/>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Form of Non-Employee Director Stock Option Agreement for the EchoStar Corporation 2017 Non-Employee Director Stock</w:t>
              </w:r>
            </w:hyperlink>
          </w:p>
        </w:tc>
        <w:tc>
          <w:tcPr>
            <w:tcW w:w="0" w:type="dxa"/>
            <w:vAlign w:val="bottom"/>
          </w:tcPr>
          <w:p>
            <w:pPr>
              <w:spacing w:after="0"/>
              <w:rPr>
                <w:sz w:val="1"/>
                <w:szCs w:val="1"/>
                <w:color w:val="auto"/>
              </w:rPr>
            </w:pPr>
          </w:p>
        </w:tc>
      </w:tr>
      <w:tr>
        <w:trPr>
          <w:trHeight w:val="155"/>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Incentive Plan (incorporated by reference to Exhibit 10.4 to EchoStar Corporation’s Quarterly Report on Form 10-Q for the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92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quarter ended June 30, 2017, filed August 9, 2017, Commission File No. 001-33807).**</w:t>
              </w:r>
            </w:hyperlink>
          </w:p>
        </w:tc>
        <w:tc>
          <w:tcPr>
            <w:tcW w:w="326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700" w:type="dxa"/>
            <w:vAlign w:val="bottom"/>
            <w:gridSpan w:val="2"/>
          </w:tcPr>
          <w:p>
            <w:pPr>
              <w:spacing w:after="0"/>
              <w:rPr>
                <w:rFonts w:ascii="Arial" w:cs="Arial" w:eastAsia="Arial" w:hAnsi="Arial"/>
                <w:sz w:val="18"/>
                <w:szCs w:val="18"/>
                <w:color w:val="0000FF"/>
              </w:rPr>
            </w:pPr>
            <w:hyperlink r:id="rId118">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600" w:type="dxa"/>
            <w:vAlign w:val="bottom"/>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Restricted Stock Unit Agreement for the EchoStar Corporation 2017 Stock Incentive Plan - Executive (2017)</w:t>
              </w:r>
            </w:hyperlink>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(incorporated by reference to Exhibit 10.5 to EchoStar Corporation’s Quarterly Report on Form 10-Q for the quarter ended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June 30, 2017, filed August 9, 2017, Commission File No. 001-33807).**</w:t>
              </w:r>
            </w:hyperlink>
          </w:p>
        </w:tc>
        <w:tc>
          <w:tcPr>
            <w:tcW w:w="42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700" w:type="dxa"/>
            <w:vAlign w:val="bottom"/>
            <w:gridSpan w:val="2"/>
          </w:tcPr>
          <w:p>
            <w:pPr>
              <w:spacing w:after="0"/>
              <w:rPr>
                <w:rFonts w:ascii="Arial" w:cs="Arial" w:eastAsia="Arial" w:hAnsi="Arial"/>
                <w:sz w:val="18"/>
                <w:szCs w:val="18"/>
                <w:color w:val="0000FF"/>
              </w:rPr>
            </w:pPr>
            <w:hyperlink r:id="rId119">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600" w:type="dxa"/>
            <w:vAlign w:val="bottom"/>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r:id="rId119">
              <w:r>
                <w:rPr>
                  <w:rFonts w:ascii="Arial" w:cs="Arial" w:eastAsia="Arial" w:hAnsi="Arial"/>
                  <w:sz w:val="18"/>
                  <w:szCs w:val="18"/>
                  <w:color w:val="0000FF"/>
                </w:rPr>
                <w:t>Letter Agreement between EchoStar Corporation and DISH Network Corporation, dated August 3, 2018, amending that</w:t>
              </w:r>
            </w:hyperlink>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certain Form of Tax Sharing Agreement between EchoStar Corporation and DISH Network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900" w:type="dxa"/>
            <w:vAlign w:val="bottom"/>
            <w:tcBorders>
              <w:bottom w:val="single" w:sz="8" w:color="0000FF"/>
            </w:tcBorders>
            <w:gridSpan w:val="20"/>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Exhibit 10.1 to EchoStar Corporation’s Quarterly Report on Form 10-Q for the quarter ended September 2018, filed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0" w:type="dxa"/>
            <w:vAlign w:val="bottom"/>
            <w:gridSpan w:val="25"/>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November 8, 2018, Commission File No. 001-33807).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gridSpan w:val="2"/>
          </w:tcPr>
          <w:p>
            <w:pPr>
              <w:spacing w:after="0"/>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600" w:type="dxa"/>
            <w:vAlign w:val="bottom"/>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r:id="rId120">
              <w:r>
                <w:rPr>
                  <w:rFonts w:ascii="Arial" w:cs="Arial" w:eastAsia="Arial" w:hAnsi="Arial"/>
                  <w:sz w:val="18"/>
                  <w:szCs w:val="18"/>
                  <w:color w:val="0000FF"/>
                </w:rPr>
                <w:t>Amendment to EchoStar Non-Qualified Plan -- Executive Plan and Adoption Agreement, dated November 1, 2018</w:t>
              </w:r>
            </w:hyperlink>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(incorporated by reference to Exhibit 10.35 to EchoStar Corporation’s Annual Report on Form 10-K for the year ended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40" w:type="dxa"/>
            <w:vAlign w:val="bottom"/>
            <w:tcBorders>
              <w:bottom w:val="single" w:sz="8" w:color="0000FF"/>
            </w:tcBorders>
            <w:gridSpan w:val="10"/>
          </w:tcPr>
          <w:p>
            <w:pPr>
              <w:spacing w:after="0" w:line="156"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December 31, 2018, filed February 21, 2019, Commission File No. 001-33807).**</w:t>
              </w:r>
            </w:hyperlink>
          </w:p>
        </w:tc>
        <w:tc>
          <w:tcPr>
            <w:tcW w:w="3580" w:type="dxa"/>
            <w:vAlign w:val="bottom"/>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600" w:type="dxa"/>
            <w:vAlign w:val="bottom"/>
          </w:tcPr>
          <w:p>
            <w:pPr>
              <w:spacing w:after="0"/>
              <w:rPr>
                <w:sz w:val="18"/>
                <w:szCs w:val="18"/>
                <w:color w:val="auto"/>
              </w:rPr>
            </w:pPr>
          </w:p>
        </w:tc>
        <w:tc>
          <w:tcPr>
            <w:tcW w:w="10200" w:type="dxa"/>
            <w:vAlign w:val="bottom"/>
            <w:gridSpan w:val="35"/>
          </w:tcPr>
          <w:p>
            <w:pPr>
              <w:spacing w:after="0"/>
              <w:rPr>
                <w:rFonts w:ascii="Arial" w:cs="Arial" w:eastAsia="Arial" w:hAnsi="Arial"/>
                <w:sz w:val="18"/>
                <w:szCs w:val="18"/>
                <w:color w:val="0000FF"/>
              </w:rPr>
            </w:pPr>
            <w:hyperlink r:id="rId121">
              <w:r>
                <w:rPr>
                  <w:rFonts w:ascii="Arial" w:cs="Arial" w:eastAsia="Arial" w:hAnsi="Arial"/>
                  <w:sz w:val="18"/>
                  <w:szCs w:val="18"/>
                  <w:color w:val="0000FF"/>
                </w:rPr>
                <w:t>Amended and Restated EchoStar Corporation Executive Officer Bonus Incentive Plan, dated as of April 30, 2019</w:t>
              </w:r>
            </w:hyperlink>
          </w:p>
        </w:tc>
        <w:tc>
          <w:tcPr>
            <w:tcW w:w="0" w:type="dxa"/>
            <w:vAlign w:val="bottom"/>
          </w:tcPr>
          <w:p>
            <w:pPr>
              <w:spacing w:after="0"/>
              <w:rPr>
                <w:sz w:val="1"/>
                <w:szCs w:val="1"/>
                <w:color w:val="auto"/>
              </w:rPr>
            </w:pPr>
          </w:p>
        </w:tc>
      </w:tr>
      <w:tr>
        <w:trPr>
          <w:trHeight w:val="156"/>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(incorporated by reference to Exhibit 10.1 to EchoStar Corporation’s Quarterly Report on Form 10-Q for the quarter ended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June 30, 2019, filed August 8, 2019, Commission File No. 001-33807).**</w:t>
              </w:r>
            </w:hyperlink>
          </w:p>
        </w:tc>
        <w:tc>
          <w:tcPr>
            <w:tcW w:w="42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700" w:type="dxa"/>
            <w:vAlign w:val="bottom"/>
            <w:gridSpan w:val="2"/>
          </w:tcPr>
          <w:p>
            <w:pPr>
              <w:spacing w:after="0"/>
              <w:rPr>
                <w:rFonts w:ascii="Arial" w:cs="Arial" w:eastAsia="Arial" w:hAnsi="Arial"/>
                <w:sz w:val="18"/>
                <w:szCs w:val="18"/>
                <w:color w:val="0000FF"/>
              </w:rPr>
            </w:pPr>
            <w:hyperlink r:id="rId122">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600" w:type="dxa"/>
            <w:vAlign w:val="bottom"/>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r:id="rId122">
              <w:r>
                <w:rPr>
                  <w:rFonts w:ascii="Arial" w:cs="Arial" w:eastAsia="Arial" w:hAnsi="Arial"/>
                  <w:sz w:val="18"/>
                  <w:szCs w:val="18"/>
                  <w:color w:val="0000FF"/>
                </w:rPr>
                <w:t>Contract between EchoStar XXIV L.L.C. and Space Systems/Loral, LLC (currently known as Maxar Space LLC) for the</w:t>
              </w:r>
            </w:hyperlink>
          </w:p>
        </w:tc>
        <w:tc>
          <w:tcPr>
            <w:tcW w:w="0" w:type="dxa"/>
            <w:vAlign w:val="bottom"/>
          </w:tcPr>
          <w:p>
            <w:pPr>
              <w:spacing w:after="0"/>
              <w:rPr>
                <w:sz w:val="1"/>
                <w:szCs w:val="1"/>
                <w:color w:val="auto"/>
              </w:rPr>
            </w:pPr>
          </w:p>
        </w:tc>
      </w:tr>
      <w:tr>
        <w:trPr>
          <w:trHeight w:val="155"/>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1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Jupiter 3 Satellite programs, dated as April 19, 2017 (incorporated by reference to Exhibit 10.30 to EchoStar Corporations’</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9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Annual Report on Form 10-K for the year ended December 31, 2019, filed February 20, 2020, Commission File No. 001-</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33807). ***/****</w:t>
              </w:r>
            </w:hyperlink>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6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r:id="rId123">
              <w:r>
                <w:rPr>
                  <w:rFonts w:ascii="Arial" w:cs="Arial" w:eastAsia="Arial" w:hAnsi="Arial"/>
                  <w:sz w:val="18"/>
                  <w:szCs w:val="18"/>
                  <w:color w:val="0000FF"/>
                </w:rPr>
                <w:t>Amendment to EchoStar Non-Qualified Plan – Executive Plan and Adoption Agreement, dated October 21, 2019</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78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740" w:type="dxa"/>
            <w:vAlign w:val="bottom"/>
            <w:gridSpan w:val="3"/>
            <w:shd w:val="clear" w:color="auto" w:fill="0000FF"/>
          </w:tcPr>
          <w:p>
            <w:pPr>
              <w:spacing w:after="0"/>
              <w:rPr>
                <w:sz w:val="2"/>
                <w:szCs w:val="2"/>
                <w:color w:val="auto"/>
              </w:rPr>
            </w:pPr>
          </w:p>
        </w:tc>
        <w:tc>
          <w:tcPr>
            <w:tcW w:w="800" w:type="dxa"/>
            <w:vAlign w:val="bottom"/>
            <w:gridSpan w:val="2"/>
            <w:shd w:val="clear" w:color="auto" w:fill="0000FF"/>
          </w:tcPr>
          <w:p>
            <w:pPr>
              <w:spacing w:after="0"/>
              <w:rPr>
                <w:sz w:val="2"/>
                <w:szCs w:val="2"/>
                <w:color w:val="auto"/>
              </w:rPr>
            </w:pPr>
          </w:p>
        </w:tc>
        <w:tc>
          <w:tcPr>
            <w:tcW w:w="240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6"/>
          </w:tcPr>
          <w:p>
            <w:pPr>
              <w:spacing w:after="0"/>
              <w:rPr>
                <w:sz w:val="2"/>
                <w:szCs w:val="2"/>
                <w:color w:val="auto"/>
              </w:rPr>
            </w:pPr>
          </w:p>
        </w:tc>
        <w:tc>
          <w:tcPr>
            <w:tcW w:w="120" w:type="dxa"/>
            <w:vAlign w:val="bottom"/>
            <w:gridSpan w:val="6"/>
          </w:tcPr>
          <w:p>
            <w:pPr>
              <w:spacing w:after="0"/>
              <w:rPr>
                <w:sz w:val="2"/>
                <w:szCs w:val="2"/>
                <w:color w:val="auto"/>
              </w:rPr>
            </w:pPr>
          </w:p>
        </w:tc>
        <w:tc>
          <w:tcPr>
            <w:tcW w:w="10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80" w:type="dxa"/>
            <w:vAlign w:val="bottom"/>
            <w:tcBorders>
              <w:bottom w:val="single" w:sz="8" w:color="0000FF"/>
            </w:tcBorders>
            <w:gridSpan w:val="17"/>
          </w:tcPr>
          <w:p>
            <w:pPr>
              <w:spacing w:after="0" w:line="189"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(incorporated by reference to Exhibit 10.1 to EchoStar Corporation’s Quarterly Report on Form 10-Q for the quarter ended</w:t>
              </w:r>
            </w:hyperlink>
          </w:p>
        </w:tc>
        <w:tc>
          <w:tcPr>
            <w:tcW w:w="52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September 30, 2020, filed November 5, 2020, Commission File No. 001-33807). **</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6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0200" w:type="dxa"/>
            <w:vAlign w:val="bottom"/>
            <w:gridSpan w:val="35"/>
          </w:tcPr>
          <w:p>
            <w:pPr>
              <w:spacing w:after="0"/>
              <w:rPr>
                <w:rFonts w:ascii="Arial" w:cs="Arial" w:eastAsia="Arial" w:hAnsi="Arial"/>
                <w:sz w:val="18"/>
                <w:szCs w:val="18"/>
                <w:color w:val="0000FF"/>
              </w:rPr>
            </w:pPr>
            <w:hyperlink r:id="rId124">
              <w:r>
                <w:rPr>
                  <w:rFonts w:ascii="Arial" w:cs="Arial" w:eastAsia="Arial" w:hAnsi="Arial"/>
                  <w:sz w:val="18"/>
                  <w:szCs w:val="18"/>
                  <w:color w:val="0000FF"/>
                </w:rPr>
                <w:t>Amendment No. 1 to Contract between EchoStar XXIV L.L.C. and SpaceSystems/Loral, LLC (currently known as Maxar</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78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740" w:type="dxa"/>
            <w:vAlign w:val="bottom"/>
            <w:gridSpan w:val="3"/>
            <w:shd w:val="clear" w:color="auto" w:fill="0000FF"/>
          </w:tcPr>
          <w:p>
            <w:pPr>
              <w:spacing w:after="0"/>
              <w:rPr>
                <w:sz w:val="2"/>
                <w:szCs w:val="2"/>
                <w:color w:val="auto"/>
              </w:rPr>
            </w:pPr>
          </w:p>
        </w:tc>
        <w:tc>
          <w:tcPr>
            <w:tcW w:w="3280" w:type="dxa"/>
            <w:vAlign w:val="bottom"/>
            <w:gridSpan w:val="5"/>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gridSpan w:val="6"/>
          </w:tcPr>
          <w:p>
            <w:pPr>
              <w:spacing w:after="0"/>
              <w:rPr>
                <w:sz w:val="2"/>
                <w:szCs w:val="2"/>
                <w:color w:val="auto"/>
              </w:rPr>
            </w:pPr>
          </w:p>
        </w:tc>
        <w:tc>
          <w:tcPr>
            <w:tcW w:w="120" w:type="dxa"/>
            <w:vAlign w:val="bottom"/>
            <w:gridSpan w:val="6"/>
          </w:tcPr>
          <w:p>
            <w:pPr>
              <w:spacing w:after="0"/>
              <w:rPr>
                <w:sz w:val="2"/>
                <w:szCs w:val="2"/>
                <w:color w:val="auto"/>
              </w:rPr>
            </w:pPr>
          </w:p>
        </w:tc>
        <w:tc>
          <w:tcPr>
            <w:tcW w:w="10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0" w:type="dxa"/>
            <w:vAlign w:val="bottom"/>
            <w:tcBorders>
              <w:bottom w:val="single" w:sz="8" w:color="0000FF"/>
            </w:tcBorders>
            <w:gridSpan w:val="35"/>
          </w:tcPr>
          <w:p>
            <w:pPr>
              <w:spacing w:after="0" w:line="189" w:lineRule="exact"/>
              <w:rPr>
                <w:rFonts w:ascii="Arial" w:cs="Arial" w:eastAsia="Arial" w:hAnsi="Arial"/>
                <w:sz w:val="18"/>
                <w:szCs w:val="18"/>
                <w:color w:val="0000FF"/>
              </w:rPr>
            </w:pPr>
            <w:hyperlink r:id="rId124">
              <w:r>
                <w:rPr>
                  <w:rFonts w:ascii="Arial" w:cs="Arial" w:eastAsia="Arial" w:hAnsi="Arial"/>
                  <w:sz w:val="18"/>
                  <w:szCs w:val="18"/>
                  <w:color w:val="0000FF"/>
                </w:rPr>
                <w:t>Space LLC) for the Jupiter 3 Satellite Program, dated October 1, 2018 (incorporated by reference to Exhibit 10.2 to EchoStar</w:t>
              </w:r>
            </w:hyperlink>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0" w:type="dxa"/>
            <w:vAlign w:val="bottom"/>
            <w:gridSpan w:val="35"/>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Corporation’s Quarterly Report on Form 10-Q for the quarter ended September 30, 2020, filed November 5, 2020.</w:t>
              </w:r>
            </w:hyperlink>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Commission File No. 001-33807). ****</w:t>
              </w:r>
            </w:hyperlink>
          </w:p>
        </w:tc>
        <w:tc>
          <w:tcPr>
            <w:tcW w:w="6020" w:type="dxa"/>
            <w:vAlign w:val="bottom"/>
            <w:tcBorders>
              <w:top w:val="single" w:sz="8" w:color="0000FF"/>
            </w:tcBorders>
            <w:gridSpan w:val="8"/>
          </w:tcPr>
          <w:p>
            <w:pPr>
              <w:spacing w:after="0"/>
              <w:rPr>
                <w:sz w:val="15"/>
                <w:szCs w:val="15"/>
                <w:color w:val="auto"/>
              </w:rPr>
            </w:pPr>
          </w:p>
        </w:tc>
        <w:tc>
          <w:tcPr>
            <w:tcW w:w="118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0" w:type="dxa"/>
            <w:vAlign w:val="bottom"/>
            <w:gridSpan w:val="2"/>
          </w:tcPr>
          <w:p>
            <w:pPr>
              <w:spacing w:after="0" w:line="203" w:lineRule="exact"/>
              <w:rPr>
                <w:rFonts w:ascii="Arial" w:cs="Arial" w:eastAsia="Arial" w:hAnsi="Arial"/>
                <w:sz w:val="18"/>
                <w:szCs w:val="18"/>
                <w:color w:val="0000FF"/>
              </w:rPr>
            </w:pPr>
            <w:hyperlink r:id="rId125">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600" w:type="dxa"/>
            <w:vAlign w:val="bottom"/>
          </w:tcPr>
          <w:p>
            <w:pPr>
              <w:spacing w:after="0"/>
              <w:rPr>
                <w:sz w:val="19"/>
                <w:szCs w:val="19"/>
                <w:color w:val="auto"/>
              </w:rPr>
            </w:pPr>
          </w:p>
        </w:tc>
        <w:tc>
          <w:tcPr>
            <w:tcW w:w="10200" w:type="dxa"/>
            <w:vAlign w:val="bottom"/>
            <w:gridSpan w:val="35"/>
          </w:tcPr>
          <w:p>
            <w:pPr>
              <w:spacing w:after="0"/>
              <w:rPr>
                <w:rFonts w:ascii="Arial" w:cs="Arial" w:eastAsia="Arial" w:hAnsi="Arial"/>
                <w:sz w:val="18"/>
                <w:szCs w:val="18"/>
                <w:color w:val="0000FF"/>
              </w:rPr>
            </w:pPr>
            <w:hyperlink r:id="rId125">
              <w:r>
                <w:rPr>
                  <w:rFonts w:ascii="Arial" w:cs="Arial" w:eastAsia="Arial" w:hAnsi="Arial"/>
                  <w:sz w:val="18"/>
                  <w:szCs w:val="18"/>
                  <w:color w:val="0000FF"/>
                </w:rPr>
                <w:t>Amendment No. 1 to EchoStar Corporation 2017 Non-Employee Director Stock Incentive Plan (incorporated by reference to</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78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740" w:type="dxa"/>
            <w:vAlign w:val="bottom"/>
            <w:gridSpan w:val="3"/>
            <w:shd w:val="clear" w:color="auto" w:fill="0000FF"/>
          </w:tcPr>
          <w:p>
            <w:pPr>
              <w:spacing w:after="0"/>
              <w:rPr>
                <w:sz w:val="2"/>
                <w:szCs w:val="2"/>
                <w:color w:val="auto"/>
              </w:rPr>
            </w:pPr>
          </w:p>
        </w:tc>
        <w:tc>
          <w:tcPr>
            <w:tcW w:w="3600" w:type="dxa"/>
            <w:vAlign w:val="bottom"/>
            <w:gridSpan w:val="6"/>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tcBorders>
              <w:left w:val="single" w:sz="8" w:color="0000FF"/>
            </w:tcBorders>
            <w:gridSpan w:val="2"/>
            <w:shd w:val="clear" w:color="auto" w:fill="0000FF"/>
          </w:tcPr>
          <w:p>
            <w:pPr>
              <w:spacing w:after="0"/>
              <w:rPr>
                <w:sz w:val="2"/>
                <w:szCs w:val="2"/>
                <w:color w:val="auto"/>
              </w:rPr>
            </w:pPr>
          </w:p>
        </w:tc>
        <w:tc>
          <w:tcPr>
            <w:tcW w:w="160" w:type="dxa"/>
            <w:vAlign w:val="bottom"/>
            <w:gridSpan w:val="6"/>
          </w:tcPr>
          <w:p>
            <w:pPr>
              <w:spacing w:after="0"/>
              <w:rPr>
                <w:sz w:val="2"/>
                <w:szCs w:val="2"/>
                <w:color w:val="auto"/>
              </w:rPr>
            </w:pPr>
          </w:p>
        </w:tc>
        <w:tc>
          <w:tcPr>
            <w:tcW w:w="120" w:type="dxa"/>
            <w:vAlign w:val="bottom"/>
            <w:gridSpan w:val="6"/>
          </w:tcPr>
          <w:p>
            <w:pPr>
              <w:spacing w:after="0"/>
              <w:rPr>
                <w:sz w:val="2"/>
                <w:szCs w:val="2"/>
                <w:color w:val="auto"/>
              </w:rPr>
            </w:pPr>
          </w:p>
        </w:tc>
        <w:tc>
          <w:tcPr>
            <w:tcW w:w="10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0" w:type="dxa"/>
            <w:vAlign w:val="bottom"/>
            <w:gridSpan w:val="35"/>
          </w:tcPr>
          <w:p>
            <w:pPr>
              <w:spacing w:after="0" w:line="189" w:lineRule="exact"/>
              <w:rPr>
                <w:rFonts w:ascii="Arial" w:cs="Arial" w:eastAsia="Arial" w:hAnsi="Arial"/>
                <w:sz w:val="18"/>
                <w:szCs w:val="18"/>
                <w:color w:val="0000FF"/>
              </w:rPr>
            </w:pPr>
            <w:hyperlink r:id="rId125">
              <w:r>
                <w:rPr>
                  <w:rFonts w:ascii="Arial" w:cs="Arial" w:eastAsia="Arial" w:hAnsi="Arial"/>
                  <w:sz w:val="18"/>
                  <w:szCs w:val="18"/>
                  <w:color w:val="0000FF"/>
                </w:rPr>
                <w:t>EchoStar Corporation’s Definitive Proxy Statement on Schedule 14A, filed March 17, 2021, Commission File No. 001-</w:t>
              </w:r>
            </w:hyperlink>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33807). **</w:t>
              </w:r>
            </w:hyperlink>
          </w:p>
        </w:tc>
        <w:tc>
          <w:tcPr>
            <w:tcW w:w="40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00" w:type="dxa"/>
            <w:vAlign w:val="bottom"/>
            <w:gridSpan w:val="3"/>
          </w:tcPr>
          <w:p>
            <w:pPr>
              <w:spacing w:after="0" w:line="203" w:lineRule="exact"/>
              <w:rPr>
                <w:rFonts w:ascii="Arial" w:cs="Arial" w:eastAsia="Arial" w:hAnsi="Arial"/>
                <w:sz w:val="18"/>
                <w:szCs w:val="18"/>
                <w:color w:val="0000FF"/>
              </w:rPr>
            </w:pPr>
            <w:hyperlink w:anchor="page143">
              <w:r>
                <w:rPr>
                  <w:rFonts w:ascii="Arial" w:cs="Arial" w:eastAsia="Arial" w:hAnsi="Arial"/>
                  <w:sz w:val="18"/>
                  <w:szCs w:val="18"/>
                  <w:color w:val="0000FF"/>
                </w:rPr>
                <w:t>10.</w:t>
              </w:r>
              <w:r>
                <w:rPr>
                  <w:rFonts w:ascii="Arial" w:cs="Arial" w:eastAsia="Arial" w:hAnsi="Arial"/>
                  <w:sz w:val="18"/>
                  <w:szCs w:val="18"/>
                  <w:u w:val="single" w:color="auto"/>
                  <w:color w:val="0000FF"/>
                </w:rPr>
                <w:t>30(H)</w:t>
              </w:r>
            </w:hyperlink>
          </w:p>
        </w:tc>
        <w:tc>
          <w:tcPr>
            <w:tcW w:w="10200" w:type="dxa"/>
            <w:vAlign w:val="bottom"/>
            <w:gridSpan w:val="35"/>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Second Amended and Restated EchoStar Corporation Executive Officer Bonus Incentive Plan, dated as of November 2,</w:t>
              </w:r>
            </w:hyperlink>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Borders>
              <w:bottom w:val="single" w:sz="8" w:color="0000FF"/>
            </w:tcBorders>
          </w:tcPr>
          <w:p>
            <w:pPr>
              <w:spacing w:after="0" w:line="189" w:lineRule="exact"/>
              <w:rPr>
                <w:rFonts w:ascii="Arial" w:cs="Arial" w:eastAsia="Arial" w:hAnsi="Arial"/>
                <w:sz w:val="18"/>
                <w:szCs w:val="18"/>
                <w:color w:val="0000FF"/>
                <w:w w:val="93"/>
              </w:rPr>
            </w:pPr>
            <w:hyperlink w:anchor="page143">
              <w:r>
                <w:rPr>
                  <w:rFonts w:ascii="Arial" w:cs="Arial" w:eastAsia="Arial" w:hAnsi="Arial"/>
                  <w:sz w:val="18"/>
                  <w:szCs w:val="18"/>
                  <w:color w:val="0000FF"/>
                  <w:w w:val="93"/>
                </w:rPr>
                <w:t>2021. **</w:t>
              </w:r>
            </w:hyperlink>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rFonts w:ascii="Arial" w:cs="Arial" w:eastAsia="Arial" w:hAnsi="Arial"/>
                <w:sz w:val="18"/>
                <w:szCs w:val="18"/>
                <w:color w:val="0000FF"/>
                <w:w w:val="93"/>
              </w:rPr>
            </w:pPr>
            <w:hyperlink w:anchor="page148">
              <w:r>
                <w:rPr>
                  <w:rFonts w:ascii="Arial" w:cs="Arial" w:eastAsia="Arial" w:hAnsi="Arial"/>
                  <w:sz w:val="18"/>
                  <w:szCs w:val="18"/>
                  <w:color w:val="0000FF"/>
                  <w:w w:val="93"/>
                </w:rPr>
                <w:t>21(H)</w:t>
              </w:r>
            </w:hyperlink>
          </w:p>
        </w:tc>
        <w:tc>
          <w:tcPr>
            <w:tcW w:w="840" w:type="dxa"/>
            <w:vAlign w:val="bottom"/>
            <w:gridSpan w:val="2"/>
          </w:tcPr>
          <w:p>
            <w:pPr>
              <w:spacing w:after="0"/>
              <w:rPr>
                <w:sz w:val="19"/>
                <w:szCs w:val="19"/>
                <w:color w:val="auto"/>
              </w:rPr>
            </w:pPr>
          </w:p>
        </w:tc>
        <w:tc>
          <w:tcPr>
            <w:tcW w:w="10200" w:type="dxa"/>
            <w:vAlign w:val="bottom"/>
            <w:gridSpan w:val="35"/>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Subsidiaries of EchoStar Corporation.</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240" w:type="dxa"/>
            <w:vAlign w:val="bottom"/>
            <w:gridSpan w:val="1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Pr>
          <w:p>
            <w:pPr>
              <w:spacing w:after="0"/>
              <w:rPr>
                <w:rFonts w:ascii="Arial" w:cs="Arial" w:eastAsia="Arial" w:hAnsi="Arial"/>
                <w:sz w:val="18"/>
                <w:szCs w:val="18"/>
                <w:color w:val="0000FF"/>
                <w:w w:val="93"/>
              </w:rPr>
            </w:pPr>
            <w:hyperlink w:anchor="page149">
              <w:r>
                <w:rPr>
                  <w:rFonts w:ascii="Arial" w:cs="Arial" w:eastAsia="Arial" w:hAnsi="Arial"/>
                  <w:sz w:val="18"/>
                  <w:szCs w:val="18"/>
                  <w:color w:val="0000FF"/>
                  <w:w w:val="93"/>
                </w:rPr>
                <w:t>23(H)</w:t>
              </w:r>
            </w:hyperlink>
          </w:p>
        </w:tc>
        <w:tc>
          <w:tcPr>
            <w:tcW w:w="840" w:type="dxa"/>
            <w:vAlign w:val="bottom"/>
            <w:gridSpan w:val="2"/>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Consent of KPMG LLP, Independent Registered Public Accounting Firm.</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4240" w:type="dxa"/>
            <w:vAlign w:val="bottom"/>
            <w:gridSpan w:val="1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Pr>
          <w:p>
            <w:pPr>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24(H)</w:t>
              </w:r>
            </w:hyperlink>
          </w:p>
        </w:tc>
        <w:tc>
          <w:tcPr>
            <w:tcW w:w="840" w:type="dxa"/>
            <w:vAlign w:val="bottom"/>
            <w:gridSpan w:val="2"/>
          </w:tcPr>
          <w:p>
            <w:pPr>
              <w:spacing w:after="0"/>
              <w:rPr>
                <w:sz w:val="24"/>
                <w:szCs w:val="24"/>
                <w:color w:val="auto"/>
              </w:rPr>
            </w:pPr>
          </w:p>
        </w:tc>
        <w:tc>
          <w:tcPr>
            <w:tcW w:w="10200" w:type="dxa"/>
            <w:vAlign w:val="bottom"/>
            <w:gridSpan w:val="35"/>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Powers of Attorney of Charles W. Ergen, R. Stanton Dodge, Lisa W. Hershman, Pradman P. Kaul, Jeffrey R. Tarr, C. Michael</w:t>
              </w:r>
            </w:hyperlink>
          </w:p>
        </w:tc>
        <w:tc>
          <w:tcPr>
            <w:tcW w:w="0" w:type="dxa"/>
            <w:vAlign w:val="bottom"/>
          </w:tcPr>
          <w:p>
            <w:pPr>
              <w:spacing w:after="0"/>
              <w:rPr>
                <w:sz w:val="1"/>
                <w:szCs w:val="1"/>
                <w:color w:val="auto"/>
              </w:rPr>
            </w:pPr>
          </w:p>
        </w:tc>
      </w:tr>
      <w:tr>
        <w:trPr>
          <w:trHeight w:val="155"/>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w:anchor="page150">
              <w:r>
                <w:rPr>
                  <w:rFonts w:ascii="Arial" w:cs="Arial" w:eastAsia="Arial" w:hAnsi="Arial"/>
                  <w:sz w:val="18"/>
                  <w:szCs w:val="18"/>
                  <w:color w:val="0000FF"/>
                  <w:w w:val="98"/>
                </w:rPr>
                <w:t>Schroeder and William David Wade.</w:t>
              </w:r>
            </w:hyperlink>
          </w:p>
        </w:tc>
        <w:tc>
          <w:tcPr>
            <w:tcW w:w="7220" w:type="dxa"/>
            <w:vAlign w:val="bottom"/>
            <w:tcBorders>
              <w:top w:val="single" w:sz="8" w:color="0000FF"/>
            </w:tcBorders>
            <w:gridSpan w:val="2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300" w:type="dxa"/>
            <w:vAlign w:val="bottom"/>
            <w:gridSpan w:val="3"/>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99.</w:t>
              </w:r>
              <w:r>
                <w:rPr>
                  <w:rFonts w:ascii="Arial" w:cs="Arial" w:eastAsia="Arial" w:hAnsi="Arial"/>
                  <w:sz w:val="18"/>
                  <w:szCs w:val="18"/>
                  <w:u w:val="single" w:color="auto"/>
                  <w:color w:val="0000FF"/>
                </w:rPr>
                <w:t>1(I)</w:t>
              </w:r>
            </w:hyperlink>
          </w:p>
        </w:tc>
        <w:tc>
          <w:tcPr>
            <w:tcW w:w="10200" w:type="dxa"/>
            <w:vAlign w:val="bottom"/>
            <w:gridSpan w:val="35"/>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Press release dated February 24, 2022 issued by EchoStar Corporation regarding financial results for the quarter and full</w:t>
              </w:r>
            </w:hyperlink>
          </w:p>
        </w:tc>
        <w:tc>
          <w:tcPr>
            <w:tcW w:w="0" w:type="dxa"/>
            <w:vAlign w:val="bottom"/>
          </w:tcPr>
          <w:p>
            <w:pPr>
              <w:spacing w:after="0"/>
              <w:rPr>
                <w:sz w:val="1"/>
                <w:szCs w:val="1"/>
                <w:color w:val="auto"/>
              </w:rPr>
            </w:pPr>
          </w:p>
        </w:tc>
      </w:tr>
      <w:tr>
        <w:trPr>
          <w:trHeight w:val="155"/>
        </w:trPr>
        <w:tc>
          <w:tcPr>
            <w:tcW w:w="4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9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154">
              <w:r>
                <w:rPr>
                  <w:rFonts w:ascii="Arial" w:cs="Arial" w:eastAsia="Arial" w:hAnsi="Arial"/>
                  <w:sz w:val="18"/>
                  <w:szCs w:val="18"/>
                  <w:color w:val="0000FF"/>
                </w:rPr>
                <w:t>year ended December 31, 2021.</w:t>
              </w:r>
            </w:hyperlink>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gridSpan w:val="3"/>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31.</w:t>
              </w:r>
              <w:r>
                <w:rPr>
                  <w:rFonts w:ascii="Arial" w:cs="Arial" w:eastAsia="Arial" w:hAnsi="Arial"/>
                  <w:sz w:val="18"/>
                  <w:szCs w:val="18"/>
                  <w:u w:val="single" w:color="auto"/>
                  <w:color w:val="0000FF"/>
                </w:rPr>
                <w:t>1(H)</w:t>
              </w:r>
            </w:hyperlink>
          </w:p>
        </w:tc>
        <w:tc>
          <w:tcPr>
            <w:tcW w:w="1240" w:type="dxa"/>
            <w:vAlign w:val="bottom"/>
            <w:gridSpan w:val="2"/>
          </w:tcPr>
          <w:p>
            <w:pPr>
              <w:ind w:left="260"/>
              <w:spacing w:after="0"/>
              <w:rPr>
                <w:rFonts w:ascii="Arial" w:cs="Arial" w:eastAsia="Arial" w:hAnsi="Arial"/>
                <w:sz w:val="18"/>
                <w:szCs w:val="18"/>
                <w:color w:val="0000FF"/>
              </w:rPr>
            </w:pPr>
            <w:hyperlink w:anchor="page151">
              <w:r>
                <w:rPr>
                  <w:rFonts w:ascii="Arial" w:cs="Arial" w:eastAsia="Arial" w:hAnsi="Arial"/>
                  <w:sz w:val="18"/>
                  <w:szCs w:val="18"/>
                  <w:color w:val="0000FF"/>
                </w:rPr>
                <w:t>Section 302</w:t>
              </w:r>
            </w:hyperlink>
          </w:p>
        </w:tc>
        <w:tc>
          <w:tcPr>
            <w:tcW w:w="8920" w:type="dxa"/>
            <w:vAlign w:val="bottom"/>
            <w:gridSpan w:val="3"/>
          </w:tcPr>
          <w:p>
            <w:pPr>
              <w:ind w:left="20"/>
              <w:spacing w:after="0"/>
              <w:rPr>
                <w:rFonts w:ascii="Arial" w:cs="Arial" w:eastAsia="Arial" w:hAnsi="Arial"/>
                <w:sz w:val="18"/>
                <w:szCs w:val="18"/>
                <w:color w:val="0000FF"/>
              </w:rPr>
            </w:pPr>
            <w:hyperlink w:anchor="page151">
              <w:r>
                <w:rPr>
                  <w:rFonts w:ascii="Arial" w:cs="Arial" w:eastAsia="Arial" w:hAnsi="Arial"/>
                  <w:sz w:val="18"/>
                  <w:szCs w:val="18"/>
                  <w:color w:val="0000FF"/>
                </w:rPr>
                <w:t>Certification of Chief Executive Officer.</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53"/>
        </w:trPr>
        <w:tc>
          <w:tcPr>
            <w:tcW w:w="1020" w:type="dxa"/>
            <w:vAlign w:val="bottom"/>
            <w:gridSpan w:val="3"/>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31.</w:t>
              </w:r>
              <w:r>
                <w:rPr>
                  <w:rFonts w:ascii="Arial" w:cs="Arial" w:eastAsia="Arial" w:hAnsi="Arial"/>
                  <w:sz w:val="18"/>
                  <w:szCs w:val="18"/>
                  <w:u w:val="single" w:color="auto"/>
                  <w:color w:val="0000FF"/>
                </w:rPr>
                <w:t>2(H)</w:t>
              </w:r>
            </w:hyperlink>
          </w:p>
        </w:tc>
        <w:tc>
          <w:tcPr>
            <w:tcW w:w="1240" w:type="dxa"/>
            <w:vAlign w:val="bottom"/>
            <w:gridSpan w:val="2"/>
          </w:tcPr>
          <w:p>
            <w:pPr>
              <w:ind w:left="260"/>
              <w:spacing w:after="0"/>
              <w:rPr>
                <w:rFonts w:ascii="Arial" w:cs="Arial" w:eastAsia="Arial" w:hAnsi="Arial"/>
                <w:sz w:val="18"/>
                <w:szCs w:val="18"/>
                <w:color w:val="0000FF"/>
              </w:rPr>
            </w:pPr>
            <w:hyperlink w:anchor="page152">
              <w:r>
                <w:rPr>
                  <w:rFonts w:ascii="Arial" w:cs="Arial" w:eastAsia="Arial" w:hAnsi="Arial"/>
                  <w:sz w:val="18"/>
                  <w:szCs w:val="18"/>
                  <w:color w:val="0000FF"/>
                </w:rPr>
                <w:t>Section 302</w:t>
              </w:r>
            </w:hyperlink>
          </w:p>
        </w:tc>
        <w:tc>
          <w:tcPr>
            <w:tcW w:w="8920" w:type="dxa"/>
            <w:vAlign w:val="bottom"/>
            <w:gridSpan w:val="3"/>
          </w:tcPr>
          <w:p>
            <w:pPr>
              <w:ind w:left="20"/>
              <w:spacing w:after="0"/>
              <w:rPr>
                <w:rFonts w:ascii="Arial" w:cs="Arial" w:eastAsia="Arial" w:hAnsi="Arial"/>
                <w:sz w:val="18"/>
                <w:szCs w:val="18"/>
                <w:color w:val="0000FF"/>
              </w:rPr>
            </w:pPr>
            <w:hyperlink w:anchor="page152">
              <w:r>
                <w:rPr>
                  <w:rFonts w:ascii="Arial" w:cs="Arial" w:eastAsia="Arial" w:hAnsi="Arial"/>
                  <w:sz w:val="18"/>
                  <w:szCs w:val="18"/>
                  <w:color w:val="0000FF"/>
                </w:rPr>
                <w:t>Certification of Chief Financial Officer.</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53"/>
        </w:trPr>
        <w:tc>
          <w:tcPr>
            <w:tcW w:w="600" w:type="dxa"/>
            <w:vAlign w:val="bottom"/>
            <w:gridSpan w:val="2"/>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32.</w:t>
              </w:r>
              <w:r>
                <w:rPr>
                  <w:rFonts w:ascii="Arial" w:cs="Arial" w:eastAsia="Arial" w:hAnsi="Arial"/>
                  <w:sz w:val="18"/>
                  <w:szCs w:val="18"/>
                  <w:u w:val="single" w:color="auto"/>
                  <w:color w:val="0000FF"/>
                </w:rPr>
                <w:t>1(I)</w:t>
              </w:r>
            </w:hyperlink>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Section 906</w:t>
              </w:r>
            </w:hyperlink>
          </w:p>
        </w:tc>
        <w:tc>
          <w:tcPr>
            <w:tcW w:w="8920" w:type="dxa"/>
            <w:vAlign w:val="bottom"/>
            <w:gridSpan w:val="3"/>
          </w:tcPr>
          <w:p>
            <w:pPr>
              <w:ind w:left="20"/>
              <w:spacing w:after="0"/>
              <w:rPr>
                <w:rFonts w:ascii="Arial" w:cs="Arial" w:eastAsia="Arial" w:hAnsi="Arial"/>
                <w:sz w:val="18"/>
                <w:szCs w:val="18"/>
                <w:color w:val="0000FF"/>
              </w:rPr>
            </w:pPr>
            <w:hyperlink w:anchor="page153">
              <w:r>
                <w:rPr>
                  <w:rFonts w:ascii="Arial" w:cs="Arial" w:eastAsia="Arial" w:hAnsi="Arial"/>
                  <w:sz w:val="18"/>
                  <w:szCs w:val="18"/>
                  <w:color w:val="0000FF"/>
                </w:rPr>
                <w:t>Certifications of Chief Executive Officer and Chief Financial Officer.</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52"/>
        </w:trPr>
        <w:tc>
          <w:tcPr>
            <w:tcW w:w="10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5"/>
          </w:tcPr>
          <w:p>
            <w:pPr>
              <w:ind w:left="260"/>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r>
      <w:tr>
        <w:trPr>
          <w:trHeight w:val="217"/>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60" w:type="dxa"/>
            <w:vAlign w:val="bottom"/>
            <w:gridSpan w:val="5"/>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0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5"/>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473"/>
        </w:trPr>
        <w:tc>
          <w:tcPr>
            <w:tcW w:w="10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5"/>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473"/>
        </w:trPr>
        <w:tc>
          <w:tcPr>
            <w:tcW w:w="10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5"/>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473"/>
        </w:trPr>
        <w:tc>
          <w:tcPr>
            <w:tcW w:w="10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5"/>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473"/>
        </w:trPr>
        <w:tc>
          <w:tcPr>
            <w:tcW w:w="10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5"/>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02"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in accordance with the Securities and Exchange Commission’s rules and regulations regarding confidential treatment.</w:t>
      </w:r>
    </w:p>
    <w:p>
      <w:pPr>
        <w:spacing w:after="0" w:line="1" w:lineRule="exact"/>
        <w:rPr>
          <w:rFonts w:ascii="Arial" w:cs="Arial" w:eastAsia="Arial" w:hAnsi="Arial"/>
          <w:sz w:val="14"/>
          <w:szCs w:val="14"/>
          <w:color w:val="auto"/>
        </w:rPr>
      </w:pPr>
    </w:p>
    <w:p>
      <w:pPr>
        <w:ind w:left="500" w:hanging="492"/>
        <w:spacing w:after="0" w:line="258" w:lineRule="auto"/>
        <w:tabs>
          <w:tab w:leader="none" w:pos="407" w:val="left"/>
        </w:tabs>
        <w:numPr>
          <w:ilvl w:val="0"/>
          <w:numId w:val="38"/>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601(a)(5)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200" w:lineRule="exact"/>
        <w:rPr>
          <w:sz w:val="20"/>
          <w:szCs w:val="20"/>
          <w:color w:val="auto"/>
        </w:rPr>
      </w:pPr>
    </w:p>
    <w:p>
      <w:pPr>
        <w:spacing w:after="0" w:line="23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ECHOSTAR CORPORATION</w:t>
      </w:r>
    </w:p>
    <w:p>
      <w:pPr>
        <w:spacing w:after="0" w:line="234"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17780</wp:posOffset>
            </wp:positionV>
            <wp:extent cx="3129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8">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3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David J. Rayner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Operating Officer, and</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Treasurer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4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r>
      <w:tr>
        <w:trPr>
          <w:trHeight w:val="45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T. Dugan</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Michael T. Dugan</w:t>
            </w:r>
          </w:p>
        </w:tc>
        <w:tc>
          <w:tcPr>
            <w:tcW w:w="1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480" w:type="dxa"/>
            <w:vAlign w:val="bottom"/>
          </w:tcPr>
          <w:p>
            <w:pPr>
              <w:spacing w:after="0"/>
              <w:rPr>
                <w:sz w:val="19"/>
                <w:szCs w:val="19"/>
                <w:color w:val="auto"/>
              </w:rPr>
            </w:pPr>
          </w:p>
        </w:tc>
      </w:tr>
      <w:tr>
        <w:trPr>
          <w:trHeight w:val="392"/>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J. Rayner</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2480" w:type="dxa"/>
            <w:vAlign w:val="bottom"/>
          </w:tcPr>
          <w:p>
            <w:pPr>
              <w:spacing w:after="0"/>
              <w:rPr>
                <w:sz w:val="24"/>
                <w:szCs w:val="24"/>
                <w:color w:val="auto"/>
              </w:rPr>
            </w:pP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David J. Rayner</w:t>
            </w:r>
          </w:p>
        </w:tc>
        <w:tc>
          <w:tcPr>
            <w:tcW w:w="12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and Treasurer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35"/>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480" w:type="dxa"/>
            <w:vAlign w:val="bottom"/>
          </w:tcPr>
          <w:p>
            <w:pPr>
              <w:spacing w:after="0"/>
              <w:rPr>
                <w:sz w:val="20"/>
                <w:szCs w:val="20"/>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Charles W. Ergen</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R. Stanton Dodge</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2"/>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Lisa W. Hershman</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Pradman P. Kaul</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Jeffrey R. Tarr</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2"/>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C. Michael Schroeder</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William David Wade</w:t>
            </w:r>
          </w:p>
        </w:tc>
        <w:tc>
          <w:tcPr>
            <w:tcW w:w="1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pacing w:after="0" w:line="116" w:lineRule="exact"/>
        <w:rPr>
          <w:sz w:val="20"/>
          <w:szCs w:val="20"/>
          <w:color w:val="auto"/>
        </w:rPr>
      </w:pPr>
    </w:p>
    <w:p>
      <w:pPr>
        <w:ind w:left="140" w:hanging="114"/>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w:t>
      </w:r>
      <w:r>
        <w:rPr>
          <w:rFonts w:ascii="Arial" w:cs="Arial" w:eastAsia="Arial" w:hAnsi="Arial"/>
          <w:sz w:val="17"/>
          <w:szCs w:val="17"/>
          <w:i w:val="1"/>
          <w:iCs w:val="1"/>
          <w:color w:val="auto"/>
        </w:rPr>
        <w:t>/s/ Dean A. Manson</w:t>
      </w:r>
    </w:p>
    <w:p>
      <w:pPr>
        <w:spacing w:after="0" w:line="54" w:lineRule="exact"/>
        <w:rPr>
          <w:rFonts w:ascii="Arial" w:cs="Arial" w:eastAsia="Arial" w:hAnsi="Arial"/>
          <w:sz w:val="18"/>
          <w:szCs w:val="18"/>
          <w:color w:val="auto"/>
        </w:rPr>
      </w:pPr>
    </w:p>
    <w:p>
      <w:pPr>
        <w:jc w:val="both"/>
        <w:ind w:left="1020" w:right="8880"/>
        <w:spacing w:after="0" w:line="308" w:lineRule="auto"/>
        <w:rPr>
          <w:rFonts w:ascii="Arial" w:cs="Arial" w:eastAsia="Arial" w:hAnsi="Arial"/>
          <w:sz w:val="18"/>
          <w:szCs w:val="18"/>
          <w:color w:val="auto"/>
        </w:rPr>
      </w:pPr>
      <w:r>
        <w:rPr>
          <w:rFonts w:ascii="Arial" w:cs="Arial" w:eastAsia="Arial" w:hAnsi="Arial"/>
          <w:sz w:val="17"/>
          <w:szCs w:val="17"/>
          <w:color w:val="auto"/>
        </w:rPr>
        <w:t>Dean A. 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-334645</wp:posOffset>
            </wp:positionV>
            <wp:extent cx="29317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340" w:type="dxa"/>
            <w:vAlign w:val="bottom"/>
            <w:gridSpan w:val="8"/>
          </w:tcPr>
          <w:p>
            <w:pPr>
              <w:jc w:val="center"/>
              <w:ind w:left="791"/>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1036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69"/>
        </w:trPr>
        <w:tc>
          <w:tcPr>
            <w:tcW w:w="20" w:type="dxa"/>
            <w:vAlign w:val="bottom"/>
          </w:tcPr>
          <w:p>
            <w:pPr>
              <w:spacing w:after="0"/>
              <w:rPr>
                <w:sz w:val="14"/>
                <w:szCs w:val="14"/>
                <w:color w:val="auto"/>
              </w:rPr>
            </w:pPr>
          </w:p>
        </w:tc>
        <w:tc>
          <w:tcPr>
            <w:tcW w:w="3500" w:type="dxa"/>
            <w:vAlign w:val="bottom"/>
            <w:gridSpan w:val="2"/>
          </w:tcPr>
          <w:p>
            <w:pPr>
              <w:spacing w:after="0" w:line="149" w:lineRule="exact"/>
              <w:rPr>
                <w:rFonts w:ascii="Arial" w:cs="Arial" w:eastAsia="Arial" w:hAnsi="Arial"/>
                <w:sz w:val="17"/>
                <w:szCs w:val="17"/>
                <w:color w:val="0000FF"/>
              </w:rPr>
            </w:pPr>
            <w:hyperlink w:anchor="page68">
              <w:r>
                <w:rPr>
                  <w:rFonts w:ascii="Arial" w:cs="Arial" w:eastAsia="Arial" w:hAnsi="Arial"/>
                  <w:sz w:val="17"/>
                  <w:szCs w:val="17"/>
                  <w:color w:val="0000FF"/>
                </w:rPr>
                <w:t>Index to Consolidated Financial Statements</w:t>
              </w:r>
            </w:hyperlink>
          </w:p>
        </w:tc>
        <w:tc>
          <w:tcPr>
            <w:tcW w:w="6840" w:type="dxa"/>
            <w:vAlign w:val="bottom"/>
            <w:gridSpan w:val="6"/>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gridSpan w:val="4"/>
          </w:tcPr>
          <w:p>
            <w:pPr>
              <w:jc w:val="right"/>
              <w:ind w:right="20"/>
              <w:spacing w:after="0" w:line="156" w:lineRule="exact"/>
              <w:rPr>
                <w:rFonts w:ascii="Arial" w:cs="Arial" w:eastAsia="Arial" w:hAnsi="Arial"/>
                <w:sz w:val="18"/>
                <w:szCs w:val="18"/>
                <w:color w:val="auto"/>
              </w:rPr>
            </w:pPr>
            <w:r>
              <w:rPr>
                <w:rFonts w:ascii="Arial" w:cs="Arial" w:eastAsia="Arial" w:hAnsi="Arial"/>
                <w:sz w:val="18"/>
                <w:szCs w:val="18"/>
                <w:color w:val="auto"/>
              </w:rPr>
              <w:t>F-</w:t>
            </w:r>
            <w:hyperlink w:anchor="page68">
              <w:r>
                <w:rPr>
                  <w:rFonts w:ascii="Arial" w:cs="Arial" w:eastAsia="Arial" w:hAnsi="Arial"/>
                  <w:sz w:val="18"/>
                  <w:szCs w:val="18"/>
                  <w:color w:val="0000FF"/>
                </w:rPr>
                <w:t>1</w:t>
              </w:r>
            </w:hyperlink>
          </w:p>
        </w:tc>
      </w:tr>
      <w:tr>
        <w:trPr>
          <w:trHeight w:val="27"/>
        </w:trPr>
        <w:tc>
          <w:tcPr>
            <w:tcW w:w="20" w:type="dxa"/>
            <w:vAlign w:val="bottom"/>
          </w:tcPr>
          <w:p>
            <w:pPr>
              <w:spacing w:after="0"/>
              <w:rPr>
                <w:sz w:val="2"/>
                <w:szCs w:val="2"/>
                <w:color w:val="auto"/>
              </w:rPr>
            </w:pPr>
          </w:p>
        </w:tc>
        <w:tc>
          <w:tcPr>
            <w:tcW w:w="3500" w:type="dxa"/>
            <w:vAlign w:val="bottom"/>
            <w:gridSpan w:val="2"/>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340" w:type="dxa"/>
            <w:vAlign w:val="bottom"/>
            <w:gridSpan w:val="8"/>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(KPMG</w:t>
            </w:r>
            <w:r>
              <w:rPr>
                <w:rFonts w:ascii="Arial" w:cs="Arial" w:eastAsia="Arial" w:hAnsi="Arial"/>
                <w:sz w:val="18"/>
                <w:szCs w:val="18"/>
                <w:color w:val="0000FF"/>
              </w:rPr>
              <w:t xml:space="preserve"> </w:t>
            </w:r>
            <w:r>
              <w:rPr>
                <w:rFonts w:ascii="Arial" w:cs="Arial" w:eastAsia="Arial" w:hAnsi="Arial"/>
                <w:sz w:val="18"/>
                <w:szCs w:val="18"/>
                <w:color w:val="000000"/>
              </w:rPr>
              <w:t>LLP, Denver, CO, Auditor Firm ID: 185)</w:t>
            </w: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69">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4"/>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Consolidated Balance Sheets as of December 31, 2021 and 2020</w:t>
              </w:r>
            </w:hyperlink>
          </w:p>
        </w:tc>
        <w:tc>
          <w:tcPr>
            <w:tcW w:w="51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71">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5"/>
          </w:tcPr>
          <w:p>
            <w:pPr>
              <w:spacing w:after="0"/>
              <w:rPr>
                <w:rFonts w:ascii="Arial" w:cs="Arial" w:eastAsia="Arial" w:hAnsi="Arial"/>
                <w:sz w:val="18"/>
                <w:szCs w:val="18"/>
                <w:color w:val="0000FF"/>
                <w:w w:val="99"/>
              </w:rPr>
            </w:pPr>
            <w:hyperlink w:anchor="page73">
              <w:r>
                <w:rPr>
                  <w:rFonts w:ascii="Arial" w:cs="Arial" w:eastAsia="Arial" w:hAnsi="Arial"/>
                  <w:sz w:val="18"/>
                  <w:szCs w:val="18"/>
                  <w:color w:val="0000FF"/>
                  <w:w w:val="99"/>
                </w:rPr>
                <w:t>Consolidated Statements of Operations for the years ended December 31, 2021, 2020 and 2019</w:t>
              </w:r>
            </w:hyperlink>
          </w:p>
        </w:tc>
        <w:tc>
          <w:tcPr>
            <w:tcW w:w="26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73">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40" w:type="dxa"/>
            <w:vAlign w:val="bottom"/>
            <w:gridSpan w:val="8"/>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Consolidated Statements of Comprehensive Income (Loss) for the years ended December 31, 2021, 2020 and 2019</w:t>
              </w:r>
            </w:hyperlink>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74">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40" w:type="dxa"/>
            <w:vAlign w:val="bottom"/>
            <w:gridSpan w:val="8"/>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 xml:space="preserve">Consolidated Statements of Changes in Stockholders' Equity for the </w:t>
              </w:r>
            </w:hyperlink>
            <w:hyperlink w:anchor="page73">
              <w:r>
                <w:rPr>
                  <w:rFonts w:ascii="Arial" w:cs="Arial" w:eastAsia="Arial" w:hAnsi="Arial"/>
                  <w:sz w:val="18"/>
                  <w:szCs w:val="18"/>
                  <w:color w:val="0000FF"/>
                </w:rPr>
                <w:t>years ended December 31, 2021, 2020 and 2019</w:t>
              </w:r>
            </w:hyperlink>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75">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70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gridSpan w:val="5"/>
          </w:tcPr>
          <w:p>
            <w:pPr>
              <w:spacing w:after="0"/>
              <w:rPr>
                <w:rFonts w:ascii="Arial" w:cs="Arial" w:eastAsia="Arial" w:hAnsi="Arial"/>
                <w:sz w:val="18"/>
                <w:szCs w:val="18"/>
                <w:color w:val="0000FF"/>
                <w:w w:val="98"/>
              </w:rPr>
            </w:pPr>
            <w:hyperlink w:anchor="page76">
              <w:r>
                <w:rPr>
                  <w:rFonts w:ascii="Arial" w:cs="Arial" w:eastAsia="Arial" w:hAnsi="Arial"/>
                  <w:sz w:val="18"/>
                  <w:szCs w:val="18"/>
                  <w:color w:val="0000FF"/>
                  <w:w w:val="98"/>
                </w:rPr>
                <w:t xml:space="preserve">Consolidated Statements of Cash Flows for the </w:t>
              </w:r>
            </w:hyperlink>
            <w:hyperlink w:anchor="page73">
              <w:r>
                <w:rPr>
                  <w:rFonts w:ascii="Arial" w:cs="Arial" w:eastAsia="Arial" w:hAnsi="Arial"/>
                  <w:sz w:val="18"/>
                  <w:szCs w:val="18"/>
                  <w:color w:val="0000FF"/>
                  <w:w w:val="98"/>
                </w:rPr>
                <w:t>years ended December 31, 2021, 2020 and 2019</w:t>
              </w:r>
            </w:hyperlink>
          </w:p>
        </w:tc>
        <w:tc>
          <w:tcPr>
            <w:tcW w:w="17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76">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5"/>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Notes to Consolidated Financial Statements</w:t>
              </w:r>
            </w:hyperlink>
          </w:p>
        </w:tc>
        <w:tc>
          <w:tcPr>
            <w:tcW w:w="2660" w:type="dxa"/>
            <w:vAlign w:val="bottom"/>
            <w:gridSpan w:val="3"/>
          </w:tcPr>
          <w:p>
            <w:pPr>
              <w:spacing w:after="0"/>
              <w:rPr>
                <w:sz w:val="18"/>
                <w:szCs w:val="18"/>
                <w:color w:val="auto"/>
              </w:rPr>
            </w:pPr>
          </w:p>
        </w:tc>
        <w:tc>
          <w:tcPr>
            <w:tcW w:w="880" w:type="dxa"/>
            <w:vAlign w:val="bottom"/>
            <w:gridSpan w:val="5"/>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78">
              <w:r>
                <w:rPr>
                  <w:rFonts w:ascii="Arial" w:cs="Arial" w:eastAsia="Arial" w:hAnsi="Arial"/>
                  <w:sz w:val="18"/>
                  <w:szCs w:val="18"/>
                  <w:color w:val="0000FF"/>
                </w:rPr>
                <w:t>11</w:t>
              </w:r>
            </w:hyperlink>
          </w:p>
        </w:tc>
      </w:tr>
      <w:tr>
        <w:trPr>
          <w:trHeight w:val="912"/>
        </w:trPr>
        <w:tc>
          <w:tcPr>
            <w:tcW w:w="20" w:type="dxa"/>
            <w:vAlign w:val="bottom"/>
          </w:tcPr>
          <w:p>
            <w:pPr>
              <w:spacing w:after="0"/>
              <w:rPr>
                <w:sz w:val="24"/>
                <w:szCs w:val="24"/>
                <w:color w:val="auto"/>
              </w:rPr>
            </w:pPr>
          </w:p>
        </w:tc>
        <w:tc>
          <w:tcPr>
            <w:tcW w:w="3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00" w:type="dxa"/>
            <w:vAlign w:val="bottom"/>
            <w:gridSpan w:val="4"/>
          </w:tcPr>
          <w:p>
            <w:pPr>
              <w:jc w:val="center"/>
              <w:ind w:right="4380"/>
              <w:spacing w:after="0"/>
              <w:rPr>
                <w:sz w:val="20"/>
                <w:szCs w:val="20"/>
                <w:color w:val="auto"/>
              </w:rPr>
            </w:pPr>
            <w:r>
              <w:rPr>
                <w:rFonts w:ascii="Arial" w:cs="Arial" w:eastAsia="Arial" w:hAnsi="Arial"/>
                <w:sz w:val="18"/>
                <w:szCs w:val="18"/>
                <w:color w:val="auto"/>
              </w:rPr>
              <w:t>F-1</w:t>
            </w:r>
          </w:p>
        </w:tc>
        <w:tc>
          <w:tcPr>
            <w:tcW w:w="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EchoStar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EchoStar Corporation and subsidiaries (the Company) as of December 31, 2021 and 2020, the related consolidated statements of operations, comprehensive income (loss), changes in stockholders’ equity,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Sufficiency of audit evidence over certain Hughes segment revenue</w:t>
      </w:r>
    </w:p>
    <w:p>
      <w:pPr>
        <w:spacing w:after="0" w:line="27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discussed in Note 2 and Note 3 to the consolidated financial statements, the Company reported $1,956,226,000 in total revenue for the Hughes segment for the year ended December 31, 2021, of which $1,685,799,000 and $270,427,000 was related to total services and other revenue and certain equipment related revenue, respectively. The Hughes segment provides broadband satellite technologies and broadband internet services to consumer customers, and broadband network technologies, managed services, equipment, hardware, satellite services, and communications solutions to consumer and enterprise customers.</w:t>
      </w:r>
    </w:p>
    <w:p>
      <w:pPr>
        <w:spacing w:after="0" w:line="23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We identified the evaluation of the sufficiency of audit evidence over certain Hughes segment revenue as a critical audit matter. Specifically, a high degree of auditor judgment was required to evaluate the nature and extent of audit evidence obtained related to the total services and other revenue and certain equipment related revenue of the Hughes segment. IT professionals with specialized skills and knowledge were required to assess the multiple information technology (IT) applications, data interfaces, and procedures used to initiate, process, and record transactions.</w:t>
      </w:r>
    </w:p>
    <w:p>
      <w:pPr>
        <w:spacing w:after="0" w:line="23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We evaluated the design and tested the operating effectiveness of internal controls, including controls related to the multiple IT applications, data interfaces, and procedures used to initiate, process, and record transactions. We assessed the recorded amounts by sampling transactions and comparing the amounts recognized for consistency with underlying documentation, including contracts or payment and transaction support. We involved IT professionals with specialized skills and knowledge, who assisted in testing IT applications used by the Company in its revenue recognition process, and configuration and interface controls over the transfer of relevant data between systems used in the revenue recognition processes. We evaluated the sufficiency of audit evidence obtained by assessing the results of the procedures performed, including the appropriateness of the nature and extent of such evidence.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67"/>
        </w:trPr>
        <w:tc>
          <w:tcPr>
            <w:tcW w:w="1400" w:type="dxa"/>
            <w:vAlign w:val="bottom"/>
            <w:tcBorders>
              <w:top w:val="single" w:sz="8" w:color="0000FF"/>
            </w:tcBorders>
          </w:tcPr>
          <w:p>
            <w:pPr>
              <w:spacing w:after="0"/>
              <w:rPr>
                <w:sz w:val="24"/>
                <w:szCs w:val="24"/>
                <w:color w:val="auto"/>
              </w:rPr>
            </w:pPr>
          </w:p>
        </w:tc>
        <w:tc>
          <w:tcPr>
            <w:tcW w:w="6460" w:type="dxa"/>
            <w:vAlign w:val="bottom"/>
          </w:tcPr>
          <w:p>
            <w:pPr>
              <w:jc w:val="center"/>
              <w:ind w:left="1910"/>
              <w:spacing w:after="0"/>
              <w:rPr>
                <w:sz w:val="20"/>
                <w:szCs w:val="20"/>
                <w:color w:val="auto"/>
              </w:rPr>
            </w:pPr>
            <w:r>
              <w:rPr>
                <w:rFonts w:ascii="Arial" w:cs="Arial" w:eastAsia="Arial" w:hAnsi="Arial"/>
                <w:sz w:val="18"/>
                <w:szCs w:val="18"/>
                <w:b w:val="1"/>
                <w:bCs w:val="1"/>
                <w:color w:val="auto"/>
                <w:w w:val="98"/>
              </w:rPr>
              <w:t>ECHOSTAR CORPORATION</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CONSOLIDATED BALANCE SHEETS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1400" w:type="dxa"/>
            <w:vAlign w:val="bottom"/>
          </w:tcPr>
          <w:p>
            <w:pPr>
              <w:spacing w:after="0"/>
              <w:rPr>
                <w:sz w:val="18"/>
                <w:szCs w:val="18"/>
                <w:color w:val="auto"/>
              </w:rPr>
            </w:pPr>
          </w:p>
        </w:tc>
        <w:tc>
          <w:tcPr>
            <w:tcW w:w="688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(Amounts in thousands, except share and per share amounts)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1"/>
        </w:trPr>
        <w:tc>
          <w:tcPr>
            <w:tcW w:w="14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140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896,005</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Marketable investment securities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1,010,496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1,638,271</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183,989</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assets, net</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r>
      <w:tr>
        <w:trPr>
          <w:trHeight w:val="223"/>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1,926,897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2,908,086</w:t>
            </w:r>
          </w:p>
        </w:tc>
      </w:tr>
      <w:tr>
        <w:trPr>
          <w:trHeight w:val="221"/>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2,338,285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2,390,313</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128,303</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511,597</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Regulatory authorizations, net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469,766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478,762</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18,433</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Other investments, net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297,747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284,937</w:t>
            </w:r>
          </w:p>
        </w:tc>
      </w:tr>
      <w:tr>
        <w:trPr>
          <w:trHeight w:val="22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r>
      <w:tr>
        <w:trPr>
          <w:trHeight w:val="223"/>
        </w:trPr>
        <w:tc>
          <w:tcPr>
            <w:tcW w:w="78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assets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4,118,307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4,165,266</w:t>
            </w:r>
          </w:p>
        </w:tc>
      </w:tr>
      <w:tr>
        <w:trPr>
          <w:trHeight w:val="248"/>
        </w:trPr>
        <w:tc>
          <w:tcPr>
            <w:tcW w:w="78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122,366</w:t>
            </w:r>
          </w:p>
        </w:tc>
      </w:tr>
      <w:tr>
        <w:trPr>
          <w:trHeight w:val="230"/>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 net</w:t>
            </w:r>
          </w:p>
        </w:tc>
        <w:tc>
          <w:tcPr>
            <w:tcW w:w="4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898,237</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104,569</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r>
      <w:tr>
        <w:trPr>
          <w:trHeight w:val="223"/>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1,425,171</w:t>
            </w:r>
          </w:p>
        </w:tc>
      </w:tr>
      <w:tr>
        <w:trPr>
          <w:trHeight w:val="221"/>
        </w:trPr>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1,495,256</w:t>
            </w:r>
          </w:p>
        </w:tc>
      </w:tr>
      <w:tr>
        <w:trPr>
          <w:trHeight w:val="229"/>
        </w:trPr>
        <w:tc>
          <w:tcPr>
            <w:tcW w:w="7860" w:type="dxa"/>
            <w:vAlign w:val="bottom"/>
            <w:gridSpan w:val="2"/>
          </w:tcPr>
          <w:p>
            <w:pPr>
              <w:ind w:left="220"/>
              <w:spacing w:after="0"/>
              <w:rPr>
                <w:sz w:val="20"/>
                <w:szCs w:val="20"/>
                <w:color w:val="auto"/>
              </w:rPr>
            </w:pPr>
            <w:r>
              <w:rPr>
                <w:rFonts w:ascii="Arial" w:cs="Arial" w:eastAsia="Arial" w:hAnsi="Arial"/>
                <w:sz w:val="18"/>
                <w:szCs w:val="18"/>
                <w:color w:val="auto"/>
              </w:rPr>
              <w:t>Deferred tax liabilities, net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403,684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359,896</w:t>
            </w:r>
          </w:p>
        </w:tc>
      </w:tr>
      <w:tr>
        <w:trPr>
          <w:trHeight w:val="230"/>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114,886</w:t>
            </w:r>
          </w:p>
        </w:tc>
      </w:tr>
      <w:tr>
        <w:trPr>
          <w:trHeight w:val="230"/>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70,893</w:t>
            </w:r>
          </w:p>
        </w:tc>
      </w:tr>
      <w:tr>
        <w:trPr>
          <w:trHeight w:val="223"/>
        </w:trPr>
        <w:tc>
          <w:tcPr>
            <w:tcW w:w="7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2,171,001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2,040,931</w:t>
            </w:r>
          </w:p>
        </w:tc>
      </w:tr>
      <w:tr>
        <w:trPr>
          <w:trHeight w:val="223"/>
        </w:trPr>
        <w:tc>
          <w:tcPr>
            <w:tcW w:w="78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3,466,102</w:t>
            </w:r>
          </w:p>
        </w:tc>
      </w:tr>
      <w:tr>
        <w:trPr>
          <w:trHeight w:val="237"/>
        </w:trPr>
        <w:tc>
          <w:tcPr>
            <w:tcW w:w="1400" w:type="dxa"/>
            <w:vAlign w:val="bottom"/>
            <w:shd w:val="clear" w:color="auto" w:fill="CCEEFF"/>
          </w:tcPr>
          <w:p>
            <w:pPr>
              <w:spacing w:after="0"/>
              <w:rPr>
                <w:sz w:val="20"/>
                <w:szCs w:val="20"/>
                <w:color w:val="auto"/>
              </w:rPr>
            </w:pPr>
          </w:p>
        </w:tc>
        <w:tc>
          <w:tcPr>
            <w:tcW w:w="6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8"/>
        </w:trPr>
        <w:tc>
          <w:tcPr>
            <w:tcW w:w="7860" w:type="dxa"/>
            <w:vAlign w:val="bottom"/>
          </w:tcPr>
          <w:p>
            <w:pPr>
              <w:ind w:left="280"/>
              <w:spacing w:after="0" w:line="189" w:lineRule="exact"/>
              <w:rPr>
                <w:sz w:val="20"/>
                <w:szCs w:val="20"/>
                <w:color w:val="auto"/>
              </w:rPr>
            </w:pPr>
            <w:r>
              <w:rPr>
                <w:rFonts w:ascii="Arial" w:cs="Arial" w:eastAsia="Arial" w:hAnsi="Arial"/>
                <w:sz w:val="18"/>
                <w:szCs w:val="18"/>
                <w:color w:val="auto"/>
              </w:rPr>
              <w:t>Preferred stock, $0.001 par value, 20,000,000 shares authorized, none issued and</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860" w:type="dxa"/>
            <w:vAlign w:val="bottom"/>
          </w:tcPr>
          <w:p>
            <w:pPr>
              <w:ind w:left="280"/>
              <w:spacing w:after="0"/>
              <w:rPr>
                <w:sz w:val="20"/>
                <w:szCs w:val="20"/>
                <w:color w:val="auto"/>
              </w:rPr>
            </w:pPr>
            <w:r>
              <w:rPr>
                <w:rFonts w:ascii="Arial" w:cs="Arial" w:eastAsia="Arial" w:hAnsi="Arial"/>
                <w:sz w:val="18"/>
                <w:szCs w:val="18"/>
                <w:color w:val="auto"/>
              </w:rPr>
              <w:t>outstanding at both December 31, 2021 and 2020</w:t>
            </w: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8"/>
        </w:trPr>
        <w:tc>
          <w:tcPr>
            <w:tcW w:w="7860" w:type="dxa"/>
            <w:vAlign w:val="bottom"/>
          </w:tcPr>
          <w:p>
            <w:pPr>
              <w:ind w:left="480"/>
              <w:spacing w:after="0" w:line="189" w:lineRule="exact"/>
              <w:rPr>
                <w:sz w:val="20"/>
                <w:szCs w:val="20"/>
                <w:color w:val="auto"/>
              </w:rPr>
            </w:pPr>
            <w:r>
              <w:rPr>
                <w:rFonts w:ascii="Arial" w:cs="Arial" w:eastAsia="Arial" w:hAnsi="Arial"/>
                <w:sz w:val="18"/>
                <w:szCs w:val="18"/>
                <w:color w:val="auto"/>
              </w:rPr>
              <w:t>Class A common stock, $0.001 par value, 1,600,000,000 shares authorized, 58,059,622</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5"/>
        </w:trPr>
        <w:tc>
          <w:tcPr>
            <w:tcW w:w="7860" w:type="dxa"/>
            <w:vAlign w:val="bottom"/>
          </w:tcPr>
          <w:p>
            <w:pPr>
              <w:ind w:left="480"/>
              <w:spacing w:after="0" w:line="176" w:lineRule="exact"/>
              <w:rPr>
                <w:sz w:val="20"/>
                <w:szCs w:val="20"/>
                <w:color w:val="auto"/>
              </w:rPr>
            </w:pPr>
            <w:r>
              <w:rPr>
                <w:rFonts w:ascii="Arial" w:cs="Arial" w:eastAsia="Arial" w:hAnsi="Arial"/>
                <w:sz w:val="18"/>
                <w:szCs w:val="18"/>
                <w:color w:val="auto"/>
              </w:rPr>
              <w:t>shares issued and 38,726,923 shares outstanding at December 31, 2021 and 57,254,201</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7860" w:type="dxa"/>
            <w:vAlign w:val="bottom"/>
          </w:tcPr>
          <w:p>
            <w:pPr>
              <w:ind w:left="480"/>
              <w:spacing w:after="0"/>
              <w:rPr>
                <w:sz w:val="20"/>
                <w:szCs w:val="20"/>
                <w:color w:val="auto"/>
              </w:rPr>
            </w:pPr>
            <w:r>
              <w:rPr>
                <w:rFonts w:ascii="Arial" w:cs="Arial" w:eastAsia="Arial" w:hAnsi="Arial"/>
                <w:sz w:val="18"/>
                <w:szCs w:val="18"/>
                <w:color w:val="auto"/>
              </w:rPr>
              <w:t>shares issued and 48,863,374 shares outstanding at December 31, 2020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88"/>
        </w:trPr>
        <w:tc>
          <w:tcPr>
            <w:tcW w:w="78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47,687,039 shares issued and outstanding at both December 31, 2021 and 2020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8"/>
        </w:trPr>
        <w:tc>
          <w:tcPr>
            <w:tcW w:w="7860" w:type="dxa"/>
            <w:vAlign w:val="bottom"/>
          </w:tcPr>
          <w:p>
            <w:pPr>
              <w:ind w:left="480"/>
              <w:spacing w:after="0" w:line="189" w:lineRule="exact"/>
              <w:rPr>
                <w:sz w:val="20"/>
                <w:szCs w:val="20"/>
                <w:color w:val="auto"/>
              </w:rPr>
            </w:pPr>
            <w:r>
              <w:rPr>
                <w:rFonts w:ascii="Arial" w:cs="Arial" w:eastAsia="Arial" w:hAnsi="Arial"/>
                <w:sz w:val="18"/>
                <w:szCs w:val="18"/>
                <w:color w:val="auto"/>
              </w:rPr>
              <w:t>Class C convertible common stock, $0.001 par value, 800,000,000 shares authorized,</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860" w:type="dxa"/>
            <w:vAlign w:val="bottom"/>
          </w:tcPr>
          <w:p>
            <w:pPr>
              <w:ind w:left="480"/>
              <w:spacing w:after="0"/>
              <w:rPr>
                <w:sz w:val="20"/>
                <w:szCs w:val="20"/>
                <w:color w:val="auto"/>
              </w:rPr>
            </w:pPr>
            <w:r>
              <w:rPr>
                <w:rFonts w:ascii="Arial" w:cs="Arial" w:eastAsia="Arial" w:hAnsi="Arial"/>
                <w:sz w:val="18"/>
                <w:szCs w:val="18"/>
                <w:color w:val="auto"/>
              </w:rPr>
              <w:t>none issued and outstanding at both December 31, 2021 and 2020</w:t>
            </w: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8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D common stock, $0.001 par value, 800,000,000 shares authorized, none issued</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outstanding at both December 31, 2021 and 2020</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3,345,878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3,321,426</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(187,876)</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Accumulated earnings (losses)</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656,466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583,591</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(174,912)</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EchoStar Corporation stockholders' equity</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3,353,827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3,542,334</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64,916</w:t>
            </w:r>
          </w:p>
        </w:tc>
      </w:tr>
      <w:tr>
        <w:trPr>
          <w:trHeight w:val="223"/>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3,414,080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3,607,250</w:t>
            </w:r>
          </w:p>
        </w:tc>
      </w:tr>
      <w:tr>
        <w:trPr>
          <w:trHeight w:val="248"/>
        </w:trPr>
        <w:tc>
          <w:tcPr>
            <w:tcW w:w="7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7"/>
        </w:trPr>
        <w:tc>
          <w:tcPr>
            <w:tcW w:w="1400" w:type="dxa"/>
            <w:vAlign w:val="bottom"/>
            <w:tcBorders>
              <w:top w:val="single" w:sz="8" w:color="0000FF"/>
            </w:tcBorders>
          </w:tcPr>
          <w:p>
            <w:pPr>
              <w:spacing w:after="0"/>
              <w:rPr>
                <w:sz w:val="24"/>
                <w:szCs w:val="24"/>
                <w:color w:val="auto"/>
              </w:rPr>
            </w:pPr>
          </w:p>
        </w:tc>
        <w:tc>
          <w:tcPr>
            <w:tcW w:w="6200" w:type="dxa"/>
            <w:vAlign w:val="bottom"/>
            <w:gridSpan w:val="4"/>
          </w:tcPr>
          <w:p>
            <w:pPr>
              <w:ind w:left="3040"/>
              <w:spacing w:after="0"/>
              <w:rPr>
                <w:sz w:val="20"/>
                <w:szCs w:val="20"/>
                <w:color w:val="auto"/>
              </w:rPr>
            </w:pPr>
            <w:r>
              <w:rPr>
                <w:rFonts w:ascii="Arial" w:cs="Arial" w:eastAsia="Arial" w:hAnsi="Arial"/>
                <w:sz w:val="18"/>
                <w:szCs w:val="18"/>
                <w:b w:val="1"/>
                <w:bCs w:val="1"/>
                <w:color w:val="auto"/>
              </w:rPr>
              <w:t>ECHOSTAR CORPORATION</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p>
        </w:tc>
        <w:tc>
          <w:tcPr>
            <w:tcW w:w="66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CONSOLIDATED STATEMENTS OF OPERATIONS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6600" w:type="dxa"/>
            <w:vAlign w:val="bottom"/>
            <w:gridSpan w:val="5"/>
          </w:tcPr>
          <w:p>
            <w:pPr>
              <w:jc w:val="right"/>
              <w:ind w:right="250"/>
              <w:spacing w:after="0"/>
              <w:rPr>
                <w:sz w:val="20"/>
                <w:szCs w:val="20"/>
                <w:color w:val="auto"/>
              </w:rPr>
            </w:pPr>
            <w:r>
              <w:rPr>
                <w:rFonts w:ascii="Arial" w:cs="Arial" w:eastAsia="Arial" w:hAnsi="Arial"/>
                <w:sz w:val="18"/>
                <w:szCs w:val="18"/>
                <w:color w:val="auto"/>
              </w:rPr>
              <w:t>(Amounts in thousands, except per share amounts)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1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Services and other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1,715,287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1,682,304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1,619,271</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205,603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266,810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1,985,720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1,887,907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1,886,081</w:t>
            </w: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7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Cost of sales - services and other (exclusive of depreciation and</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551,679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577,943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561,353</w:t>
            </w:r>
          </w:p>
        </w:tc>
        <w:tc>
          <w:tcPr>
            <w:tcW w:w="0" w:type="dxa"/>
            <w:vAlign w:val="bottom"/>
          </w:tcPr>
          <w:p>
            <w:pPr>
              <w:spacing w:after="0"/>
              <w:rPr>
                <w:sz w:val="1"/>
                <w:szCs w:val="1"/>
                <w:color w:val="auto"/>
              </w:rPr>
            </w:pPr>
          </w:p>
        </w:tc>
      </w:tr>
      <w:tr>
        <w:trPr>
          <w:trHeight w:val="188"/>
        </w:trPr>
        <w:tc>
          <w:tcPr>
            <w:tcW w:w="57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Cost of sales - equipment (exclusive of depreciation and</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226,002</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461,705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474,912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509,145</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25,739</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491,329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525,011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490,765</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1,775,434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1,813,004</w:t>
            </w:r>
          </w:p>
        </w:tc>
        <w:tc>
          <w:tcPr>
            <w:tcW w:w="0" w:type="dxa"/>
            <w:vAlign w:val="bottom"/>
          </w:tcPr>
          <w:p>
            <w:pPr>
              <w:spacing w:after="0"/>
              <w:rPr>
                <w:sz w:val="1"/>
                <w:szCs w:val="1"/>
                <w:color w:val="auto"/>
              </w:rPr>
            </w:pPr>
          </w:p>
        </w:tc>
      </w:tr>
      <w:tr>
        <w:trPr>
          <w:trHeight w:val="22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73,077</w:t>
            </w:r>
          </w:p>
        </w:tc>
        <w:tc>
          <w:tcPr>
            <w:tcW w:w="0" w:type="dxa"/>
            <w:vAlign w:val="bottom"/>
          </w:tcPr>
          <w:p>
            <w:pPr>
              <w:spacing w:after="0"/>
              <w:rPr>
                <w:sz w:val="1"/>
                <w:szCs w:val="1"/>
                <w:color w:val="auto"/>
              </w:rPr>
            </w:pPr>
          </w:p>
        </w:tc>
      </w:tr>
      <w:tr>
        <w:trPr>
          <w:trHeight w:val="209"/>
        </w:trPr>
        <w:tc>
          <w:tcPr>
            <w:tcW w:w="57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82,352</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(95,512)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(147,927)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(251,016)</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28,912</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(14,734)</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188"/>
        </w:trPr>
        <w:tc>
          <w:tcPr>
            <w:tcW w:w="57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Other-than-temporary impairment losses on equity method</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(166,242)</w:t>
            </w:r>
          </w:p>
        </w:tc>
        <w:tc>
          <w:tcPr>
            <w:tcW w:w="0" w:type="dxa"/>
            <w:vAlign w:val="bottom"/>
          </w:tcPr>
          <w:p>
            <w:pPr>
              <w:spacing w:after="0"/>
              <w:rPr>
                <w:sz w:val="1"/>
                <w:szCs w:val="1"/>
                <w:color w:val="auto"/>
              </w:rPr>
            </w:pPr>
          </w:p>
        </w:tc>
      </w:tr>
      <w:tr>
        <w:trPr>
          <w:trHeight w:val="22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(93,165)</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Income tax benefit (provision),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(20,488)</w:t>
            </w:r>
          </w:p>
        </w:tc>
        <w:tc>
          <w:tcPr>
            <w:tcW w:w="0" w:type="dxa"/>
            <w:vAlign w:val="bottom"/>
          </w:tcPr>
          <w:p>
            <w:pPr>
              <w:spacing w:after="0"/>
              <w:rPr>
                <w:sz w:val="1"/>
                <w:szCs w:val="1"/>
                <w:color w:val="auto"/>
              </w:rPr>
            </w:pPr>
          </w:p>
        </w:tc>
      </w:tr>
      <w:tr>
        <w:trPr>
          <w:trHeight w:val="22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(113,653)</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(74,252)</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7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 and diluted earnings (losses) from continuing operations per</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6"/>
                <w:szCs w:val="16"/>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share</w:t>
            </w: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gridSpan w:val="2"/>
            <w:shd w:val="clear" w:color="auto" w:fill="CCEEFF"/>
          </w:tcPr>
          <w:p>
            <w:pPr>
              <w:ind w:left="220"/>
              <w:spacing w:after="0" w:line="197" w:lineRule="exact"/>
              <w:rPr>
                <w:sz w:val="20"/>
                <w:szCs w:val="20"/>
                <w:color w:val="auto"/>
              </w:rPr>
            </w:pPr>
            <w:r>
              <w:rPr>
                <w:rFonts w:ascii="Arial" w:cs="Arial" w:eastAsia="Arial" w:hAnsi="Arial"/>
                <w:sz w:val="18"/>
                <w:szCs w:val="18"/>
                <w:color w:val="auto"/>
              </w:rPr>
              <w:t>Total basic and diluted earnings (losses) per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(74,252)</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Unrealized gains (losses) on available-for-sale securities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Amounts reclassified to net income (loss):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losses (gains) on available-for-sale debt securities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(67,962)</w:t>
            </w:r>
          </w:p>
        </w:tc>
      </w:tr>
      <w:tr>
        <w:trPr>
          <w:trHeight w:val="188"/>
        </w:trPr>
        <w:tc>
          <w:tcPr>
            <w:tcW w:w="574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income (loss) attributable to non-controlling</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(8,007)</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Common</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Treasury</w:t>
            </w:r>
          </w:p>
        </w:tc>
        <w:tc>
          <w:tcPr>
            <w:tcW w:w="12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Non-controlling</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6"/>
              </w:rPr>
              <w:t>Comprehensive</w:t>
            </w:r>
          </w:p>
        </w:tc>
        <w:tc>
          <w:tcPr>
            <w:tcW w:w="140" w:type="dxa"/>
            <w:vAlign w:val="bottom"/>
          </w:tcPr>
          <w:p>
            <w:pPr>
              <w:spacing w:after="0"/>
              <w:rPr>
                <w:sz w:val="9"/>
                <w:szCs w:val="9"/>
                <w:color w:val="auto"/>
              </w:rPr>
            </w:pPr>
          </w:p>
        </w:tc>
        <w:tc>
          <w:tcPr>
            <w:tcW w:w="10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Earnings</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b w:val="1"/>
                <w:bCs w:val="1"/>
                <w:color w:val="auto"/>
              </w:rPr>
              <w:t>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Income (Loss)</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(Losses)</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Shares, at cost</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Interests</w:t>
            </w: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2018</w:t>
            </w:r>
          </w:p>
        </w:tc>
        <w:tc>
          <w:tcPr>
            <w:tcW w:w="800" w:type="dxa"/>
            <w:vAlign w:val="bottom"/>
            <w:tcBorders>
              <w:bottom w:val="single" w:sz="8" w:color="CCEEFF"/>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3,702,522</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(125,100)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694,129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15,275</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4,155,474</w:t>
            </w:r>
          </w:p>
        </w:tc>
        <w:tc>
          <w:tcPr>
            <w:tcW w:w="0" w:type="dxa"/>
            <w:vAlign w:val="bottom"/>
          </w:tcPr>
          <w:p>
            <w:pPr>
              <w:spacing w:after="0"/>
              <w:rPr>
                <w:sz w:val="1"/>
                <w:szCs w:val="1"/>
                <w:color w:val="auto"/>
              </w:rPr>
            </w:pPr>
          </w:p>
        </w:tc>
      </w:tr>
      <w:tr>
        <w:trPr>
          <w:trHeight w:val="142"/>
        </w:trPr>
        <w:tc>
          <w:tcPr>
            <w:tcW w:w="2940" w:type="dxa"/>
            <w:vAlign w:val="bottom"/>
          </w:tcPr>
          <w:p>
            <w:pPr>
              <w:ind w:left="140"/>
              <w:spacing w:after="0"/>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Exercise of stock options</w:t>
            </w:r>
          </w:p>
        </w:tc>
        <w:tc>
          <w:tcPr>
            <w:tcW w:w="8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67,307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67,310</w:t>
            </w:r>
          </w:p>
        </w:tc>
        <w:tc>
          <w:tcPr>
            <w:tcW w:w="0" w:type="dxa"/>
            <w:vAlign w:val="bottom"/>
          </w:tcPr>
          <w:p>
            <w:pPr>
              <w:spacing w:after="0"/>
              <w:rPr>
                <w:sz w:val="1"/>
                <w:szCs w:val="1"/>
                <w:color w:val="auto"/>
              </w:rPr>
            </w:pPr>
          </w:p>
        </w:tc>
      </w:tr>
      <w:tr>
        <w:trPr>
          <w:trHeight w:val="140"/>
        </w:trPr>
        <w:tc>
          <w:tcPr>
            <w:tcW w:w="2940" w:type="dxa"/>
            <w:vAlign w:val="bottom"/>
          </w:tcPr>
          <w:p>
            <w:pPr>
              <w:ind w:left="26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6,654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6,654</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Employee Stock Purchase Plan</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9,778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9,778</w:t>
            </w:r>
          </w:p>
        </w:tc>
        <w:tc>
          <w:tcPr>
            <w:tcW w:w="0" w:type="dxa"/>
            <w:vAlign w:val="bottom"/>
          </w:tcPr>
          <w:p>
            <w:pPr>
              <w:spacing w:after="0"/>
              <w:rPr>
                <w:sz w:val="1"/>
                <w:szCs w:val="1"/>
                <w:color w:val="auto"/>
              </w:rPr>
            </w:pPr>
          </w:p>
        </w:tc>
      </w:tr>
      <w:tr>
        <w:trPr>
          <w:trHeight w:val="140"/>
        </w:trPr>
        <w:tc>
          <w:tcPr>
            <w:tcW w:w="2940" w:type="dxa"/>
            <w:vAlign w:val="bottom"/>
          </w:tcPr>
          <w:p>
            <w:pPr>
              <w:ind w:left="26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9,353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9,353</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(6,480)</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(7,313)</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Net assets distributed pursuant to the BSS Transaction</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(532,747)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(532,747)</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940" w:type="dxa"/>
            <w:vAlign w:val="bottom"/>
            <w:shd w:val="clear" w:color="auto" w:fill="CCEEFF"/>
          </w:tcPr>
          <w:p>
            <w:pPr>
              <w:ind w:left="140"/>
              <w:spacing w:after="0" w:line="119" w:lineRule="exact"/>
              <w:rPr>
                <w:sz w:val="20"/>
                <w:szCs w:val="20"/>
                <w:color w:val="auto"/>
              </w:rPr>
            </w:pPr>
            <w:r>
              <w:rPr>
                <w:rFonts w:ascii="Arial" w:cs="Arial" w:eastAsia="Arial" w:hAnsi="Arial"/>
                <w:sz w:val="11"/>
                <w:szCs w:val="11"/>
                <w:color w:val="auto"/>
              </w:rPr>
              <w:t>Issuance of equity and contribution of assets pursuant</w:t>
            </w: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 the Yahsat JV formation</w:t>
            </w:r>
          </w:p>
        </w:tc>
        <w:tc>
          <w:tcPr>
            <w:tcW w:w="8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29,576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73,199</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102,775</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2,962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3,328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6,290</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(loss)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(62,917)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(11,335)</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(74,252)</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Other, net</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(1,127)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1,597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1,761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2,231</w:t>
            </w:r>
          </w:p>
        </w:tc>
        <w:tc>
          <w:tcPr>
            <w:tcW w:w="0" w:type="dxa"/>
            <w:vAlign w:val="bottom"/>
          </w:tcPr>
          <w:p>
            <w:pPr>
              <w:spacing w:after="0"/>
              <w:rPr>
                <w:sz w:val="1"/>
                <w:szCs w:val="1"/>
                <w:color w:val="auto"/>
              </w:rPr>
            </w:pP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2019</w:t>
            </w:r>
          </w:p>
        </w:tc>
        <w:tc>
          <w:tcPr>
            <w:tcW w:w="8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3,290,483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(122,138)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632,809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75,748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3,745,553</w:t>
            </w:r>
          </w:p>
        </w:tc>
        <w:tc>
          <w:tcPr>
            <w:tcW w:w="0" w:type="dxa"/>
            <w:vAlign w:val="bottom"/>
          </w:tcPr>
          <w:p>
            <w:pPr>
              <w:spacing w:after="0"/>
              <w:rPr>
                <w:sz w:val="1"/>
                <w:szCs w:val="1"/>
                <w:color w:val="auto"/>
              </w:rPr>
            </w:pPr>
          </w:p>
        </w:tc>
      </w:tr>
      <w:tr>
        <w:trPr>
          <w:trHeight w:val="133"/>
        </w:trPr>
        <w:tc>
          <w:tcPr>
            <w:tcW w:w="2940" w:type="dxa"/>
            <w:vAlign w:val="bottom"/>
          </w:tcPr>
          <w:p>
            <w:pPr>
              <w:ind w:left="140"/>
              <w:spacing w:after="0"/>
              <w:rPr>
                <w:sz w:val="20"/>
                <w:szCs w:val="20"/>
                <w:color w:val="auto"/>
              </w:rPr>
            </w:pPr>
            <w:r>
              <w:rPr>
                <w:rFonts w:ascii="Arial" w:cs="Arial" w:eastAsia="Arial" w:hAnsi="Arial"/>
                <w:sz w:val="11"/>
                <w:szCs w:val="11"/>
                <w:color w:val="auto"/>
              </w:rPr>
              <w:t>Cumulative effect of accounting changes</w:t>
            </w: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(9,068)</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(9,308)</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2020</w:t>
            </w:r>
          </w:p>
        </w:tc>
        <w:tc>
          <w:tcPr>
            <w:tcW w:w="8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3,290,483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(122,138)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623,741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(131,454)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75,508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3,736,245</w:t>
            </w:r>
          </w:p>
        </w:tc>
        <w:tc>
          <w:tcPr>
            <w:tcW w:w="0" w:type="dxa"/>
            <w:vAlign w:val="bottom"/>
          </w:tcPr>
          <w:p>
            <w:pPr>
              <w:spacing w:after="0"/>
              <w:rPr>
                <w:sz w:val="1"/>
                <w:szCs w:val="1"/>
                <w:color w:val="auto"/>
              </w:rPr>
            </w:pPr>
          </w:p>
        </w:tc>
      </w:tr>
      <w:tr>
        <w:trPr>
          <w:trHeight w:val="133"/>
        </w:trPr>
        <w:tc>
          <w:tcPr>
            <w:tcW w:w="2940" w:type="dxa"/>
            <w:vAlign w:val="bottom"/>
          </w:tcPr>
          <w:p>
            <w:pPr>
              <w:ind w:left="140"/>
              <w:spacing w:after="0"/>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Exercise of stock options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855</w:t>
            </w:r>
          </w:p>
        </w:tc>
        <w:tc>
          <w:tcPr>
            <w:tcW w:w="0" w:type="dxa"/>
            <w:vAlign w:val="bottom"/>
          </w:tcPr>
          <w:p>
            <w:pPr>
              <w:spacing w:after="0"/>
              <w:rPr>
                <w:sz w:val="1"/>
                <w:szCs w:val="1"/>
                <w:color w:val="auto"/>
              </w:rPr>
            </w:pPr>
          </w:p>
        </w:tc>
      </w:tr>
      <w:tr>
        <w:trPr>
          <w:trHeight w:val="140"/>
        </w:trPr>
        <w:tc>
          <w:tcPr>
            <w:tcW w:w="2940" w:type="dxa"/>
            <w:vAlign w:val="bottom"/>
          </w:tcPr>
          <w:p>
            <w:pPr>
              <w:ind w:left="26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6,921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6,921</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Employee Stock Purchase Plan</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10,109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10,109</w:t>
            </w:r>
          </w:p>
        </w:tc>
        <w:tc>
          <w:tcPr>
            <w:tcW w:w="0" w:type="dxa"/>
            <w:vAlign w:val="bottom"/>
          </w:tcPr>
          <w:p>
            <w:pPr>
              <w:spacing w:after="0"/>
              <w:rPr>
                <w:sz w:val="1"/>
                <w:szCs w:val="1"/>
                <w:color w:val="auto"/>
              </w:rPr>
            </w:pPr>
          </w:p>
        </w:tc>
      </w:tr>
      <w:tr>
        <w:trPr>
          <w:trHeight w:val="140"/>
        </w:trPr>
        <w:tc>
          <w:tcPr>
            <w:tcW w:w="2940" w:type="dxa"/>
            <w:vAlign w:val="bottom"/>
          </w:tcPr>
          <w:p>
            <w:pPr>
              <w:ind w:left="26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8,887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8,887</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940" w:type="dxa"/>
            <w:vAlign w:val="bottom"/>
            <w:shd w:val="clear" w:color="auto" w:fill="CCEEFF"/>
          </w:tcPr>
          <w:p>
            <w:pPr>
              <w:ind w:left="140"/>
              <w:spacing w:after="0" w:line="119" w:lineRule="exact"/>
              <w:rPr>
                <w:sz w:val="20"/>
                <w:szCs w:val="20"/>
                <w:color w:val="auto"/>
              </w:rPr>
            </w:pPr>
            <w:r>
              <w:rPr>
                <w:rFonts w:ascii="Arial" w:cs="Arial" w:eastAsia="Arial" w:hAnsi="Arial"/>
                <w:sz w:val="11"/>
                <w:szCs w:val="11"/>
                <w:color w:val="auto"/>
              </w:rPr>
              <w:t>Issuance of equity and contribution of assets pursuant</w:t>
            </w: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 the Yahsat JV formation</w:t>
            </w:r>
          </w:p>
        </w:tc>
        <w:tc>
          <w:tcPr>
            <w:tcW w:w="8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4,338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(1,580)</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2,758</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Contribution by non-controlling interest holder</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18,241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18,241</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(65,738)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(15,631)</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(81,369)</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(40,150)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(11,754)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(51,904)</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Treasury share repurchase</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(43,458)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(43,458)</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Other, net</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8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3,321,426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(187,876)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583,591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(174,912)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64,916</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3,607,250</w:t>
            </w:r>
          </w:p>
        </w:tc>
        <w:tc>
          <w:tcPr>
            <w:tcW w:w="0" w:type="dxa"/>
            <w:vAlign w:val="bottom"/>
          </w:tcPr>
          <w:p>
            <w:pPr>
              <w:spacing w:after="0"/>
              <w:rPr>
                <w:sz w:val="1"/>
                <w:szCs w:val="1"/>
                <w:color w:val="auto"/>
              </w:rPr>
            </w:pPr>
          </w:p>
        </w:tc>
      </w:tr>
      <w:tr>
        <w:trPr>
          <w:trHeight w:val="122"/>
        </w:trPr>
        <w:tc>
          <w:tcPr>
            <w:tcW w:w="294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Issuances of Class A common stock:</w:t>
            </w:r>
          </w:p>
        </w:tc>
        <w:tc>
          <w:tcPr>
            <w:tcW w:w="8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Exercise of stock options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408</w:t>
            </w:r>
          </w:p>
        </w:tc>
        <w:tc>
          <w:tcPr>
            <w:tcW w:w="0" w:type="dxa"/>
            <w:vAlign w:val="bottom"/>
          </w:tcPr>
          <w:p>
            <w:pPr>
              <w:spacing w:after="0"/>
              <w:rPr>
                <w:sz w:val="1"/>
                <w:szCs w:val="1"/>
                <w:color w:val="auto"/>
              </w:rPr>
            </w:pPr>
          </w:p>
        </w:tc>
      </w:tr>
      <w:tr>
        <w:trPr>
          <w:trHeight w:val="140"/>
        </w:trPr>
        <w:tc>
          <w:tcPr>
            <w:tcW w:w="2940" w:type="dxa"/>
            <w:vAlign w:val="bottom"/>
          </w:tcPr>
          <w:p>
            <w:pPr>
              <w:ind w:left="260"/>
              <w:spacing w:after="0"/>
              <w:rPr>
                <w:sz w:val="20"/>
                <w:szCs w:val="20"/>
                <w:color w:val="auto"/>
              </w:rPr>
            </w:pPr>
            <w:r>
              <w:rPr>
                <w:rFonts w:ascii="Arial" w:cs="Arial" w:eastAsia="Arial" w:hAnsi="Arial"/>
                <w:sz w:val="11"/>
                <w:szCs w:val="11"/>
                <w:color w:val="auto"/>
              </w:rPr>
              <w:t>Employee benefits</w:t>
            </w:r>
          </w:p>
        </w:tc>
        <w:tc>
          <w:tcPr>
            <w:tcW w:w="800" w:type="dxa"/>
            <w:vAlign w:val="bottom"/>
          </w:tcPr>
          <w:p>
            <w:pPr>
              <w:spacing w:after="0"/>
              <w:rPr>
                <w:sz w:val="12"/>
                <w:szCs w:val="12"/>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7,124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Employee Stock Purchase Plan</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9,471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9,471</w:t>
            </w:r>
          </w:p>
        </w:tc>
        <w:tc>
          <w:tcPr>
            <w:tcW w:w="0" w:type="dxa"/>
            <w:vAlign w:val="bottom"/>
          </w:tcPr>
          <w:p>
            <w:pPr>
              <w:spacing w:after="0"/>
              <w:rPr>
                <w:sz w:val="1"/>
                <w:szCs w:val="1"/>
                <w:color w:val="auto"/>
              </w:rPr>
            </w:pPr>
          </w:p>
        </w:tc>
      </w:tr>
      <w:tr>
        <w:trPr>
          <w:trHeight w:val="140"/>
        </w:trPr>
        <w:tc>
          <w:tcPr>
            <w:tcW w:w="2940" w:type="dxa"/>
            <w:vAlign w:val="bottom"/>
          </w:tcPr>
          <w:p>
            <w:pPr>
              <w:ind w:left="260"/>
              <w:spacing w:after="0"/>
              <w:rPr>
                <w:sz w:val="20"/>
                <w:szCs w:val="20"/>
                <w:color w:val="auto"/>
              </w:rPr>
            </w:pPr>
            <w:r>
              <w:rPr>
                <w:rFonts w:ascii="Arial" w:cs="Arial" w:eastAsia="Arial" w:hAnsi="Arial"/>
                <w:sz w:val="11"/>
                <w:szCs w:val="11"/>
                <w:color w:val="auto"/>
              </w:rPr>
              <w:t>Stock-based compensation</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7,699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7,699</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Contribution by non-controlling interest holder</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9,880</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9,880</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(24,226)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(4,389)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(28,615)</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(loss)</w:t>
            </w:r>
          </w:p>
        </w:tc>
        <w:tc>
          <w:tcPr>
            <w:tcW w:w="8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72,875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(10,154)</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62,721</w:t>
            </w:r>
          </w:p>
        </w:tc>
        <w:tc>
          <w:tcPr>
            <w:tcW w:w="0" w:type="dxa"/>
            <w:vAlign w:val="bottom"/>
          </w:tcPr>
          <w:p>
            <w:pPr>
              <w:spacing w:after="0"/>
              <w:rPr>
                <w:sz w:val="1"/>
                <w:szCs w:val="1"/>
                <w:color w:val="auto"/>
              </w:rPr>
            </w:pPr>
          </w:p>
        </w:tc>
      </w:tr>
      <w:tr>
        <w:trPr>
          <w:trHeight w:val="140"/>
        </w:trPr>
        <w:tc>
          <w:tcPr>
            <w:tcW w:w="2940" w:type="dxa"/>
            <w:vAlign w:val="bottom"/>
          </w:tcPr>
          <w:p>
            <w:pPr>
              <w:ind w:left="140"/>
              <w:spacing w:after="0"/>
              <w:rPr>
                <w:sz w:val="20"/>
                <w:szCs w:val="20"/>
                <w:color w:val="auto"/>
              </w:rPr>
            </w:pPr>
            <w:r>
              <w:rPr>
                <w:rFonts w:ascii="Arial" w:cs="Arial" w:eastAsia="Arial" w:hAnsi="Arial"/>
                <w:sz w:val="11"/>
                <w:szCs w:val="11"/>
                <w:color w:val="auto"/>
              </w:rPr>
              <w:t>Treasury share repurchase</w:t>
            </w:r>
          </w:p>
        </w:tc>
        <w:tc>
          <w:tcPr>
            <w:tcW w:w="8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(261,609)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(261,609)</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w:t>
            </w:r>
          </w:p>
        </w:tc>
        <w:tc>
          <w:tcPr>
            <w:tcW w:w="800" w:type="dxa"/>
            <w:vAlign w:val="bottom"/>
            <w:tcBorders>
              <w:bottom w:val="single" w:sz="8" w:color="CCEEFF"/>
            </w:tcBorders>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55"/>
        </w:trPr>
        <w:tc>
          <w:tcPr>
            <w:tcW w:w="294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80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3,345,878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(212,102)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656,466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(436,521)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60,253</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3,414,080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(74,252)</w:t>
            </w:r>
          </w:p>
        </w:tc>
      </w:tr>
      <w:tr>
        <w:trPr>
          <w:trHeight w:val="176"/>
        </w:trPr>
        <w:tc>
          <w:tcPr>
            <w:tcW w:w="59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b w:val="1"/>
                <w:bCs w:val="1"/>
                <w:color w:val="auto"/>
              </w:rPr>
              <w:t>Adjustments to reconcile net income (loss) to cash flows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provided by (used for)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491,329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525,011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588,200</w:t>
            </w:r>
          </w:p>
        </w:tc>
      </w:tr>
      <w:tr>
        <w:trPr>
          <w:trHeight w:val="230"/>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long-lived assets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Losses (gains) on investments,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(28,912)</w:t>
            </w:r>
          </w:p>
        </w:tc>
      </w:tr>
      <w:tr>
        <w:trPr>
          <w:trHeight w:val="229"/>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in losses (earnings) of unconsolidated affiliates,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Foreign currency transaction losses (gains),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11,590</w:t>
            </w:r>
          </w:p>
        </w:tc>
      </w:tr>
      <w:tr>
        <w:trPr>
          <w:trHeight w:val="229"/>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 provision (benefit),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32,542</w:t>
            </w: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9,353</w:t>
            </w:r>
          </w:p>
        </w:tc>
      </w:tr>
      <w:tr>
        <w:trPr>
          <w:trHeight w:val="229"/>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r>
      <w:tr>
        <w:trPr>
          <w:trHeight w:val="229"/>
        </w:trPr>
        <w:tc>
          <w:tcPr>
            <w:tcW w:w="5900" w:type="dxa"/>
            <w:vAlign w:val="bottom"/>
          </w:tcPr>
          <w:p>
            <w:pPr>
              <w:ind w:left="460"/>
              <w:spacing w:after="0"/>
              <w:rPr>
                <w:sz w:val="20"/>
                <w:szCs w:val="20"/>
                <w:color w:val="auto"/>
              </w:rPr>
            </w:pPr>
            <w:r>
              <w:rPr>
                <w:rFonts w:ascii="Arial" w:cs="Arial" w:eastAsia="Arial" w:hAnsi="Arial"/>
                <w:sz w:val="18"/>
                <w:szCs w:val="18"/>
                <w:color w:val="auto"/>
              </w:rPr>
              <w:t>Dividends received from unconsolidated affiliates</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188"/>
        </w:trPr>
        <w:tc>
          <w:tcPr>
            <w:tcW w:w="590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rPr>
              <w:t>Other-than-temporary impairment losses on equity method</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7"/>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46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6,297</w:t>
            </w:r>
          </w:p>
        </w:tc>
      </w:tr>
      <w:tr>
        <w:trPr>
          <w:trHeight w:val="229"/>
        </w:trPr>
        <w:tc>
          <w:tcPr>
            <w:tcW w:w="59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Changes in assets and liabilities,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900" w:type="dxa"/>
            <w:vAlign w:val="bottom"/>
          </w:tcPr>
          <w:p>
            <w:pPr>
              <w:ind w:left="680"/>
              <w:spacing w:after="0"/>
              <w:rPr>
                <w:sz w:val="20"/>
                <w:szCs w:val="20"/>
                <w:color w:val="auto"/>
              </w:rPr>
            </w:pPr>
            <w:r>
              <w:rPr>
                <w:rFonts w:ascii="Arial" w:cs="Arial" w:eastAsia="Arial" w:hAnsi="Arial"/>
                <w:sz w:val="18"/>
                <w:szCs w:val="18"/>
                <w:color w:val="auto"/>
              </w:rPr>
              <w:t>Trade accounts receivable and contract assets,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8,289</w:t>
            </w:r>
          </w:p>
        </w:tc>
      </w:tr>
      <w:tr>
        <w:trPr>
          <w:trHeight w:val="230"/>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assets,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(39,190)</w:t>
            </w:r>
          </w:p>
        </w:tc>
      </w:tr>
      <w:tr>
        <w:trPr>
          <w:trHeight w:val="229"/>
        </w:trPr>
        <w:tc>
          <w:tcPr>
            <w:tcW w:w="5900" w:type="dxa"/>
            <w:vAlign w:val="bottom"/>
          </w:tcPr>
          <w:p>
            <w:pPr>
              <w:ind w:left="68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13,149</w:t>
            </w:r>
          </w:p>
        </w:tc>
      </w:tr>
      <w:tr>
        <w:trPr>
          <w:trHeight w:val="230"/>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Contract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26,376</w:t>
            </w:r>
          </w:p>
        </w:tc>
      </w:tr>
      <w:tr>
        <w:trPr>
          <w:trHeight w:val="230"/>
        </w:trPr>
        <w:tc>
          <w:tcPr>
            <w:tcW w:w="5900" w:type="dxa"/>
            <w:vAlign w:val="bottom"/>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(84,621)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66,352</w:t>
            </w:r>
          </w:p>
        </w:tc>
      </w:tr>
      <w:tr>
        <w:trPr>
          <w:trHeight w:val="230"/>
        </w:trPr>
        <w:tc>
          <w:tcPr>
            <w:tcW w:w="5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Non-current assets and non-current liabilities, net</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13,166</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534,388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656,322</w:t>
            </w:r>
          </w:p>
        </w:tc>
      </w:tr>
      <w:tr>
        <w:trPr>
          <w:trHeight w:val="236"/>
        </w:trPr>
        <w:tc>
          <w:tcPr>
            <w:tcW w:w="5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marketable investment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(2,799,838)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(993,369)</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Sales and maturities of marketable investment securities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2,321,560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2,110,336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2,391,220</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Expenditures for property and equipment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(418,584)</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Expenditures for externally marketed software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(29,310)</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other investments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(93,687)</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Sales of other investments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Investments in unconsolidated affiliates</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Purchases of regulatory authorizations</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(34,447)</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 received from unconsolidated affiliate</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158,930</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(1,142,455)</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821,958</w:t>
            </w:r>
          </w:p>
        </w:tc>
      </w:tr>
      <w:tr>
        <w:trPr>
          <w:trHeight w:val="196"/>
        </w:trPr>
        <w:tc>
          <w:tcPr>
            <w:tcW w:w="5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Repurchase and maturity of the 2019 Senior Secured Notes</w:t>
            </w:r>
          </w:p>
        </w:tc>
        <w:tc>
          <w:tcPr>
            <w:tcW w:w="4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(920,923)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and maturity of the 2021 Senior Unsecured Notes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Payment of finance lease obligations</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(29,347)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in-orbit incentive obligations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Proceeds from Class A common stock options exercised</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67,337</w:t>
            </w:r>
          </w:p>
        </w:tc>
        <w:tc>
          <w:tcPr>
            <w:tcW w:w="0" w:type="dxa"/>
            <w:vAlign w:val="bottom"/>
          </w:tcPr>
          <w:p>
            <w:pPr>
              <w:spacing w:after="0"/>
              <w:rPr>
                <w:sz w:val="1"/>
                <w:szCs w:val="1"/>
                <w:color w:val="auto"/>
              </w:rPr>
            </w:pPr>
          </w:p>
        </w:tc>
      </w:tr>
      <w:tr>
        <w:trPr>
          <w:trHeight w:val="188"/>
        </w:trPr>
        <w:tc>
          <w:tcPr>
            <w:tcW w:w="57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Proceeds from Class A common stock issued under the Employee</w:t>
            </w:r>
          </w:p>
        </w:tc>
        <w:tc>
          <w:tcPr>
            <w:tcW w:w="4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Purchase Plan</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Treasury share repurchase</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(261,436)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Contribution by non-controlling interest holder</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Purchase of non-controlling interest</w:t>
            </w:r>
          </w:p>
        </w:tc>
        <w:tc>
          <w:tcPr>
            <w:tcW w:w="4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(1,147,345)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(885,311)</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592,394</w:t>
            </w:r>
          </w:p>
        </w:tc>
        <w:tc>
          <w:tcPr>
            <w:tcW w:w="0" w:type="dxa"/>
            <w:vAlign w:val="bottom"/>
          </w:tcPr>
          <w:p>
            <w:pPr>
              <w:spacing w:after="0"/>
              <w:rPr>
                <w:sz w:val="1"/>
                <w:szCs w:val="1"/>
                <w:color w:val="auto"/>
              </w:rPr>
            </w:pPr>
          </w:p>
        </w:tc>
      </w:tr>
      <w:tr>
        <w:trPr>
          <w:trHeight w:val="188"/>
        </w:trPr>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including restricted amounts, beginning</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 period</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896,812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929,495</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and cash equivalents, including restricted amounts, end of</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536,874</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896,812</w:t>
            </w: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1,521,889</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period</w:t>
            </w: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3" w:lineRule="exact"/>
        <w:rPr>
          <w:sz w:val="20"/>
          <w:szCs w:val="20"/>
          <w:color w:val="auto"/>
        </w:rPr>
      </w:pPr>
    </w:p>
    <w:p>
      <w:pPr>
        <w:jc w:val="both"/>
        <w:ind w:left="660" w:hanging="328"/>
        <w:spacing w:after="0" w:line="257" w:lineRule="auto"/>
        <w:tabs>
          <w:tab w:leader="none" w:pos="65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segment (“Hughes segment”) </w:t>
      </w:r>
      <w:r>
        <w:rPr>
          <w:rFonts w:ascii="Arial" w:cs="Arial" w:eastAsia="Arial" w:hAnsi="Arial"/>
          <w:sz w:val="18"/>
          <w:szCs w:val="18"/>
          <w:color w:val="auto"/>
        </w:rPr>
        <w:t>— which provides broadband satellite technologies and broadband internet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consumer 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segment (“ESS segment”) </w:t>
      </w:r>
      <w:r>
        <w:rPr>
          <w:rFonts w:ascii="Arial" w:cs="Arial" w:eastAsia="Arial" w:hAnsi="Arial"/>
          <w:sz w:val="18"/>
          <w:szCs w:val="18"/>
          <w:color w:val="auto"/>
        </w:rPr>
        <w:t>— which uses certain of our owned and leased in-orbit satellites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licenses to provide satellite services on a full-time and/or occasional-use basis to U.S. government service providers, internet service providers, broadcast news organizations, content providers and private enterprise customers.</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segment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22. Segment Reporting</w:t>
      </w:r>
      <w:r>
        <w:rPr>
          <w:rFonts w:ascii="Arial" w:cs="Arial" w:eastAsia="Arial" w:hAnsi="Arial"/>
          <w:sz w:val="18"/>
          <w:szCs w:val="18"/>
          <w:color w:val="auto"/>
        </w:rPr>
        <w:t xml:space="preserve"> for further detail.</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BSS Transaction, we and DISH Network agreed to indemnify each other against certain losses with respect to breaches of certain representations and covenants and certain retained and assumed liabilities, respectively. Refer to Note 19 in our Consolidated Financial Statements for further details on certain customary agreements entered into with DISH in relation to the BSS Transaction.</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BSS Transaction was structured in a manner intended to be tax-free to us and our stockholders for U.S. federal income tax purposes and was accounted for as a spin-off to our shareholders as we did not receive any consideration. 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year ended December 31, 2019 as presented in these Consolidated Financial Statements and the accompanying notes (collectively, the “Consolidated Financial Statements”).</w:t>
      </w:r>
    </w:p>
    <w:p>
      <w:pPr>
        <w:spacing w:after="0" w:line="217"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5. Discontinued Operations</w:t>
      </w:r>
      <w:r>
        <w:rPr>
          <w:rFonts w:ascii="Arial" w:cs="Arial" w:eastAsia="Arial" w:hAnsi="Arial"/>
          <w:sz w:val="18"/>
          <w:szCs w:val="18"/>
          <w:color w:val="auto"/>
        </w:rPr>
        <w:t xml:space="preserve"> for further detail. Additionally, all amounts in the following footnotes reference results from continuing operations unless otherwise noted.</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Consolidated Financial Statements and the accompanying notes are prepared in conformity with generally accepted accounting principles in the United States (“U.S. GAAP”). 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20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 Defined as observable inputs being quoted prices in active markets for identical assets;</w:t>
      </w:r>
    </w:p>
    <w:p>
      <w:pPr>
        <w:spacing w:after="0" w:line="9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6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are based on quoted market prices in less active markets and are categorized as Level 2 measurements.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during the years ended December 31, 2021 and 2020.</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2021 and 2020, the carrying amounts of our cash and cash equivalents, trade accounts receivable and contract assets, net, trade accounts payable, and accrued expenses and other current liabilities were equal to or approximated their fair value due to their short-term nature or proximity to current market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also recognize lease revenue which is derived from leases of property and equipment which, for operating leases, is reported in </w:t>
      </w:r>
      <w:r>
        <w:rPr>
          <w:rFonts w:ascii="Arial" w:cs="Arial" w:eastAsia="Arial" w:hAnsi="Arial"/>
          <w:sz w:val="18"/>
          <w:szCs w:val="18"/>
          <w:i w:val="1"/>
          <w:iCs w:val="1"/>
          <w:color w:val="auto"/>
        </w:rPr>
        <w:t>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revenue </w:t>
      </w:r>
      <w:r>
        <w:rPr>
          <w:rFonts w:ascii="Arial" w:cs="Arial" w:eastAsia="Arial" w:hAnsi="Arial"/>
          <w:sz w:val="18"/>
          <w:szCs w:val="18"/>
          <w:color w:val="auto"/>
        </w:rPr>
        <w:t>in the Consolidated Statements of Operations and, for sales-type leases, is reported in</w:t>
      </w:r>
      <w:r>
        <w:rPr>
          <w:rFonts w:ascii="Arial" w:cs="Arial" w:eastAsia="Arial" w:hAnsi="Arial"/>
          <w:sz w:val="18"/>
          <w:szCs w:val="18"/>
          <w:i w:val="1"/>
          <w:iCs w:val="1"/>
          <w:color w:val="auto"/>
        </w:rPr>
        <w:t xml:space="preserve"> Equipment revenue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Certain of our customer contracts contain embedded equipment leases, which we separate from non-lease components of the contract based on the relative standalone selling prices of the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Hughes Segment</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ESS Segment</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our ESS segment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w:t>
      </w:r>
      <w:r>
        <w:rPr>
          <w:rFonts w:ascii="Arial" w:cs="Arial" w:eastAsia="Arial" w:hAnsi="Arial"/>
          <w:sz w:val="18"/>
          <w:szCs w:val="18"/>
          <w:i w:val="1"/>
          <w:iCs w:val="1"/>
          <w:color w:val="auto"/>
        </w:rPr>
        <w:t>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net </w:t>
      </w:r>
      <w:r>
        <w:rPr>
          <w:rFonts w:ascii="Arial" w:cs="Arial" w:eastAsia="Arial" w:hAnsi="Arial"/>
          <w:sz w:val="18"/>
          <w:szCs w:val="18"/>
          <w:color w:val="auto"/>
        </w:rPr>
        <w:t>and continue to be depreciated. Assets subject to sales-type leases are derecognized from</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commencement and a net investment in the lease asset is recognized in </w:t>
      </w:r>
      <w:r>
        <w:rPr>
          <w:rFonts w:ascii="Arial" w:cs="Arial" w:eastAsia="Arial" w:hAnsi="Arial"/>
          <w:sz w:val="18"/>
          <w:szCs w:val="18"/>
          <w:i w:val="1"/>
          <w:iCs w:val="1"/>
          <w:color w:val="auto"/>
        </w:rPr>
        <w:t>Trade accounts receivable and contract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non-current assets, net</w:t>
      </w:r>
      <w:r>
        <w:rPr>
          <w:rFonts w:ascii="Arial" w:cs="Arial" w:eastAsia="Arial" w:hAnsi="Arial"/>
          <w:sz w:val="18"/>
          <w:szCs w:val="18"/>
          <w:color w:val="auto"/>
        </w:rPr>
        <w:t>.</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or our incremental borrowing rate if the interest rate implicit in the lease cannot be reasonably determined. We report revenue from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sales-type leases at the commencement date in </w:t>
      </w:r>
      <w:r>
        <w:rPr>
          <w:rFonts w:ascii="Arial" w:cs="Arial" w:eastAsia="Arial" w:hAnsi="Arial"/>
          <w:sz w:val="18"/>
          <w:szCs w:val="18"/>
          <w:i w:val="1"/>
          <w:iCs w:val="1"/>
          <w:color w:val="auto"/>
        </w:rPr>
        <w:t>Equipment revenue</w:t>
      </w:r>
      <w:r>
        <w:rPr>
          <w:rFonts w:ascii="Arial" w:cs="Arial" w:eastAsia="Arial" w:hAnsi="Arial"/>
          <w:sz w:val="18"/>
          <w:szCs w:val="18"/>
          <w:color w:val="auto"/>
        </w:rPr>
        <w:t xml:space="preserve"> and periodic interest income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We report operating lease revenue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Sales and Value Added Taxes, Universal Service Fees and other taxes that we collect concurrent with revenue producing activities are excluded from revenue and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Consolidated Balance Sheets.</w:t>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Shipping and handling costs associated with transferred to the customer and are included 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firstLine="31"/>
        <w:spacing w:after="0" w:line="277" w:lineRule="auto"/>
        <w:rPr>
          <w:sz w:val="20"/>
          <w:szCs w:val="20"/>
          <w:color w:val="auto"/>
        </w:rPr>
      </w:pPr>
      <w:r>
        <w:rPr>
          <w:rFonts w:ascii="Arial" w:cs="Arial" w:eastAsia="Arial" w:hAnsi="Arial"/>
          <w:sz w:val="18"/>
          <w:szCs w:val="18"/>
          <w:color w:val="auto"/>
        </w:rPr>
        <w:t xml:space="preserve">outbound freight are accounted for as a fulfillment cost after control over a product has </w:t>
      </w:r>
      <w:r>
        <w:rPr>
          <w:rFonts w:ascii="Arial" w:cs="Arial" w:eastAsia="Arial" w:hAnsi="Arial"/>
          <w:sz w:val="16"/>
          <w:szCs w:val="16"/>
          <w:color w:val="auto"/>
        </w:rPr>
        <w:t xml:space="preserve">Cost of sales - equipment </w:t>
      </w:r>
      <w:r>
        <w:rPr>
          <w:rFonts w:ascii="Arial" w:cs="Arial" w:eastAsia="Arial" w:hAnsi="Arial"/>
          <w:sz w:val="17"/>
          <w:szCs w:val="17"/>
          <w:color w:val="auto"/>
        </w:rPr>
        <w:t>in the Consolidated Statements of Operations at the time of shipment.</w:t>
      </w:r>
    </w:p>
    <w:p>
      <w:pPr>
        <w:spacing w:after="0" w:line="188" w:lineRule="exact"/>
        <w:rPr>
          <w:sz w:val="20"/>
          <w:szCs w:val="20"/>
          <w:color w:val="auto"/>
        </w:rPr>
      </w:pPr>
    </w:p>
    <w:p>
      <w:pPr>
        <w:sectPr>
          <w:pgSz w:w="11900" w:h="16838" w:orient="portrait"/>
          <w:cols w:equalWidth="0" w:num="2">
            <w:col w:w="3740" w:space="40"/>
            <w:col w:w="7460"/>
          </w:cols>
          <w:pgMar w:left="320" w:top="1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Cost of Sales - Services and Other</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sales - services and other in the Consolidated Statements of Operations primarily consists of costs of satellite capacity and services, hub infrastructure, customer care, wireline and wireless capacity and direct labor costs associated with the services provided and is generally charged to expense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Equipment</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sales - equipment in the Consolidated Statements of Operations primarily consists of inventory costs, including freight and royalties, and is generally recognized at the point in time control of the equipment is passed to the customer and related revenue is recognized.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Additionally, customer-related research and development costs are incurred in connection with the specific requirements of a customer’s order; in such instances, the amounts for these customer funded development efforts are also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 awards subject to performance conditions is recognized only when satisfaction of the performance condition is probable.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Advertising costs are expensed as incurred and are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not incurred in connection with customer requirements, are generally expensed when incurred.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Costs of issuing debt generally are deferred and amortized utilizing the effective interest method, with amortization included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of amounts capitalized </w:t>
      </w:r>
      <w:r>
        <w:rPr>
          <w:rFonts w:ascii="Arial" w:cs="Arial" w:eastAsia="Arial" w:hAnsi="Arial"/>
          <w:sz w:val="18"/>
          <w:szCs w:val="18"/>
          <w:color w:val="auto"/>
        </w:rPr>
        <w:t>in the Consolidated Statements of Operations. We report unamortized debt issuance costs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the related long-term debt in the Consolidated Balance Sheets.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as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Consolidated Statements of Comprehensive Income (Loss). Except in certain uncommon circumstances, we have not recorded deferred income taxes related to our foreign currency translation adjustments.</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Gains and losses resulting from the re-measurement of transactions denominated in foreign currencies are recognized in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gains (losses), net </w:t>
      </w:r>
      <w:r>
        <w:rPr>
          <w:rFonts w:ascii="Arial" w:cs="Arial" w:eastAsia="Arial" w:hAnsi="Arial"/>
          <w:sz w:val="18"/>
          <w:szCs w:val="18"/>
          <w:color w:val="auto"/>
        </w:rPr>
        <w:t>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provision or benefit for income taxes currently payable or receivable and for income tax amounts deferred to future periods. Deferred tax assets and liabilities reflect the effects of tax losses, credits, and the future income tax effects of temporary differences between U.S. GAAP carrying amounts of existing assets and liabilities and their respective tax bases and are measured using enacted tax rates that apply to taxable income in the years in which those temporary differences are expected to be recovered or settled.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the Consolidated Balance Sheets.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and tax credit carryforwards. We adjust our estimates periodically based on ongoing examinations by, and settlements with, various taxing authorities, as well as changes in tax laws, regulations and precedent. 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 We classify interest and penalties, if any, associated with our unrecognized tax benefits as a component of income tax provision or benefit.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Accounting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inception of a contract, we assess whether the contract is, or contains, a lease. The assessment is based on (i) whether the contract involves the use of a distinct identified asset, (ii) whether we obtain the right to substantially all the economic benefit from the use of the asset throughout the period, and (iii) whether we have the right to direct the use of the asset. Our operating leases consist primarily of leases for office space, data centers and satellite-related ground infrastructure.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 Our finance leases consist primarily of leases for satellite capacity.</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and we recognize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lease expense for these leases as incurred over the lease term.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ROU asset is initially measured at cost, which primarily comprises the initial amount of the lease liability, plus any prepayments to the lessor and initial direct costs such as brokerage commissions, less any lease incentives received. The lease liability is initially measured at the present value of the minimum lease payments, discounted using an estimate of our incremental borrowing rate for a collateralized loan with the same term as the underlying lease. The incremental borrowing rates used for the initial measurement of lease liabilities are based on the original lease terms. In determining our incremental borrowing rate, we consider the lease term, secured incremental borrowing rate, and for leases denominated in a currency different than U.S. dollar, the collateralized borrowing rate in the foreign currency using the U.S. dollar and foreign currency swap spread, when available.</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report operating lease ROU assets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in </w:t>
      </w:r>
      <w:r>
        <w:rPr>
          <w:rFonts w:ascii="Arial" w:cs="Arial" w:eastAsia="Arial" w:hAnsi="Arial"/>
          <w:sz w:val="18"/>
          <w:szCs w:val="18"/>
          <w:i w:val="1"/>
          <w:iCs w:val="1"/>
          <w:color w:val="auto"/>
        </w:rPr>
        <w:t>Accrued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Operating lease liabilities</w:t>
      </w:r>
      <w:r>
        <w:rPr>
          <w:rFonts w:ascii="Arial" w:cs="Arial" w:eastAsia="Arial" w:hAnsi="Arial"/>
          <w:sz w:val="18"/>
          <w:szCs w:val="18"/>
          <w:color w:val="auto"/>
        </w:rPr>
        <w:t>. We report finance lease ROU assets in</w:t>
      </w:r>
      <w:r>
        <w:rPr>
          <w:rFonts w:ascii="Arial" w:cs="Arial" w:eastAsia="Arial" w:hAnsi="Arial"/>
          <w:sz w:val="18"/>
          <w:szCs w:val="18"/>
          <w:i w:val="1"/>
          <w:iCs w:val="1"/>
          <w:color w:val="auto"/>
        </w:rPr>
        <w:t xml:space="preserve"> Property and equipment, net </w:t>
      </w:r>
      <w:r>
        <w:rPr>
          <w:rFonts w:ascii="Arial" w:cs="Arial" w:eastAsia="Arial" w:hAnsi="Arial"/>
          <w:sz w:val="18"/>
          <w:szCs w:val="18"/>
          <w:color w:val="auto"/>
        </w:rPr>
        <w:t>and finance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liabilities in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present basic and diluted earnings or losses per share (“EPS”) for our Class A and Class B common stock. Basic EPS for our Class A and Class B common stock excludes potential dilution and is computed by dividing </w:t>
      </w:r>
      <w:r>
        <w:rPr>
          <w:rFonts w:ascii="Arial" w:cs="Arial" w:eastAsia="Arial" w:hAnsi="Arial"/>
          <w:sz w:val="18"/>
          <w:szCs w:val="18"/>
          <w:i w:val="1"/>
          <w:iCs w:val="1"/>
          <w:color w:val="auto"/>
        </w:rPr>
        <w:t>Net income (loss) attributable to EchoStar 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by the weighted-average number of common shares outstanding for the period. Diluted EPS reflects the potential dilution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occur if shares of common stock were issued pursuant to our stock-based compensation awards. The potential dilution from common stock awards is computed using the treasury stock method based on the average market value of our Class A common stock during the period. The calculation of our diluted weighted-average common shares outstanding excluded options to purchase shares of our Class A common stock, the effect of which would be anti-dilutive.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amounts reclassified to net income (loss) related to unrealized gain (loss) on available-for-sale securities in are included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investments, net </w:t>
      </w:r>
      <w:r>
        <w:rPr>
          <w:rFonts w:ascii="Arial" w:cs="Arial" w:eastAsia="Arial" w:hAnsi="Arial"/>
          <w:sz w:val="18"/>
          <w:szCs w:val="18"/>
          <w:color w:val="auto"/>
        </w:rPr>
        <w:t>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all liquid investments purchased with an original maturity of less than 90 days to be cash equivalents. Cash equivalents as of December 31, 2021 and 2020 primarily consisted of commercial paper, government bonds, corporate notes and money market funds. The amortized cost of these investments approximates their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commercial paper portfolio includes instruments issued by individual corporations, primarily in the industrial, financial services and utilities industries. Our other debt securities portfolio includes investments in various debt instruments, including U.S. government bonds and mutual funds. We consider all liquid investments purchased with an original maturity of 90 days or less to be cash equivalents.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account for our debt securities as available-for-sale or using the fair value option based on our investment strategy for the securities. For available-for-sale debt securities, we recognize periodic changes in the difference between fair value and amortized cost in </w:t>
      </w:r>
      <w:r>
        <w:rPr>
          <w:rFonts w:ascii="Arial" w:cs="Arial" w:eastAsia="Arial" w:hAnsi="Arial"/>
          <w:sz w:val="18"/>
          <w:szCs w:val="18"/>
          <w:i w:val="1"/>
          <w:iCs w:val="1"/>
          <w:color w:val="auto"/>
        </w:rPr>
        <w:t>Unrealized 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available-for-sale securities </w:t>
      </w:r>
      <w:r>
        <w:rPr>
          <w:rFonts w:ascii="Arial" w:cs="Arial" w:eastAsia="Arial" w:hAnsi="Arial"/>
          <w:sz w:val="18"/>
          <w:szCs w:val="18"/>
          <w:color w:val="auto"/>
        </w:rPr>
        <w:t>in the Consolidated Statements of Comprehensive Income (Loss). Gains and losses realized upon</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available-for-sale debt securities are reclassified from other comprehensive income (loss) and recognized on the trade date 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Gains (losses) on investments, net </w:t>
      </w:r>
      <w:r>
        <w:rPr>
          <w:rFonts w:ascii="Arial" w:cs="Arial" w:eastAsia="Arial" w:hAnsi="Arial"/>
          <w:sz w:val="18"/>
          <w:szCs w:val="18"/>
          <w:color w:val="auto"/>
        </w:rPr>
        <w:t>in the Consolidated Statements of Operations. We use the first-in, first-out (“FIFO”) method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cost basis on sales of available-for-sale debt securities. Interest income from available-for-sale debt securities is reported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net </w:t>
      </w:r>
      <w:r>
        <w:rPr>
          <w:rFonts w:ascii="Arial" w:cs="Arial" w:eastAsia="Arial" w:hAnsi="Arial"/>
          <w:sz w:val="18"/>
          <w:szCs w:val="18"/>
          <w:color w:val="auto"/>
        </w:rPr>
        <w:t>in the Consolidated Statements of Operations.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periodically evaluate our available-for-sale debt securities portfolio to determine whether any declines in the fair value of these securities are other-than-temporary. Our evaluation considers, among other things, (i) the length of time and extent to which the fair value of such security has been lower than amortized cost, (ii) market and company-specific factors related to the security and (iii) our intent and ability to hold the investment to maturity or when it recovers its value. We generally consider a decline to be other-than-temporary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other-than-temporary are reclassified from other comprehensive income (loss) and recognized in </w:t>
      </w:r>
      <w:r>
        <w:rPr>
          <w:rFonts w:ascii="Arial" w:cs="Arial" w:eastAsia="Arial" w:hAnsi="Arial"/>
          <w:sz w:val="16"/>
          <w:szCs w:val="16"/>
          <w:i w:val="1"/>
          <w:iCs w:val="1"/>
          <w:color w:val="auto"/>
        </w:rPr>
        <w:t>Net income (loss)</w:t>
      </w:r>
      <w:r>
        <w:rPr>
          <w:rFonts w:ascii="Arial" w:cs="Arial" w:eastAsia="Arial" w:hAnsi="Arial"/>
          <w:sz w:val="18"/>
          <w:szCs w:val="18"/>
          <w:color w:val="auto"/>
        </w:rPr>
        <w:t xml:space="preserve"> in the Consolidated Statements of Operations, thus establishing a new cost basis for the investment.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From time to time we make strategic investments in marketable corporate debt securities. Generally, we elect to account for these debt securities using the fair value option because it results in consistency in accounting for unrealized gains and losses for all securities in our portfolio of strategic investments. When we elect the fair value option for investments in debt securities, we recognize periodic changes in fair value of these securities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 Interest income from these securities is reported in </w:t>
      </w:r>
      <w:r>
        <w:rPr>
          <w:rFonts w:ascii="Arial" w:cs="Arial" w:eastAsia="Arial" w:hAnsi="Arial"/>
          <w:sz w:val="18"/>
          <w:szCs w:val="18"/>
          <w:i w:val="1"/>
          <w:iCs w:val="1"/>
          <w:color w:val="auto"/>
        </w:rPr>
        <w:t>Interest income, net</w:t>
      </w:r>
      <w:r>
        <w:rPr>
          <w:rFonts w:ascii="Arial" w:cs="Arial" w:eastAsia="Arial" w:hAnsi="Arial"/>
          <w:sz w:val="18"/>
          <w:szCs w:val="18"/>
          <w:color w:val="auto"/>
        </w:rPr>
        <w:t xml:space="preserve"> in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account for our equity securities with readily determinable fair values at fair value and recognize periodic changes in the fair value in </w:t>
      </w:r>
      <w:r>
        <w:rPr>
          <w:rFonts w:ascii="Arial" w:cs="Arial" w:eastAsia="Arial" w:hAnsi="Arial"/>
          <w:sz w:val="18"/>
          <w:szCs w:val="18"/>
          <w:i w:val="1"/>
          <w:iCs w:val="1"/>
          <w:color w:val="auto"/>
        </w:rPr>
        <w:t xml:space="preserve">Gains (losses) on investments, net </w:t>
      </w:r>
      <w:r>
        <w:rPr>
          <w:rFonts w:ascii="Arial" w:cs="Arial" w:eastAsia="Arial" w:hAnsi="Arial"/>
          <w:sz w:val="18"/>
          <w:szCs w:val="18"/>
          <w:color w:val="auto"/>
        </w:rPr>
        <w:t>in the Consolidated Statements of Operations. We recognize dividend income on equity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ex-dividend date and report such income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Marketable Investment Securities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Restricted marketable investment securities that are pledged as collateral for our letters of credit and surety bonds are included in </w:t>
      </w:r>
      <w:r>
        <w:rPr>
          <w:rFonts w:ascii="Arial" w:cs="Arial" w:eastAsia="Arial" w:hAnsi="Arial"/>
          <w:sz w:val="18"/>
          <w:szCs w:val="18"/>
          <w:i w:val="1"/>
          <w:iCs w:val="1"/>
          <w:color w:val="auto"/>
        </w:rPr>
        <w:t xml:space="preserve">Other non-current assets, net </w:t>
      </w:r>
      <w:r>
        <w:rPr>
          <w:rFonts w:ascii="Arial" w:cs="Arial" w:eastAsia="Arial" w:hAnsi="Arial"/>
          <w:sz w:val="18"/>
          <w:szCs w:val="18"/>
          <w:color w:val="auto"/>
        </w:rPr>
        <w:t>in the Consolidated Balance Sheets. Restricted marketable securities are accounted for in the same manner as</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that are not restricted, but are presented differently in the Consolidated Balance Sheets due to the restrictions.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collectability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Contract assets represent revenue that we have recognized in advance of billing the customer and are included in </w:t>
      </w:r>
      <w:r>
        <w:rPr>
          <w:rFonts w:ascii="Arial" w:cs="Arial" w:eastAsia="Arial" w:hAnsi="Arial"/>
          <w:sz w:val="18"/>
          <w:szCs w:val="18"/>
          <w:i w:val="1"/>
          <w:iCs w:val="1"/>
          <w:color w:val="auto"/>
        </w:rPr>
        <w:t>Trade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contract assets, net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the Consolidated Balance Sheets based on the expected timing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Our contract assets typically relate to our long-term contracts where we recognize revenue using the cost-based input method and the revenue recognized exceeds the amount billed to the customer. Our contract assets also include receivables related to sales-type leases recognized over the lease term as the customer is billed.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 and related amortization expense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Inventory is stated at the lower of cost or net realizable value. Cost of inventory is determined using the FIFO method and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the Consolidated Statements of Operations when we determine that the cost of inventory and commitments to purchase inventory exceed net realizable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Satellites are stated at cost, less accumulated depreciation. Depreciation is recorded on a straight-line basis over their estimated useful lives. The cost of our satellites includes construction costs, including the present value of in-orbit incentives payable to the satellite manufacturer, launch costs, capitalized interest and related insurance premiums. We depreciate our owned satellites on a straight-line basis over the estimated useful life of each satellite.</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satellites acquired under finance leases. The recorded costs of those satellites are the present values of all lease payments. We amortize our finance lease ROU satellites over their respective lease terms.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value may not be recoverable. Certain anomalies may be considered a significant adverse change in the physical condition of a particular satellite. However, based on redundancies designed within each satellite, certain of these anomalies may not be considered to be significant events requiring a test of recoverability.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do not carry in-orbit insurance on our satellites and payloads because we have assessed that the cost of insurance is not economical relative to the risk of failures. Therefore, we generally bear the risk of any in-orbit failures. However, we may be required to carry insurance on specific satellites and payloads per the terms of certain agreements. We will continue to assess circumstances going forward and make insurance-related decisions on a case-by-case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and Equipment</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property and equipment are stated at cost, less accumulated depreciation. Depreciation is recorded on a straight-line basis over their estimated useful lives. Other property and equipment includes: land; buildings and improvements; furniture, fixtures, equipment and internal-use software; customer premises equipment; and construction in process. Costs related to the procurement and development of software for internal-use are capitalized and amortized using the straight-line method over the estimated useful life of the software, not in excess of five years. Repair and maintenance costs are charged to expense when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test goodwill for impairment annually in our second fiscal quarter, or more frequently if indicators of impairment may exist. All of our goodwill is assigned to our Hughes segment, as it was generated through the acquisition of Hughes Communications, Inc. (“Hughes Communications”) and its subsidiaries in 2011 (the “Hughes Acquisition”), and the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qualitative factors to assess if it is more likely than not that the fair value for goodwill is below the carrying amount. We may also elect to bypass the qualitative assessment and perform a quantitative assessment. In conducting a qualitative assessment, we analyze a variety of events or factors that may influence the fair value of the reporting unit. There has been no impairment to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 Lived</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regulatory authorizations that are not related to the Federal Communications Commission (“FCC”) and have determined that they have finite lives due to uncertainties about the ability to extend or renew their terms.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Finite lived regulatory authorizations are amortized over their estimated useful lives on a straight-line basis. Renewal costs are usually capitalized when they are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Lived</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indefinite lived regulatory authorizations that primarily consist of FCC authorizations and certain other contractual or regulatory rights to use spectrum at specified orbital locations. We have determined that our FCC authorizations generally have indefinite useful lives based on the following:</w:t>
      </w:r>
    </w:p>
    <w:p>
      <w:pPr>
        <w:spacing w:after="0" w:line="20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FCC authorizations are non-depleting assets;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Renewal satellite applications generally are authorized by the FCC subject to certain conditions, without substantial cost under a stable regulatory, legislative and legal environment;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Expenditures required to maintain the authorization are not significant;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intend to use these authorizations indefinitely.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maintain or renew indefinite-lived regulatory authorizations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other intangible assets consist of customer relationships, patents, trademarks and licenses which are amortized using the straight-line method over their estimated useful lives. We evaluate the recoverability of intangible assets periodically by taking into account events or circumstances that indicate that the carrying amount of the assets may not be recoverable.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w:t>
      </w:r>
      <w:r>
        <w:rPr>
          <w:rFonts w:ascii="Arial" w:cs="Arial" w:eastAsia="Arial" w:hAnsi="Arial"/>
          <w:sz w:val="18"/>
          <w:szCs w:val="18"/>
          <w:i w:val="1"/>
          <w:iCs w:val="1"/>
          <w:color w:val="auto"/>
        </w:rPr>
        <w:t>Equity in earnings (losses) of unconsolidated affiliates, net</w:t>
      </w:r>
      <w:r>
        <w:rPr>
          <w:rFonts w:ascii="Arial" w:cs="Arial" w:eastAsia="Arial" w:hAnsi="Arial"/>
          <w:sz w:val="18"/>
          <w:szCs w:val="18"/>
          <w:color w:val="auto"/>
        </w:rPr>
        <w:t xml:space="preserve"> in the Consolidated Statements of Operations. During the fourth quarter of 2019, we changed our accounting policy to record our share of the net earnings or losses of these affiliates on a three-month lag. This change was immaterial to these Consolidated Financial Statements. Additionally, the carrying amount of such investments includes a component of goodwill when the cost of our investment exceeds the fair value of the underlying identifiable assets and liabilities of the affiliate. Lastly, dividends received from these affiliates reduces the carrying amount of our investment.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Investments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generally record our investments in non-publicly traded debt instruments without a readily determinable fair value at amortized cost. We recognize any discounts over the term of the loan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in the Consolidated Statements of Operations. In addition, some of our debt instruments have interest income that is paid-in-kind, which is added to the principal balance to determine the then current interest income. When we adjust the carrying amount of an investment, the gain or loss is recorded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Considerations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Indicators of impairment may include, but are not limited to, unprofitable operations, material loss contingencies, changes in business strategy, changes in market trends or market conditions, changes in the investees’ enterprise value and changes in the investees’ investment pricing. When we determine that one of our other investments is impaired we reduce its carrying value to its estimated fair value and recognize the impairment loss in </w:t>
      </w:r>
      <w:r>
        <w:rPr>
          <w:rFonts w:ascii="Arial" w:cs="Arial" w:eastAsia="Arial" w:hAnsi="Arial"/>
          <w:sz w:val="18"/>
          <w:szCs w:val="18"/>
          <w:i w:val="1"/>
          <w:iCs w:val="1"/>
          <w:color w:val="auto"/>
        </w:rPr>
        <w:t>Other-than-temporary impairment losses on equity method investments</w:t>
      </w:r>
      <w:r>
        <w:rPr>
          <w:rFonts w:ascii="Arial" w:cs="Arial" w:eastAsia="Arial" w:hAnsi="Arial"/>
          <w:sz w:val="18"/>
          <w:szCs w:val="18"/>
          <w:color w:val="auto"/>
        </w:rPr>
        <w:t xml:space="preserve"> or </w:t>
      </w:r>
      <w:r>
        <w:rPr>
          <w:rFonts w:ascii="Arial" w:cs="Arial" w:eastAsia="Arial" w:hAnsi="Arial"/>
          <w:sz w:val="18"/>
          <w:szCs w:val="18"/>
          <w:i w:val="1"/>
          <w:iCs w:val="1"/>
          <w:color w:val="auto"/>
        </w:rPr>
        <w:t>Gains (losses) on 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Contract liabilities consist of advance payments and billings in excess of revenue recognized under customer contracts and are included in </w:t>
      </w: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liabilities </w:t>
      </w:r>
      <w:r>
        <w:rPr>
          <w:rFonts w:ascii="Arial" w:cs="Arial" w:eastAsia="Arial" w:hAnsi="Arial"/>
          <w:sz w:val="18"/>
          <w:szCs w:val="18"/>
          <w:color w:val="auto"/>
        </w:rPr>
        <w:t>in the Consolidated Balance Sheets based on the timing of when we expect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We recognize contract liabilities as revenue after all revenue recognition criteria have been met.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Prior Period Consolidated Financial Statements</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2021, the Company identified an error relating to its presentation of </w:t>
      </w:r>
      <w:r>
        <w:rPr>
          <w:rFonts w:ascii="Arial" w:cs="Arial" w:eastAsia="Arial" w:hAnsi="Arial"/>
          <w:sz w:val="18"/>
          <w:szCs w:val="18"/>
          <w:i w:val="1"/>
          <w:iCs w:val="1"/>
          <w:color w:val="auto"/>
        </w:rPr>
        <w:t>Comprehensive income (loss) attributable to non-controlling interests</w:t>
      </w:r>
      <w:r>
        <w:rPr>
          <w:rFonts w:ascii="Arial" w:cs="Arial" w:eastAsia="Arial" w:hAnsi="Arial"/>
          <w:sz w:val="18"/>
          <w:szCs w:val="18"/>
          <w:color w:val="auto"/>
        </w:rPr>
        <w:t xml:space="preserve"> and the calculation of </w:t>
      </w:r>
      <w:r>
        <w:rPr>
          <w:rFonts w:ascii="Arial" w:cs="Arial" w:eastAsia="Arial" w:hAnsi="Arial"/>
          <w:sz w:val="18"/>
          <w:szCs w:val="18"/>
          <w:i w:val="1"/>
          <w:iCs w:val="1"/>
          <w:color w:val="auto"/>
        </w:rPr>
        <w:t>Comprehensive income (loss) attributable to EchoStar Corporation</w:t>
      </w:r>
      <w:r>
        <w:rPr>
          <w:rFonts w:ascii="Arial" w:cs="Arial" w:eastAsia="Arial" w:hAnsi="Arial"/>
          <w:sz w:val="18"/>
          <w:szCs w:val="18"/>
          <w:color w:val="auto"/>
        </w:rPr>
        <w:t xml:space="preserve"> as of December 31, 2020 through the quarter ended June 30, 2021. The impact of the adjustment is included in this 2021 Form 10-K and is summarized below.</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considered both the quantitative and qualitative factors within the provisions of SEC Staff Accounting Bulletin No. 99, Materiality, and Staff Accounting Bulletin No. 108, Considering the Effect of Prior Year Misstatements when Quantifying Misstatements in Current Year Financial Statements. Based on an evaluation of the misstatement, the Company concluded the prior period errors were immaterial to the previously issued consolidated financial statements. The Company elected to correct the identified error in the prior period within the current Consolidated Financial Statements. Future filings that include prior periods will be corrected, as needed, when filed. The revision had no effect on the Company’s previously reported year ended 2019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tables present the effect of recording the immaterial correction in the Consolidated Statements of Comprehensive Income (Loss) for the year ended December 31, 2020 and for the quarters ended March 31, 2021 and June 30, 2021 to reflect this adjustment: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 2020</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Previously Reported</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Adjustment</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(133,281)</w:t>
            </w:r>
          </w:p>
        </w:tc>
        <w:tc>
          <w:tcPr>
            <w:tcW w:w="0" w:type="dxa"/>
            <w:vAlign w:val="bottom"/>
          </w:tcPr>
          <w:p>
            <w:pPr>
              <w:spacing w:after="0"/>
              <w:rPr>
                <w:sz w:val="1"/>
                <w:szCs w:val="1"/>
                <w:color w:val="auto"/>
              </w:rPr>
            </w:pPr>
          </w:p>
        </w:tc>
      </w:tr>
      <w:tr>
        <w:trPr>
          <w:trHeight w:val="188"/>
        </w:trPr>
        <w:tc>
          <w:tcPr>
            <w:tcW w:w="448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income (loss) attributable to</w:t>
            </w:r>
          </w:p>
        </w:tc>
        <w:tc>
          <w:tcPr>
            <w:tcW w:w="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7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(27,392)</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Comprehensive income (loss) attributable to EchoStar</w:t>
            </w: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(160,673)</w:t>
            </w: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54,784</w:t>
            </w: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(105,889)</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Corporation</w:t>
            </w: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gridSpan w:val="7"/>
          </w:tcPr>
          <w:p>
            <w:pPr>
              <w:jc w:val="right"/>
              <w:ind w:right="1430"/>
              <w:spacing w:after="0"/>
              <w:rPr>
                <w:sz w:val="20"/>
                <w:szCs w:val="20"/>
                <w:color w:val="auto"/>
              </w:rPr>
            </w:pPr>
            <w:r>
              <w:rPr>
                <w:rFonts w:ascii="Arial" w:cs="Arial" w:eastAsia="Arial" w:hAnsi="Arial"/>
                <w:sz w:val="18"/>
                <w:szCs w:val="18"/>
                <w:b w:val="1"/>
                <w:bCs w:val="1"/>
                <w:color w:val="auto"/>
              </w:rPr>
              <w:t>For the three months ended March 31, 2021</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Previously Reported</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Adjustment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0" w:type="dxa"/>
            <w:vAlign w:val="bottom"/>
          </w:tcPr>
          <w:p>
            <w:pPr>
              <w:spacing w:after="0"/>
              <w:rPr>
                <w:sz w:val="1"/>
                <w:szCs w:val="1"/>
                <w:color w:val="auto"/>
              </w:rPr>
            </w:pPr>
          </w:p>
        </w:tc>
      </w:tr>
      <w:tr>
        <w:trPr>
          <w:trHeight w:val="188"/>
        </w:trPr>
        <w:tc>
          <w:tcPr>
            <w:tcW w:w="448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income (loss) attributable to</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Comprehensive income (loss) attributable to EchoStar</w:t>
            </w:r>
          </w:p>
        </w:tc>
        <w:tc>
          <w:tcPr>
            <w:tcW w:w="820" w:type="dxa"/>
            <w:vAlign w:val="bottom"/>
            <w:vMerge w:val="restart"/>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37,805</w:t>
            </w: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Corporation</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gridSpan w:val="7"/>
          </w:tcPr>
          <w:p>
            <w:pPr>
              <w:jc w:val="right"/>
              <w:ind w:right="1490"/>
              <w:spacing w:after="0"/>
              <w:rPr>
                <w:sz w:val="20"/>
                <w:szCs w:val="20"/>
                <w:color w:val="auto"/>
              </w:rPr>
            </w:pPr>
            <w:r>
              <w:rPr>
                <w:rFonts w:ascii="Arial" w:cs="Arial" w:eastAsia="Arial" w:hAnsi="Arial"/>
                <w:sz w:val="18"/>
                <w:szCs w:val="18"/>
                <w:b w:val="1"/>
                <w:bCs w:val="1"/>
                <w:color w:val="auto"/>
              </w:rPr>
              <w:t>For the three months ended June 30, 2021</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Previously Reported</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Adjustment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w:t>
            </w:r>
          </w:p>
        </w:tc>
        <w:tc>
          <w:tcPr>
            <w:tcW w:w="0" w:type="dxa"/>
            <w:vAlign w:val="bottom"/>
          </w:tcPr>
          <w:p>
            <w:pPr>
              <w:spacing w:after="0"/>
              <w:rPr>
                <w:sz w:val="1"/>
                <w:szCs w:val="1"/>
                <w:color w:val="auto"/>
              </w:rPr>
            </w:pPr>
          </w:p>
        </w:tc>
      </w:tr>
      <w:tr>
        <w:trPr>
          <w:trHeight w:val="188"/>
        </w:trPr>
        <w:tc>
          <w:tcPr>
            <w:tcW w:w="448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income (loss) attributable to</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Comprehensive income (loss) attributable to EchoStar</w:t>
            </w:r>
          </w:p>
        </w:tc>
        <w:tc>
          <w:tcPr>
            <w:tcW w:w="820" w:type="dxa"/>
            <w:vAlign w:val="bottom"/>
            <w:vMerge w:val="restart"/>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82,665</w:t>
            </w: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70,545</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Corporation</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six months ended June 30, 2021</w:t>
            </w: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Previously Reported</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Adjustment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120,967</w:t>
            </w:r>
          </w:p>
        </w:tc>
        <w:tc>
          <w:tcPr>
            <w:tcW w:w="0" w:type="dxa"/>
            <w:vAlign w:val="bottom"/>
          </w:tcPr>
          <w:p>
            <w:pPr>
              <w:spacing w:after="0"/>
              <w:rPr>
                <w:sz w:val="1"/>
                <w:szCs w:val="1"/>
                <w:color w:val="auto"/>
              </w:rPr>
            </w:pPr>
          </w:p>
        </w:tc>
      </w:tr>
      <w:tr>
        <w:trPr>
          <w:trHeight w:val="188"/>
        </w:trPr>
        <w:tc>
          <w:tcPr>
            <w:tcW w:w="448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income (loss) attributable to</w:t>
            </w: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Comprehensive income (loss) attributable to EchoStar</w:t>
            </w:r>
          </w:p>
        </w:tc>
        <w:tc>
          <w:tcPr>
            <w:tcW w:w="78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120,470</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121,464</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Corporation</w:t>
            </w: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On January 1, 2021, we adopted Accounting Standards Update (“ASU”) No. 2019-12 - </w:t>
      </w:r>
      <w:r>
        <w:rPr>
          <w:rFonts w:ascii="Arial" w:cs="Arial" w:eastAsia="Arial" w:hAnsi="Arial"/>
          <w:sz w:val="18"/>
          <w:szCs w:val="18"/>
          <w:i w:val="1"/>
          <w:iCs w:val="1"/>
          <w:color w:val="auto"/>
        </w:rPr>
        <w:t>Income Taxes (Topic 740): Simplifying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Financial Accounting Standards Board (“FASB”) overall simplification initiative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seeks to simplify the accounting for income taxes by updating certain guidance and removing certain exceptions. Our adoption of this ASU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2020, we adopted ASU No. 2016-13 -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 amended, and codified in Accounting Standards Codification Topic 326 (“ASC 326”). ASC 326 introduces a new approach to the periodic estimation of credit losses for certain financial assets based on expected losses instead of incurred losses. It also modifies the impairment model for available-for-sale debt securities and provides a simplified accounting model for purchased financial assets that have experienced credit deterioration since their original purchase. We have elected to apply the requirements of the new standard prospectively and we recognized a cumulative effect of adoption of $ 9.1 million to </w:t>
      </w:r>
      <w:r>
        <w:rPr>
          <w:rFonts w:ascii="Arial" w:cs="Arial" w:eastAsia="Arial" w:hAnsi="Arial"/>
          <w:sz w:val="18"/>
          <w:szCs w:val="18"/>
          <w:i w:val="1"/>
          <w:iCs w:val="1"/>
          <w:color w:val="auto"/>
        </w:rPr>
        <w:t>Accumulated earnings (losses)</w:t>
      </w:r>
      <w:r>
        <w:rPr>
          <w:rFonts w:ascii="Arial" w:cs="Arial" w:eastAsia="Arial" w:hAnsi="Arial"/>
          <w:sz w:val="18"/>
          <w:szCs w:val="18"/>
          <w:color w:val="auto"/>
        </w:rPr>
        <w:t xml:space="preserve"> as of January 1, 2020. Based on this election, we did not restate our comparative Consolidated Financial Statements and they continue to be reported under the accounting standards in effect for the periods before January 1, 2020.</w:t>
      </w:r>
    </w:p>
    <w:p>
      <w:pPr>
        <w:spacing w:after="0" w:line="2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describes the accounting impacts, by major balance sheet line item, of our adoption of this new standard based on the relevant types of losses that we and our equity method investees may be subject to:</w:t>
      </w:r>
    </w:p>
    <w:p>
      <w:pPr>
        <w:spacing w:after="0" w:line="203" w:lineRule="exact"/>
        <w:rPr>
          <w:sz w:val="20"/>
          <w:szCs w:val="20"/>
          <w:color w:val="auto"/>
        </w:rPr>
      </w:pPr>
    </w:p>
    <w:p>
      <w:pPr>
        <w:jc w:val="both"/>
        <w:ind w:left="660" w:hanging="328"/>
        <w:spacing w:after="0" w:line="257" w:lineRule="auto"/>
        <w:tabs>
          <w:tab w:leader="none" w:pos="655"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and Contract Assets, Net </w:t>
      </w:r>
      <w:r>
        <w:rPr>
          <w:rFonts w:ascii="Arial" w:cs="Arial" w:eastAsia="Arial" w:hAnsi="Arial"/>
          <w:sz w:val="18"/>
          <w:szCs w:val="18"/>
          <w:color w:val="auto"/>
        </w:rPr>
        <w:t>— Our trade accounts receivables and contract assets consist of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from both our consumer and enterprise customers. Our receivables and related credit losses for our consumer customers are limited due to policies that require advance payment for services, predominant use of credit card and ACH payment processes, and our ability to promptly terminate service when timely payments are not received. However, for our enterprise customers, we estimate expected credit losses on a collective basis based on our historical loss experience, as adjusted to reflect changes in relevant factors, such as macroeconomic conditions and customer mix, that can significantly impact collectability.</w:t>
      </w:r>
    </w:p>
    <w:p>
      <w:pPr>
        <w:spacing w:after="0" w:line="231" w:lineRule="exact"/>
        <w:rPr>
          <w:rFonts w:ascii="Arial" w:cs="Arial" w:eastAsia="Arial" w:hAnsi="Arial"/>
          <w:sz w:val="18"/>
          <w:szCs w:val="18"/>
          <w:b w:val="1"/>
          <w:bCs w:val="1"/>
          <w:i w:val="1"/>
          <w:iCs w:val="1"/>
          <w:color w:val="auto"/>
        </w:rPr>
      </w:pPr>
    </w:p>
    <w:p>
      <w:pPr>
        <w:jc w:val="both"/>
        <w:ind w:left="66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apply our collective estimation processes separately to several pools of receivables that share common risk characteristics, generally based on the customers’ geographical location. Customers with significant past-due balances or other atypical characteristics are excluded from our collective analysis and evaluated on a case-by-case basis. Our estimates of expected credit losses for such receivables reflect significant judgments that consider customer-specific matters such as the customer’s financial condition, payment history, and recent developments in the customer’s business and industry. Due to the short-term nature of our trade receivables and contract assets, forecasts about the future have limited relevance to our expected credit loss estimates.</w:t>
      </w:r>
    </w:p>
    <w:p>
      <w:pPr>
        <w:spacing w:after="0" w:line="217"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customer related estimated credit losses as a component of our bad debt expense as reported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p>
    <w:p>
      <w:pPr>
        <w:spacing w:after="0" w:line="184"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Other Non-current Assets, Net </w:t>
      </w:r>
      <w:r>
        <w:rPr>
          <w:rFonts w:ascii="Arial" w:cs="Arial" w:eastAsia="Arial" w:hAnsi="Arial"/>
          <w:sz w:val="18"/>
          <w:szCs w:val="18"/>
          <w:color w:val="auto"/>
        </w:rPr>
        <w:t>— We estimate expected credit losses for receivables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terms longer than one year separately by borrower, due to the unique risk characteristics of such receivables.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non-current receivables are from entities in the telecommunications industry. The collection of contractual principal and interest on these receivables is highly dependent on the future business operations of those entities. Our estimation of expected credit losses for such receivables requires significant judgment about matters specific to the borrower and their industry. Accordingly, our actual collection experience may differ from the assumptions reflected in our expected credit loss estimates.</w:t>
      </w:r>
    </w:p>
    <w:p>
      <w:pPr>
        <w:spacing w:after="0" w:line="215"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estimated credit losses as a component of our bad debt expense as reported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hanging="328"/>
        <w:spacing w:after="0" w:line="255" w:lineRule="auto"/>
        <w:tabs>
          <w:tab w:leader="none" w:pos="655"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Investments, Net </w:t>
      </w:r>
      <w:r>
        <w:rPr>
          <w:rFonts w:ascii="Arial" w:cs="Arial" w:eastAsia="Arial" w:hAnsi="Arial"/>
          <w:sz w:val="18"/>
          <w:szCs w:val="18"/>
          <w:color w:val="auto"/>
        </w:rPr>
        <w:t>— We estimate expected credit losses on our other debt investments with payment terms longer than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separately by debtor, due to the unique risk characteristics of such debt investments.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debt investments are with entities in the telecommunications industry. The collection of contractual principal and interest on these debt investments are highly dependent on the future business operations of those entities. Our estimation of expected credit losses for such debt investments require significant judgment about matters specific to the debtor and their industry. Accordingly, our actual collection experience may differ from the assumptions reflected in our expected credit loss estimates.</w:t>
      </w:r>
    </w:p>
    <w:p>
      <w:pPr>
        <w:spacing w:after="0" w:line="21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other debt investments related estimated credit losses as a reduction of </w:t>
      </w:r>
      <w:r>
        <w:rPr>
          <w:rFonts w:ascii="Arial" w:cs="Arial" w:eastAsia="Arial" w:hAnsi="Arial"/>
          <w:sz w:val="18"/>
          <w:szCs w:val="18"/>
          <w:i w:val="1"/>
          <w:iCs w:val="1"/>
          <w:color w:val="auto"/>
        </w:rPr>
        <w:t>Interest income, net.</w:t>
      </w:r>
    </w:p>
    <w:p>
      <w:pPr>
        <w:spacing w:after="0" w:line="2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The following table presents our adoption of this new standard resulting in adjustments to our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effective January 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7"/>
                <w:szCs w:val="17"/>
                <w:color w:val="auto"/>
              </w:rPr>
            </w:pPr>
          </w:p>
        </w:tc>
        <w:tc>
          <w:tcPr>
            <w:tcW w:w="21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Adoption of ASC 326</w:t>
            </w: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January 1, 2020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Increase (Decrease)</w:t>
            </w:r>
          </w:p>
        </w:tc>
        <w:tc>
          <w:tcPr>
            <w:tcW w:w="2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and contract assets,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182,957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Other current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179,531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6,723</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186,254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334,841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338,891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7,154,298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351,692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350,720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 (losses)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623,741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75,748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75,508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3,745,553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3,736,245</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7,154,298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7,144,018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application of ASC 326 requirements did not materially affect our Consolidated Statements of Operations 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Accounting for Contract Assets and Contract Liabilities from Contracts with Customers,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2023. Early adoption is permitted. The ASU is applied to business combinations occurring on or after the effective date.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w:t>
      </w:r>
      <w:r>
        <w:rPr>
          <w:rFonts w:ascii="Arial" w:cs="Arial" w:eastAsia="Arial" w:hAnsi="Arial"/>
          <w:sz w:val="18"/>
          <w:szCs w:val="18"/>
          <w:color w:val="auto"/>
        </w:rPr>
        <w:t>: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The ASU is effective for the Company for fiscal years beginning after December 15, 2021. We are evaluating the impact of adopting this new guidance and do not expect it to have a material impact on our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154,676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149,513</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trade accounts receivable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160,344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154,067</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45,308</w:t>
            </w:r>
          </w:p>
        </w:tc>
      </w:tr>
      <w:tr>
        <w:trPr>
          <w:trHeight w:val="22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trade accounts receivable and contract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141,343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104,569</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contract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115,088</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revenue recognized in the Consolidated Statements of Operations that was previously included within contract liabilities: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allowance for doubtful accounts: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w:t>
            </w:r>
          </w:p>
        </w:tc>
      </w:tr>
      <w:tr>
        <w:trPr>
          <w:trHeight w:val="229"/>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30,027</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Deductions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(21,832)</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firstLine="8"/>
        <w:spacing w:after="0" w:line="279" w:lineRule="auto"/>
        <w:tabs>
          <w:tab w:leader="none" w:pos="154" w:val="left"/>
        </w:tabs>
        <w:numPr>
          <w:ilvl w:val="0"/>
          <w:numId w:val="45"/>
        </w:numPr>
        <w:rPr>
          <w:rFonts w:ascii="Arial" w:cs="Arial" w:eastAsia="Arial" w:hAnsi="Arial"/>
          <w:sz w:val="9"/>
          <w:szCs w:val="9"/>
          <w:color w:val="auto"/>
        </w:rPr>
      </w:pPr>
      <w:r>
        <w:rPr>
          <w:rFonts w:ascii="Arial" w:cs="Arial" w:eastAsia="Arial" w:hAnsi="Arial"/>
          <w:sz w:val="14"/>
          <w:szCs w:val="14"/>
          <w:color w:val="auto"/>
        </w:rPr>
        <w:t xml:space="preserve">The impact of adopting ASC 326 on January 1, 2020 was a net decrease to our allowance for doubtful accounts largely driven by a $13.4 million reclassification to </w:t>
      </w:r>
      <w:r>
        <w:rPr>
          <w:rFonts w:ascii="Arial" w:cs="Arial" w:eastAsia="Arial" w:hAnsi="Arial"/>
          <w:sz w:val="14"/>
          <w:szCs w:val="14"/>
          <w:i w:val="1"/>
          <w:iCs w:val="1"/>
          <w:color w:val="auto"/>
        </w:rPr>
        <w:t>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current assets, net </w:t>
      </w:r>
      <w:r>
        <w:rPr>
          <w:rFonts w:ascii="Arial" w:cs="Arial" w:eastAsia="Arial" w:hAnsi="Arial"/>
          <w:sz w:val="14"/>
          <w:szCs w:val="14"/>
          <w:color w:val="auto"/>
        </w:rPr>
        <w:t>and</w:t>
      </w:r>
      <w:r>
        <w:rPr>
          <w:rFonts w:ascii="Arial" w:cs="Arial" w:eastAsia="Arial" w:hAnsi="Arial"/>
          <w:sz w:val="14"/>
          <w:szCs w:val="14"/>
          <w:i w:val="1"/>
          <w:iCs w:val="1"/>
          <w:color w:val="auto"/>
        </w:rPr>
        <w:t xml:space="preserve"> Other non-current assets, net</w:t>
      </w:r>
      <w:r>
        <w:rPr>
          <w:rFonts w:ascii="Arial" w:cs="Arial" w:eastAsia="Arial" w:hAnsi="Arial"/>
          <w:sz w:val="14"/>
          <w:szCs w:val="14"/>
          <w:color w:val="auto"/>
        </w:rPr>
        <w:t>, offset by a $2.9 million adjustment to</w:t>
      </w:r>
      <w:r>
        <w:rPr>
          <w:rFonts w:ascii="Arial" w:cs="Arial" w:eastAsia="Arial" w:hAnsi="Arial"/>
          <w:sz w:val="14"/>
          <w:szCs w:val="14"/>
          <w:i w:val="1"/>
          <w:iCs w:val="1"/>
          <w:color w:val="auto"/>
        </w:rPr>
        <w:t xml:space="preserve"> Accumulated earnings (losses)</w:t>
      </w:r>
      <w:r>
        <w:rPr>
          <w:rFonts w:ascii="Arial" w:cs="Arial" w:eastAsia="Arial" w:hAnsi="Arial"/>
          <w:sz w:val="14"/>
          <w:szCs w:val="14"/>
          <w:color w:val="auto"/>
        </w:rPr>
        <w: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114,306</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72,503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97,457</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the remaining performance obligations for our customer contracts with original expected durations of more than one year was $914.7 million. We expect to recognize 51% of our remaining performance obligations of these contracts as revenue in the next twelve months.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from customer contracts disaggregated by primary geographic market and by segment: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1,617,229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11,782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1,646,690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176,515</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162,482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162,515</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1,556,961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9,443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1,583,802</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151,426</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152,679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152,679</w:t>
            </w:r>
          </w:p>
        </w:tc>
        <w:tc>
          <w:tcPr>
            <w:tcW w:w="0" w:type="dxa"/>
            <w:vAlign w:val="bottom"/>
          </w:tcPr>
          <w:p>
            <w:pPr>
              <w:spacing w:after="0"/>
              <w:rPr>
                <w:sz w:val="1"/>
                <w:szCs w:val="1"/>
                <w:color w:val="auto"/>
              </w:rPr>
            </w:pPr>
          </w:p>
        </w:tc>
      </w:tr>
      <w:tr>
        <w:trPr>
          <w:trHeight w:val="234"/>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2019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1,527,823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16,526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1,560,606</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125,906</w:t>
            </w: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199,461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199,569</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1,886,081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1,646,778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1,664,430</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50,857</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1,685,799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1,715,287</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108,773</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152,934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152,934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0" w:type="dxa"/>
            <w:vAlign w:val="bottom"/>
          </w:tcPr>
          <w:p>
            <w:pPr>
              <w:spacing w:after="0"/>
              <w:rPr>
                <w:sz w:val="1"/>
                <w:szCs w:val="1"/>
                <w:color w:val="auto"/>
              </w:rPr>
            </w:pPr>
          </w:p>
        </w:tc>
      </w:tr>
      <w:tr>
        <w:trPr>
          <w:trHeight w:val="207"/>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270,427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270,433</w:t>
            </w:r>
          </w:p>
        </w:tc>
        <w:tc>
          <w:tcPr>
            <w:tcW w:w="0" w:type="dxa"/>
            <w:vAlign w:val="bottom"/>
          </w:tcPr>
          <w:p>
            <w:pPr>
              <w:spacing w:after="0"/>
              <w:rPr>
                <w:sz w:val="1"/>
                <w:szCs w:val="1"/>
                <w:color w:val="auto"/>
              </w:rPr>
            </w:pPr>
          </w:p>
        </w:tc>
      </w:tr>
      <w:tr>
        <w:trPr>
          <w:trHeight w:val="234"/>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1,956,226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1,614,730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1,630,146</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52,158</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1,655,233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1,682,304</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110,110</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88,511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88,511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07"/>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205,601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205,603</w:t>
            </w:r>
          </w:p>
        </w:tc>
        <w:tc>
          <w:tcPr>
            <w:tcW w:w="0" w:type="dxa"/>
            <w:vAlign w:val="bottom"/>
          </w:tcPr>
          <w:p>
            <w:pPr>
              <w:spacing w:after="0"/>
              <w:rPr>
                <w:sz w:val="1"/>
                <w:szCs w:val="1"/>
                <w:color w:val="auto"/>
              </w:rPr>
            </w:pPr>
          </w:p>
        </w:tc>
      </w:tr>
      <w:tr>
        <w:trPr>
          <w:trHeight w:val="234"/>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1,860,834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2019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1,535,966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1,552,924</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50,073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66,347</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1,586,039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1,619,271</w:t>
            </w:r>
          </w:p>
        </w:tc>
        <w:tc>
          <w:tcPr>
            <w:tcW w:w="0" w:type="dxa"/>
            <w:vAlign w:val="bottom"/>
          </w:tcPr>
          <w:p>
            <w:pPr>
              <w:spacing w:after="0"/>
              <w:rPr>
                <w:sz w:val="1"/>
                <w:szCs w:val="1"/>
                <w:color w:val="auto"/>
              </w:rPr>
            </w:pPr>
          </w:p>
        </w:tc>
      </w:tr>
      <w:tr>
        <w:trPr>
          <w:trHeight w:val="195"/>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115,159</w:t>
            </w:r>
          </w:p>
        </w:tc>
        <w:tc>
          <w:tcPr>
            <w:tcW w:w="0" w:type="dxa"/>
            <w:vAlign w:val="bottom"/>
          </w:tcPr>
          <w:p>
            <w:pPr>
              <w:spacing w:after="0"/>
              <w:rPr>
                <w:sz w:val="1"/>
                <w:szCs w:val="1"/>
                <w:color w:val="auto"/>
              </w:rPr>
            </w:pPr>
          </w:p>
        </w:tc>
      </w:tr>
      <w:tr>
        <w:trPr>
          <w:trHeight w:val="213"/>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145,646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145,646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07"/>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266,703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266,810</w:t>
            </w:r>
          </w:p>
        </w:tc>
        <w:tc>
          <w:tcPr>
            <w:tcW w:w="0" w:type="dxa"/>
            <w:vAlign w:val="bottom"/>
          </w:tcPr>
          <w:p>
            <w:pPr>
              <w:spacing w:after="0"/>
              <w:rPr>
                <w:sz w:val="1"/>
                <w:szCs w:val="1"/>
                <w:color w:val="auto"/>
              </w:rPr>
            </w:pPr>
          </w:p>
        </w:tc>
      </w:tr>
      <w:tr>
        <w:trPr>
          <w:trHeight w:val="234"/>
        </w:trPr>
        <w:tc>
          <w:tcPr>
            <w:tcW w:w="480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1,852,742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1,886,081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Lease Revenue</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Sales-type lease revenue: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6,005</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sales-type lease revenue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6,789</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revenue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65,563</w:t>
            </w:r>
          </w:p>
        </w:tc>
      </w:tr>
      <w:tr>
        <w:trPr>
          <w:trHeight w:val="223"/>
        </w:trPr>
        <w:tc>
          <w:tcPr>
            <w:tcW w:w="5740" w:type="dxa"/>
            <w:vAlign w:val="bottom"/>
          </w:tcPr>
          <w:p>
            <w:pPr>
              <w:ind w:left="260"/>
              <w:spacing w:after="0"/>
              <w:rPr>
                <w:sz w:val="20"/>
                <w:szCs w:val="20"/>
                <w:color w:val="auto"/>
              </w:rPr>
            </w:pPr>
            <w:r>
              <w:rPr>
                <w:rFonts w:ascii="Arial" w:cs="Arial" w:eastAsia="Arial" w:hAnsi="Arial"/>
                <w:sz w:val="18"/>
                <w:szCs w:val="18"/>
                <w:color w:val="auto"/>
              </w:rPr>
              <w:t>Total lease revenue</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72,352</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$17.1 million and $13.0 million as of December 31, 2021 and 2020,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presents future operating lease payments to be received as of December 31, 2021:</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4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45,269</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w:t>
            </w:r>
          </w:p>
        </w:tc>
      </w:tr>
      <w:tr>
        <w:trPr>
          <w:trHeight w:val="230"/>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30,847</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29,125</w:t>
            </w:r>
          </w:p>
        </w:tc>
      </w:tr>
      <w:tr>
        <w:trPr>
          <w:trHeight w:val="230"/>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28,356</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2027 and beyond</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71,718</w:t>
            </w:r>
          </w:p>
        </w:tc>
      </w:tr>
      <w:tr>
        <w:trPr>
          <w:trHeight w:val="223"/>
        </w:trPr>
        <w:tc>
          <w:tcPr>
            <w:tcW w:w="4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Total lease payments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238,775</w:t>
            </w: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4"/>
                <w:szCs w:val="14"/>
                <w:color w:val="auto"/>
              </w:rPr>
            </w:pPr>
          </w:p>
        </w:tc>
        <w:tc>
          <w:tcPr>
            <w:tcW w:w="14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Depreciation</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Depreciation</w:t>
            </w: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24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Customer premises</w:t>
            </w: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351,924</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66,285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0" w:type="dxa"/>
            <w:vAlign w:val="bottom"/>
          </w:tcPr>
          <w:p>
            <w:pPr>
              <w:spacing w:after="0"/>
              <w:rPr>
                <w:sz w:val="1"/>
                <w:szCs w:val="1"/>
                <w:color w:val="auto"/>
              </w:rPr>
            </w:pPr>
          </w:p>
        </w:tc>
      </w:tr>
      <w:tr>
        <w:trPr>
          <w:trHeight w:val="223"/>
        </w:trPr>
        <w:tc>
          <w:tcPr>
            <w:tcW w:w="224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1,930,956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(1,548,898)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1,769,948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(1,320,558)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449,390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182,523</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238,554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237,996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190,941</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LESSEE ACCOUNTING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amounts for ROU assets and lease liabilities:</w:t>
      </w:r>
    </w:p>
    <w:p>
      <w:pPr>
        <w:spacing w:after="0" w:line="109"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09"/>
        </w:trPr>
        <w:tc>
          <w:tcPr>
            <w:tcW w:w="7940" w:type="dxa"/>
            <w:vAlign w:val="bottom"/>
            <w:shd w:val="clear" w:color="auto" w:fill="CCEEFF"/>
          </w:tcPr>
          <w:p>
            <w:pPr>
              <w:jc w:val="center"/>
              <w:ind w:right="6070"/>
              <w:spacing w:after="0"/>
              <w:rPr>
                <w:sz w:val="20"/>
                <w:szCs w:val="20"/>
                <w:color w:val="auto"/>
              </w:rPr>
            </w:pPr>
            <w:r>
              <w:rPr>
                <w:rFonts w:ascii="Arial" w:cs="Arial" w:eastAsia="Arial" w:hAnsi="Arial"/>
                <w:sz w:val="18"/>
                <w:szCs w:val="18"/>
                <w:b w:val="1"/>
                <w:bCs w:val="1"/>
                <w:color w:val="auto"/>
              </w:rPr>
              <w:t>Right-of-use assets: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149,198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128,303</w:t>
            </w: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278,237</w:t>
            </w: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right-of-use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407,696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406,540</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Lease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Current: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40" w:type="dxa"/>
            <w:vAlign w:val="bottom"/>
          </w:tcPr>
          <w:p>
            <w:pPr>
              <w:ind w:left="440"/>
              <w:spacing w:after="0"/>
              <w:rPr>
                <w:sz w:val="20"/>
                <w:szCs w:val="20"/>
                <w:color w:val="auto"/>
              </w:rPr>
            </w:pPr>
            <w:r>
              <w:rPr>
                <w:rFonts w:ascii="Arial" w:cs="Arial" w:eastAsia="Arial" w:hAnsi="Arial"/>
                <w:sz w:val="18"/>
                <w:szCs w:val="18"/>
                <w:color w:val="auto"/>
              </w:rPr>
              <w:t>Operating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16,781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14,699</w:t>
            </w:r>
          </w:p>
        </w:tc>
      </w:tr>
      <w:tr>
        <w:trPr>
          <w:trHeight w:val="230"/>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15,122</w:t>
            </w:r>
          </w:p>
        </w:tc>
      </w:tr>
      <w:tr>
        <w:trPr>
          <w:trHeight w:val="210"/>
        </w:trPr>
        <w:tc>
          <w:tcPr>
            <w:tcW w:w="7940" w:type="dxa"/>
            <w:vAlign w:val="bottom"/>
            <w:shd w:val="clear" w:color="auto" w:fill="CCEEFF"/>
          </w:tcPr>
          <w:p>
            <w:pPr>
              <w:jc w:val="center"/>
              <w:ind w:right="6050"/>
              <w:spacing w:after="0"/>
              <w:rPr>
                <w:sz w:val="20"/>
                <w:szCs w:val="20"/>
                <w:color w:val="auto"/>
              </w:rPr>
            </w:pPr>
            <w:r>
              <w:rPr>
                <w:rFonts w:ascii="Arial" w:cs="Arial" w:eastAsia="Arial" w:hAnsi="Arial"/>
                <w:sz w:val="18"/>
                <w:szCs w:val="18"/>
                <w:b w:val="1"/>
                <w:bCs w:val="1"/>
                <w:color w:val="auto"/>
                <w:w w:val="99"/>
              </w:rPr>
              <w:t>Non-current: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40" w:type="dxa"/>
            <w:vAlign w:val="bottom"/>
          </w:tcPr>
          <w:p>
            <w:pPr>
              <w:ind w:left="560"/>
              <w:spacing w:after="0"/>
              <w:rPr>
                <w:sz w:val="20"/>
                <w:szCs w:val="20"/>
                <w:color w:val="auto"/>
              </w:rPr>
            </w:pPr>
            <w:r>
              <w:rPr>
                <w:rFonts w:ascii="Arial" w:cs="Arial" w:eastAsia="Arial" w:hAnsi="Arial"/>
                <w:sz w:val="18"/>
                <w:szCs w:val="18"/>
                <w:color w:val="auto"/>
              </w:rPr>
              <w:t>Operating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134,897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114,886</w:t>
            </w:r>
          </w:p>
        </w:tc>
      </w:tr>
      <w:tr>
        <w:trPr>
          <w:trHeight w:val="230"/>
        </w:trPr>
        <w:tc>
          <w:tcPr>
            <w:tcW w:w="7940" w:type="dxa"/>
            <w:vAlign w:val="bottom"/>
            <w:shd w:val="clear" w:color="auto" w:fill="CCEEFF"/>
          </w:tcPr>
          <w:p>
            <w:pPr>
              <w:jc w:val="center"/>
              <w:ind w:right="6090"/>
              <w:spacing w:after="0"/>
              <w:rPr>
                <w:sz w:val="20"/>
                <w:szCs w:val="20"/>
                <w:color w:val="auto"/>
              </w:rPr>
            </w:pPr>
            <w:r>
              <w:rPr>
                <w:rFonts w:ascii="Arial" w:cs="Arial" w:eastAsia="Arial" w:hAnsi="Arial"/>
                <w:sz w:val="18"/>
                <w:szCs w:val="18"/>
                <w:color w:val="auto"/>
                <w:w w:val="99"/>
              </w:rPr>
              <w:t>Finance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794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non-current</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134,897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115,015</w:t>
            </w:r>
          </w:p>
        </w:tc>
      </w:tr>
      <w:tr>
        <w:trPr>
          <w:trHeight w:val="248"/>
        </w:trPr>
        <w:tc>
          <w:tcPr>
            <w:tcW w:w="79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we have prepaid our obligations regarding most of our finance ROU assets. Finance lease assets are reported net of accumulated amortization of $95.7 million and $74.0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components of lease cost and weighted-average lease terms and discount rates for operating and finance leases: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23,379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24,342</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Finance lease cost: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480"/>
              <w:spacing w:after="0"/>
              <w:rPr>
                <w:sz w:val="20"/>
                <w:szCs w:val="20"/>
                <w:color w:val="auto"/>
              </w:rPr>
            </w:pPr>
            <w:r>
              <w:rPr>
                <w:rFonts w:ascii="Arial" w:cs="Arial" w:eastAsia="Arial" w:hAnsi="Arial"/>
                <w:sz w:val="18"/>
                <w:szCs w:val="18"/>
                <w:color w:val="auto"/>
              </w:rPr>
              <w:t>Amortization of right-of-use assets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26,489</w:t>
            </w:r>
          </w:p>
        </w:tc>
      </w:tr>
      <w:tr>
        <w:trPr>
          <w:trHeight w:val="229"/>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on lease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5740" w:type="dxa"/>
            <w:vAlign w:val="bottom"/>
          </w:tcPr>
          <w:p>
            <w:pPr>
              <w:ind w:left="560"/>
              <w:spacing w:after="0"/>
              <w:rPr>
                <w:sz w:val="20"/>
                <w:szCs w:val="20"/>
                <w:color w:val="auto"/>
              </w:rPr>
            </w:pPr>
            <w:r>
              <w:rPr>
                <w:rFonts w:ascii="Arial" w:cs="Arial" w:eastAsia="Arial" w:hAnsi="Arial"/>
                <w:sz w:val="18"/>
                <w:szCs w:val="18"/>
                <w:color w:val="auto"/>
              </w:rPr>
              <w:t>Total finance lease cost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26,662</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Variable lease cost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r>
      <w:tr>
        <w:trPr>
          <w:trHeight w:val="248"/>
        </w:trPr>
        <w:tc>
          <w:tcPr>
            <w:tcW w:w="5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lease cost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spacing w:after="0"/>
              <w:rPr>
                <w:sz w:val="20"/>
                <w:szCs w:val="20"/>
                <w:color w:val="auto"/>
              </w:rPr>
            </w:pPr>
          </w:p>
        </w:tc>
        <w:tc>
          <w:tcPr>
            <w:tcW w:w="352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Weighted-average remaining lease term:</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30"/>
        </w:trPr>
        <w:tc>
          <w:tcPr>
            <w:tcW w:w="7720" w:type="dxa"/>
            <w:vAlign w:val="bottom"/>
          </w:tcPr>
          <w:p>
            <w:pPr>
              <w:ind w:left="440"/>
              <w:spacing w:after="0"/>
              <w:rPr>
                <w:sz w:val="20"/>
                <w:szCs w:val="20"/>
                <w:color w:val="auto"/>
              </w:rPr>
            </w:pPr>
            <w:r>
              <w:rPr>
                <w:rFonts w:ascii="Arial" w:cs="Arial" w:eastAsia="Arial" w:hAnsi="Arial"/>
                <w:sz w:val="18"/>
                <w:szCs w:val="18"/>
                <w:color w:val="auto"/>
              </w:rPr>
              <w:t>Operating leases</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10.8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10.6 years</w:t>
            </w:r>
          </w:p>
        </w:tc>
      </w:tr>
      <w:tr>
        <w:trPr>
          <w:trHeight w:val="270"/>
        </w:trPr>
        <w:tc>
          <w:tcPr>
            <w:tcW w:w="77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Weighted-average discount rate: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30"/>
        </w:trPr>
        <w:tc>
          <w:tcPr>
            <w:tcW w:w="7720" w:type="dxa"/>
            <w:vAlign w:val="bottom"/>
          </w:tcPr>
          <w:p>
            <w:pPr>
              <w:ind w:left="440"/>
              <w:spacing w:after="0"/>
              <w:rPr>
                <w:sz w:val="20"/>
                <w:szCs w:val="20"/>
                <w:color w:val="auto"/>
              </w:rPr>
            </w:pPr>
            <w:r>
              <w:rPr>
                <w:rFonts w:ascii="Arial" w:cs="Arial" w:eastAsia="Arial" w:hAnsi="Arial"/>
                <w:sz w:val="18"/>
                <w:szCs w:val="18"/>
                <w:color w:val="auto"/>
              </w:rPr>
              <w:t>Operating leases</w:t>
            </w:r>
          </w:p>
        </w:tc>
        <w:tc>
          <w:tcPr>
            <w:tcW w:w="172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detailed cash flows from operating and finance leases: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155"/>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paid for amounts included in the measurement of lease</w:t>
            </w:r>
          </w:p>
        </w:tc>
        <w:tc>
          <w:tcPr>
            <w:tcW w:w="1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21,834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22,618</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w:t>
            </w: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obtained ROU assets in exchange for lease liabilities of $26.1 million, $22.6 million and $8.5 million upon commencement of operating leases during the year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gridSpan w:val="7"/>
          </w:tcPr>
          <w:p>
            <w:pPr>
              <w:spacing w:after="0"/>
              <w:rPr>
                <w:sz w:val="20"/>
                <w:szCs w:val="20"/>
                <w:color w:val="auto"/>
              </w:rPr>
            </w:pPr>
            <w:r>
              <w:rPr>
                <w:rFonts w:ascii="Arial" w:cs="Arial" w:eastAsia="Arial" w:hAnsi="Arial"/>
                <w:sz w:val="18"/>
                <w:szCs w:val="18"/>
                <w:color w:val="auto"/>
              </w:rPr>
              <w:t>The following table presents future minimum lease payments of our lease liabilities as of December 31, 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24"/>
                <w:szCs w:val="24"/>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Finance Leases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24,014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24,144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15,564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2027 and beyond</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102,582</w:t>
            </w:r>
          </w:p>
        </w:tc>
        <w:tc>
          <w:tcPr>
            <w:tcW w:w="0" w:type="dxa"/>
            <w:vAlign w:val="bottom"/>
          </w:tcPr>
          <w:p>
            <w:pPr>
              <w:spacing w:after="0"/>
              <w:rPr>
                <w:sz w:val="1"/>
                <w:szCs w:val="1"/>
                <w:color w:val="auto"/>
              </w:rPr>
            </w:pPr>
          </w:p>
        </w:tc>
      </w:tr>
      <w:tr>
        <w:trPr>
          <w:trHeight w:val="223"/>
        </w:trPr>
        <w:tc>
          <w:tcPr>
            <w:tcW w:w="5740" w:type="dxa"/>
            <w:vAlign w:val="bottom"/>
          </w:tcPr>
          <w:p>
            <w:pPr>
              <w:ind w:left="44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202,345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202,475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(50,674)</w:t>
            </w:r>
          </w:p>
        </w:tc>
        <w:tc>
          <w:tcPr>
            <w:tcW w:w="0" w:type="dxa"/>
            <w:vAlign w:val="bottom"/>
          </w:tcPr>
          <w:p>
            <w:pPr>
              <w:spacing w:after="0"/>
              <w:rPr>
                <w:sz w:val="1"/>
                <w:szCs w:val="1"/>
                <w:color w:val="auto"/>
              </w:rPr>
            </w:pPr>
          </w:p>
        </w:tc>
      </w:tr>
      <w:tr>
        <w:trPr>
          <w:trHeight w:val="223"/>
        </w:trPr>
        <w:tc>
          <w:tcPr>
            <w:tcW w:w="5740" w:type="dxa"/>
            <w:vAlign w:val="bottom"/>
          </w:tcPr>
          <w:p>
            <w:pPr>
              <w:ind w:left="680"/>
              <w:spacing w:after="0"/>
              <w:rPr>
                <w:sz w:val="20"/>
                <w:szCs w:val="20"/>
                <w:color w:val="auto"/>
              </w:rPr>
            </w:pPr>
            <w:r>
              <w:rPr>
                <w:rFonts w:ascii="Arial" w:cs="Arial" w:eastAsia="Arial" w:hAnsi="Arial"/>
                <w:sz w:val="18"/>
                <w:szCs w:val="18"/>
                <w:color w:val="auto"/>
              </w:rPr>
              <w:t>Total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151,678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151,801</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NOTE 5.  DISCONTINUED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b w:val="1"/>
                <w:bCs w:val="1"/>
                <w:color w:val="auto"/>
              </w:rPr>
              <w:t>BSS Business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340" w:type="dxa"/>
            <w:vAlign w:val="bottom"/>
            <w:gridSpan w:val="7"/>
          </w:tcPr>
          <w:p>
            <w:pPr>
              <w:spacing w:after="0"/>
              <w:rPr>
                <w:sz w:val="20"/>
                <w:szCs w:val="20"/>
                <w:color w:val="auto"/>
              </w:rPr>
            </w:pPr>
            <w:r>
              <w:rPr>
                <w:rFonts w:ascii="Arial" w:cs="Arial" w:eastAsia="Arial" w:hAnsi="Arial"/>
                <w:sz w:val="18"/>
                <w:szCs w:val="18"/>
                <w:color w:val="auto"/>
              </w:rPr>
              <w:t>The following table presents the financial results of our discontinued operations of the BSS Business: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gridSpan w:val="4"/>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For the year ended</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Services and other revenue - DISH Network</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195,942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other revenue - other</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212,202</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740" w:type="dxa"/>
            <w:vAlign w:val="bottom"/>
          </w:tcPr>
          <w:p>
            <w:pPr>
              <w:ind w:left="220"/>
              <w:spacing w:after="0" w:line="189" w:lineRule="exact"/>
              <w:rPr>
                <w:sz w:val="20"/>
                <w:szCs w:val="20"/>
                <w:color w:val="auto"/>
              </w:rPr>
            </w:pPr>
            <w:r>
              <w:rPr>
                <w:rFonts w:ascii="Arial" w:cs="Arial" w:eastAsia="Arial" w:hAnsi="Arial"/>
                <w:sz w:val="18"/>
                <w:szCs w:val="18"/>
                <w:color w:val="auto"/>
              </w:rPr>
              <w:t>Cost of sales - services and other (exclusive of</w:t>
            </w: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28,057</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134,438</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77,764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59,899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assets or liabilities attributable to our discontinued operations were held by us as of December 31, 2021 or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significant supplemental cash flow information and adjustments to reconcile net income to net cash flow from operating activities for discontinued operations of the BSS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For the year ended</w:t>
            </w:r>
          </w:p>
        </w:tc>
      </w:tr>
      <w:tr>
        <w:trPr>
          <w:trHeight w:val="230"/>
        </w:trPr>
        <w:tc>
          <w:tcPr>
            <w:tcW w:w="9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9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29"/>
        </w:trPr>
        <w:tc>
          <w:tcPr>
            <w:tcW w:w="9040" w:type="dxa"/>
            <w:vAlign w:val="bottom"/>
          </w:tcPr>
          <w:p>
            <w:pPr>
              <w:ind w:left="220"/>
              <w:spacing w:after="0"/>
              <w:rPr>
                <w:sz w:val="20"/>
                <w:szCs w:val="20"/>
                <w:color w:val="auto"/>
              </w:rPr>
            </w:pPr>
            <w:r>
              <w:rPr>
                <w:rFonts w:ascii="Arial" w:cs="Arial" w:eastAsia="Arial" w:hAnsi="Arial"/>
                <w:sz w:val="18"/>
                <w:szCs w:val="18"/>
                <w:color w:val="auto"/>
              </w:rPr>
              <w:t>Net income (loss) from discontinued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39,401</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48"/>
        </w:trPr>
        <w:tc>
          <w:tcPr>
            <w:tcW w:w="9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97,435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9040" w:type="dxa"/>
            <w:vAlign w:val="bottom"/>
          </w:tcPr>
          <w:p>
            <w:pPr>
              <w:ind w:left="220"/>
              <w:spacing w:after="0"/>
              <w:rPr>
                <w:sz w:val="20"/>
                <w:szCs w:val="20"/>
                <w:color w:val="auto"/>
              </w:rPr>
            </w:pPr>
            <w:r>
              <w:rPr>
                <w:rFonts w:ascii="Arial" w:cs="Arial" w:eastAsia="Arial" w:hAnsi="Arial"/>
                <w:sz w:val="18"/>
                <w:szCs w:val="18"/>
                <w:color w:val="auto"/>
              </w:rPr>
              <w:t>Expenditures for property and equipment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4"/>
        </w:trPr>
        <w:tc>
          <w:tcPr>
            <w:tcW w:w="9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54"/>
        </w:trPr>
        <w:tc>
          <w:tcPr>
            <w:tcW w:w="9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 of finance lease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27,203</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040" w:type="dxa"/>
            <w:vAlign w:val="bottom"/>
          </w:tcPr>
          <w:p>
            <w:pPr>
              <w:ind w:left="220"/>
              <w:spacing w:after="0" w:line="203" w:lineRule="exact"/>
              <w:rPr>
                <w:sz w:val="20"/>
                <w:szCs w:val="20"/>
                <w:color w:val="auto"/>
              </w:rPr>
            </w:pPr>
            <w:r>
              <w:rPr>
                <w:rFonts w:ascii="Arial" w:cs="Arial" w:eastAsia="Arial" w:hAnsi="Arial"/>
                <w:sz w:val="18"/>
                <w:szCs w:val="18"/>
                <w:color w:val="auto"/>
              </w:rPr>
              <w:t>Payment of in-orbit incentive obligations</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4,474</w:t>
            </w:r>
          </w:p>
        </w:tc>
      </w:tr>
      <w:tr>
        <w:trPr>
          <w:trHeight w:val="20"/>
        </w:trPr>
        <w:tc>
          <w:tcPr>
            <w:tcW w:w="9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or Transferred Related Party Agreements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September 10, 2019, the following agreements were terminated or transferred to DISH Network as part of the BSS Transaction. Unless noted differently below, we have no further obligations and have neither earned additional revenue nor incurred additional expense, as applicable, under or in connection with these agreements after the consummation of the BSS Transaction.</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entered into certain agreements to lease satellite capacity pursuant to which we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services to DISH Network on certain satellites, as listed below, owned or leased by us. The fees for the services provided under these agreements depended, among other things, upon the orbital location of the applicable satellite, the number of transponders that provided services on the applicable satellite and the length of the service arrangements. The terms of each of the agreements are set forth below:</w:t>
      </w:r>
    </w:p>
    <w:p>
      <w:pPr>
        <w:spacing w:after="0" w:line="206" w:lineRule="exact"/>
        <w:rPr>
          <w:sz w:val="20"/>
          <w:szCs w:val="20"/>
          <w:color w:val="auto"/>
        </w:rPr>
      </w:pPr>
    </w:p>
    <w:p>
      <w:pPr>
        <w:ind w:left="660" w:hanging="328"/>
        <w:spacing w:after="0" w:line="287" w:lineRule="auto"/>
        <w:tabs>
          <w:tab w:leader="none" w:pos="655"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VII, EchoStar X, EchoStar XI and EchoStar XIV </w:t>
      </w:r>
      <w:r>
        <w:rPr>
          <w:rFonts w:ascii="Arial" w:cs="Arial" w:eastAsia="Arial" w:hAnsi="Arial"/>
          <w:sz w:val="18"/>
          <w:szCs w:val="18"/>
          <w:color w:val="auto"/>
        </w:rPr>
        <w:t>— In March 2014, we began leasing certain satellite capacity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on the EchoStar VII satellite, the EchoStar X satellite, the EchoStar XI satellite and the EchoStar XIV satellite.</w:t>
      </w:r>
    </w:p>
    <w:p>
      <w:pPr>
        <w:spacing w:after="0" w:line="17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XII </w:t>
      </w:r>
      <w:r>
        <w:rPr>
          <w:rFonts w:ascii="Arial" w:cs="Arial" w:eastAsia="Arial" w:hAnsi="Arial"/>
          <w:sz w:val="18"/>
          <w:szCs w:val="18"/>
          <w:color w:val="auto"/>
        </w:rPr>
        <w:t>— DISH Network leased satellite capacity from us on the EchoStar XII satellite.</w:t>
      </w:r>
    </w:p>
    <w:p>
      <w:pPr>
        <w:spacing w:after="0" w:line="252" w:lineRule="exact"/>
        <w:rPr>
          <w:rFonts w:ascii="Arial" w:cs="Arial" w:eastAsia="Arial" w:hAnsi="Arial"/>
          <w:sz w:val="18"/>
          <w:szCs w:val="18"/>
          <w:b w:val="1"/>
          <w:bCs w:val="1"/>
          <w:i w:val="1"/>
          <w:iCs w:val="1"/>
          <w:color w:val="auto"/>
        </w:rPr>
      </w:pPr>
    </w:p>
    <w:p>
      <w:pPr>
        <w:ind w:left="660" w:hanging="328"/>
        <w:spacing w:after="0" w:line="287" w:lineRule="auto"/>
        <w:tabs>
          <w:tab w:leader="none" w:pos="655"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XVI </w:t>
      </w:r>
      <w:r>
        <w:rPr>
          <w:rFonts w:ascii="Arial" w:cs="Arial" w:eastAsia="Arial" w:hAnsi="Arial"/>
          <w:sz w:val="18"/>
          <w:szCs w:val="18"/>
          <w:color w:val="auto"/>
        </w:rPr>
        <w:t>— In December 2009, we entered into an agreement to lease satellite capacity to DISH Network,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leased satellite capacity from us on the EchoStar XVI satellite beginning in January 2013.</w:t>
      </w:r>
    </w:p>
    <w:p>
      <w:pPr>
        <w:spacing w:after="0" w:line="179"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Nimiq 5 Agreement </w:t>
      </w:r>
      <w:r>
        <w:rPr>
          <w:rFonts w:ascii="Arial" w:cs="Arial" w:eastAsia="Arial" w:hAnsi="Arial"/>
          <w:sz w:val="18"/>
          <w:szCs w:val="18"/>
          <w:color w:val="auto"/>
        </w:rPr>
        <w:t>— 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Following the consummation of the BSS Transaction, we retained certain obligations related to DISH Network’s performance under the Telesat Transponder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hanging="328"/>
        <w:spacing w:after="0" w:line="255" w:lineRule="auto"/>
        <w:tabs>
          <w:tab w:leader="none" w:pos="65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QuetzSat-1 Agreement </w:t>
      </w:r>
      <w:r>
        <w:rPr>
          <w:rFonts w:ascii="Arial" w:cs="Arial" w:eastAsia="Arial" w:hAnsi="Arial"/>
          <w:sz w:val="18"/>
          <w:szCs w:val="18"/>
          <w:color w:val="auto"/>
        </w:rPr>
        <w:t>— In November 2008, we entered into an agreement to lease satellite capacity from SES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provided, among other things, for the provision by SES Latin America to us of leased satellite capacity on 32 DBS transponders on the QuetzSat-1 satellite. Concurrently, in 2008, we 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TT&amp;C agreement pursuant to which we provided TT&amp;C services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which we subsequently amended (the “2012 TT&amp;C Agreement”). The fees for services provided under the 2012 TT&amp;C Agreement were calculated at either: (i) a fixed fee or (ii) cost plus a fixed margin, which varied depending on the nature of the services provided.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entered into lease agreements pursuant to which DISH Network leased certain real estate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The rent on a per square foot basis each of the leases or subsequent amendments was comparable to per square foot rental rates of similar commercial property in the same geographic area at the time of the leases or subsequent amendments and DISH Network was responsible for its portion of the taxes, insurance, utilities and maintenance of the premises. These components of the BSS Transaction do not qualify for discontinued operations treatment, and therefore the revenue from these lease agreements has not been treated as discontinued operations. The terms of each of the leases are set forth below:</w:t>
      </w:r>
    </w:p>
    <w:p>
      <w:pPr>
        <w:spacing w:after="0" w:line="209" w:lineRule="exact"/>
        <w:rPr>
          <w:sz w:val="20"/>
          <w:szCs w:val="20"/>
          <w:color w:val="auto"/>
        </w:rPr>
      </w:pPr>
    </w:p>
    <w:p>
      <w:pPr>
        <w:ind w:left="660" w:right="20" w:hanging="328"/>
        <w:spacing w:after="0" w:line="287" w:lineRule="auto"/>
        <w:tabs>
          <w:tab w:leader="none" w:pos="655"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Santa Fe Lease Agreement </w:t>
      </w:r>
      <w:r>
        <w:rPr>
          <w:rFonts w:ascii="Arial" w:cs="Arial" w:eastAsia="Arial" w:hAnsi="Arial"/>
          <w:sz w:val="18"/>
          <w:szCs w:val="18"/>
          <w:color w:val="auto"/>
        </w:rPr>
        <w:t>— DISH Network leased from us all of 5701 S. Santa Fe Dr., Littleton, Colorado.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BSS Transaction, we transferred this property to DISH Network.</w:t>
      </w:r>
    </w:p>
    <w:p>
      <w:pPr>
        <w:spacing w:after="0" w:line="179"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During 2017, we and certain of our subsidiaries entered into a share exchange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Exchange Agreement”) with DISH and certain of its subsidiaries whereby we and certain of our subsidiaries received all the shares of preferred tracking stock previously issued by us and one of our subsidiaries (the “Tracking Stock”) in exchange for 100% of the equity interests of certain of our subsidiaries that held substantially all of our former EchoStar Technologies businesses and certain other assets (collectively, the “Share Exchange”). Prior to the Share Exchange, we leased to DISH Network certain space at 530 EchoStar Drive, Cheyenne, Wyoming. In connection with the Share Exchange, we transferred ownership of a portion of this property to DISH Network and we and DISH Network amended this agreement to, among other things, provide for a continued lease to DISH Network of the portion of the property we retained (the “Cheyenne Data Center”). In connection with the BSS Transaction, we transferred the Cheyenne Data Center to DISH Network.</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We entered into a lease agreement pursuant to which we leased from DISH Network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at 801 N. DISH Dr. in Gilbert, Arizona for the Satellite Operations Center and Satellite Access Center. The rent on a per square foot basis was comparable to per square foot rental rates of similar commercial property in the same geographic area at the time of the leases or subsequent amendments and included our portion of the taxes, insurance, utilities and certain maintenance of the premises. In connection with the BSS Transaction, we terminated this lease and transferred the Gilbert Satellite Operations Center, including any and all equipment, software, processes, software licenses, hardware licenses, furniture and technical documentation located within, to DISH Network.</w:t>
      </w: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BUSINESS COMBINATIONS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2019, we entered into the Yahsat Brazil JV Transaction. The combined business provides broadband internet services and enterprise solutions in Brazil using the Telesat T19V satellite, the Eutelsat 65W satellite and Yahsat’s Al Yah 3 satellite. The results of operations related to the business we acquired from Yahsat have been included in these Consolidated Financial Statements from the date of acquisition. As of December 31, 2020, we incurred $1.6 million of costs associated with the closing of the Yahsat Brazil JV Transaction.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tab/>
        <w:t>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56"/>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EchoStar Corporation common</w:t>
            </w:r>
          </w:p>
        </w:tc>
        <w:tc>
          <w:tcPr>
            <w:tcW w:w="1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72,875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(40,150)</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(102,318)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from discontinued operations</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39,401</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72,875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(40,150)</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96,738</w:t>
            </w: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Dilutive impact of stock awards outstanding</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Basic:</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basic earnings (losses) per share</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Diluted: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diluted earnings (losses) per share</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43"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43"/>
        </w:trPr>
        <w:tc>
          <w:tcPr>
            <w:tcW w:w="6940" w:type="dxa"/>
            <w:vAlign w:val="bottom"/>
            <w:gridSpan w:val="2"/>
            <w:shd w:val="clear" w:color="auto" w:fill="CCEEFF"/>
          </w:tcPr>
          <w:p>
            <w:pPr>
              <w:jc w:val="right"/>
              <w:ind w:right="5390"/>
              <w:spacing w:after="0"/>
              <w:rPr>
                <w:sz w:val="20"/>
                <w:szCs w:val="20"/>
                <w:color w:val="auto"/>
              </w:rPr>
            </w:pPr>
            <w:r>
              <w:rPr>
                <w:rFonts w:ascii="Arial" w:cs="Arial" w:eastAsia="Arial" w:hAnsi="Arial"/>
                <w:sz w:val="18"/>
                <w:szCs w:val="18"/>
                <w:color w:val="auto"/>
              </w:rPr>
              <w:t>Number of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8.</w:t>
        <w:tab/>
        <w:t>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changes in the balances of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by component: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Cumulative</w:t>
            </w:r>
          </w:p>
        </w:tc>
        <w:tc>
          <w:tcPr>
            <w:tcW w:w="15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Unrealized Gain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Foreign</w:t>
            </w:r>
          </w:p>
        </w:tc>
        <w:tc>
          <w:tcPr>
            <w:tcW w:w="15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Accumulated Other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Currency</w:t>
            </w:r>
          </w:p>
        </w:tc>
        <w:tc>
          <w:tcPr>
            <w:tcW w:w="12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(Loss) 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20" w:type="dxa"/>
            <w:vAlign w:val="bottom"/>
          </w:tcPr>
          <w:p>
            <w:pPr>
              <w:spacing w:after="0"/>
              <w:rPr>
                <w:sz w:val="15"/>
                <w:szCs w:val="15"/>
                <w:color w:val="auto"/>
              </w:rPr>
            </w:pPr>
          </w:p>
        </w:tc>
        <w:tc>
          <w:tcPr>
            <w:tcW w:w="14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8"/>
              </w:rPr>
              <w:t>Available-For-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Other</w:t>
            </w: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50"/>
              <w:spacing w:after="0" w:line="176" w:lineRule="exact"/>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Sale Securities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Income (Loss)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40" w:type="dxa"/>
            <w:vAlign w:val="bottom"/>
          </w:tcPr>
          <w:p>
            <w:pPr>
              <w:ind w:left="220"/>
              <w:spacing w:after="0" w:line="168"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(68,097)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(68,097)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40" w:type="dxa"/>
            <w:vAlign w:val="bottom"/>
          </w:tcPr>
          <w:p>
            <w:pPr>
              <w:ind w:left="220"/>
              <w:spacing w:after="0" w:line="168"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to net income (loss)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MARKETABLE INVESTMENT SECURITIES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gridSpan w:val="5"/>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center"/>
              <w:ind w:right="250"/>
              <w:spacing w:after="0"/>
              <w:rPr>
                <w:sz w:val="20"/>
                <w:szCs w:val="20"/>
                <w:color w:val="auto"/>
              </w:rPr>
            </w:pPr>
            <w:r>
              <w:rPr>
                <w:rFonts w:ascii="Arial" w:cs="Arial" w:eastAsia="Arial" w:hAnsi="Arial"/>
                <w:sz w:val="18"/>
                <w:szCs w:val="18"/>
                <w:b w:val="1"/>
                <w:bCs w:val="1"/>
                <w:color w:val="auto"/>
                <w:w w:val="99"/>
              </w:rPr>
              <w:t>As of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b w:val="1"/>
                <w:bCs w:val="1"/>
                <w:color w:val="auto"/>
              </w:rPr>
              <w:t>Available-for-sale debt securities: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289,784</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498,358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1,101,888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92,673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660"/>
              <w:spacing w:after="0"/>
              <w:rPr>
                <w:sz w:val="20"/>
                <w:szCs w:val="20"/>
                <w:color w:val="auto"/>
              </w:rPr>
            </w:pPr>
            <w:r>
              <w:rPr>
                <w:rFonts w:ascii="Arial" w:cs="Arial" w:eastAsia="Arial" w:hAnsi="Arial"/>
                <w:sz w:val="18"/>
                <w:szCs w:val="18"/>
                <w:color w:val="auto"/>
              </w:rPr>
              <w:t>Total available-for-sale debt securities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880,815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1,622,926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142,943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4"/>
          </w:tcPr>
          <w:p>
            <w:pPr>
              <w:ind w:left="4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1,023,758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1,647,361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Restricted marketable investment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Total marketable investment securities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1,010,496</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1,638,271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290,169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289,784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880,815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372,702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372,746</w:t>
            </w:r>
          </w:p>
        </w:tc>
        <w:tc>
          <w:tcPr>
            <w:tcW w:w="0" w:type="dxa"/>
            <w:vAlign w:val="bottom"/>
          </w:tcPr>
          <w:p>
            <w:pPr>
              <w:spacing w:after="0"/>
              <w:rPr>
                <w:sz w:val="1"/>
                <w:szCs w:val="1"/>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1,101,888</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0" w:type="dxa"/>
            <w:vAlign w:val="bottom"/>
          </w:tcPr>
          <w:p>
            <w:pPr>
              <w:spacing w:after="0"/>
              <w:rPr>
                <w:sz w:val="1"/>
                <w:szCs w:val="1"/>
                <w:color w:val="auto"/>
              </w:rPr>
            </w:pPr>
          </w:p>
        </w:tc>
      </w:tr>
      <w:tr>
        <w:trPr>
          <w:trHeight w:val="223"/>
        </w:trPr>
        <w:tc>
          <w:tcPr>
            <w:tcW w:w="4800" w:type="dxa"/>
            <w:vAlign w:val="bottom"/>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1,622,926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160,494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435,978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sales, net</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549</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we have $793.4 million of available-for-sale debt securities with contractual maturities of one year or less and $87.4 million with contractual maturities greater than one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Option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investments, net</w:t>
            </w:r>
          </w:p>
        </w:tc>
        <w:tc>
          <w:tcPr>
            <w:tcW w:w="1100" w:type="dxa"/>
            <w:vAlign w:val="bottom"/>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14,980</w:t>
            </w:r>
          </w:p>
        </w:tc>
        <w:tc>
          <w:tcPr>
            <w:tcW w:w="120" w:type="dxa"/>
            <w:vAlign w:val="bottom"/>
          </w:tcPr>
          <w:p>
            <w:pPr>
              <w:spacing w:after="0"/>
              <w:rPr>
                <w:sz w:val="17"/>
                <w:szCs w:val="17"/>
                <w:color w:val="auto"/>
              </w:rPr>
            </w:pP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104,729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Gains (losses) on investments, net</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49,391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(3,241)</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53,873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430,995</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289,784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289,784</w:t>
            </w: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r>
      <w:tr>
        <w:trPr>
          <w:trHeight w:val="229"/>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92,673</w:t>
            </w:r>
          </w:p>
        </w:tc>
      </w:tr>
      <w:tr>
        <w:trPr>
          <w:trHeight w:val="223"/>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880,815</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142,943</w:t>
            </w:r>
          </w:p>
        </w:tc>
      </w:tr>
      <w:tr>
        <w:trPr>
          <w:trHeight w:val="223"/>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1,023,758</w:t>
            </w:r>
          </w:p>
        </w:tc>
      </w:tr>
      <w:tr>
        <w:trPr>
          <w:trHeight w:val="229"/>
        </w:trPr>
        <w:tc>
          <w:tcPr>
            <w:tcW w:w="626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(13,262)</w:t>
            </w:r>
          </w:p>
        </w:tc>
      </w:tr>
      <w:tr>
        <w:trPr>
          <w:trHeight w:val="248"/>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1,010,496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810,114</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372,746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372,746</w:t>
            </w:r>
          </w:p>
        </w:tc>
      </w:tr>
      <w:tr>
        <w:trPr>
          <w:trHeight w:val="229"/>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r>
      <w:tr>
        <w:trPr>
          <w:trHeight w:val="230"/>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148,292</w:t>
            </w:r>
          </w:p>
        </w:tc>
      </w:tr>
      <w:tr>
        <w:trPr>
          <w:trHeight w:val="223"/>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1,622,926</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r>
      <w:tr>
        <w:trPr>
          <w:trHeight w:val="223"/>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1,647,361</w:t>
            </w:r>
          </w:p>
        </w:tc>
      </w:tr>
      <w:tr>
        <w:trPr>
          <w:trHeight w:val="230"/>
        </w:trPr>
        <w:tc>
          <w:tcPr>
            <w:tcW w:w="626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(9,090)</w:t>
            </w:r>
          </w:p>
        </w:tc>
      </w:tr>
      <w:tr>
        <w:trPr>
          <w:trHeight w:val="248"/>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we did not have any investments that were categorized within Level 3 of the fair value hierarchy.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NOTE 10.  PROPERTY AND EQUIPMENT</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Satellites,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1,610,623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1,602,076</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and equipment,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788,237</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2,338,285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2,390,313</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our satellite fleet consisted of ten geosynchronous (“GEO”) satellites, seven of which are owned and three of which are leased. They are all in geosynchronous orbit, approximately 22,300 miles above the equator. Our owned S-band low-earth orbit (“LEO”) nano-satellites are not included in the table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Depreciable Life</w:t>
            </w:r>
          </w:p>
        </w:tc>
        <w:tc>
          <w:tcPr>
            <w:tcW w:w="0" w:type="dxa"/>
            <w:vAlign w:val="bottom"/>
          </w:tcPr>
          <w:p>
            <w:pPr>
              <w:spacing w:after="0"/>
              <w:rPr>
                <w:sz w:val="1"/>
                <w:szCs w:val="1"/>
                <w:color w:val="auto"/>
              </w:rPr>
            </w:pPr>
          </w:p>
        </w:tc>
      </w:tr>
      <w:tr>
        <w:trPr>
          <w:trHeight w:val="175"/>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 (4)</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(5)</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the Hughes Acquisition.</w:t>
      </w:r>
    </w:p>
    <w:p>
      <w:pPr>
        <w:spacing w:after="0" w:line="1" w:lineRule="exact"/>
        <w:rPr>
          <w:rFonts w:ascii="Arial" w:cs="Arial" w:eastAsia="Arial" w:hAnsi="Arial"/>
          <w:sz w:val="14"/>
          <w:szCs w:val="14"/>
          <w:color w:val="auto"/>
        </w:rPr>
      </w:pPr>
    </w:p>
    <w:p>
      <w:pPr>
        <w:ind w:left="340" w:hanging="332"/>
        <w:spacing w:after="0" w:line="241" w:lineRule="auto"/>
        <w:tabs>
          <w:tab w:leader="none" w:pos="2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72" w:val="left"/>
        </w:tabs>
        <w:numPr>
          <w:ilvl w:val="0"/>
          <w:numId w:val="49"/>
        </w:numPr>
        <w:rPr>
          <w:rFonts w:ascii="Arial" w:cs="Arial" w:eastAsia="Arial" w:hAnsi="Arial"/>
          <w:sz w:val="14"/>
          <w:szCs w:val="14"/>
          <w:color w:val="auto"/>
        </w:rPr>
      </w:pPr>
      <w:r>
        <w:rPr>
          <w:rFonts w:ascii="Arial" w:cs="Arial" w:eastAsia="Arial" w:hAnsi="Arial"/>
          <w:sz w:val="14"/>
          <w:szCs w:val="14"/>
          <w:color w:val="auto"/>
        </w:rPr>
        <w:t>EchoStar IX is approaching its end of station-kept life. The Company expects to place the satellite in an inclined-orbit in the fourth quarter of 2022 or first quarter of 2023, but this ability is dependent upon events beyond our control and may not occur on schedule if at all. Inclined-orbit will extend its life but impact revenue generating capabilities.</w:t>
      </w:r>
    </w:p>
    <w:p>
      <w:pPr>
        <w:spacing w:after="0" w:line="159" w:lineRule="exact"/>
        <w:rPr>
          <w:rFonts w:ascii="Arial" w:cs="Arial" w:eastAsia="Arial" w:hAnsi="Arial"/>
          <w:sz w:val="14"/>
          <w:szCs w:val="14"/>
          <w:color w:val="auto"/>
        </w:rPr>
      </w:pPr>
    </w:p>
    <w:p>
      <w:pPr>
        <w:ind w:left="340" w:right="20" w:hanging="332"/>
        <w:spacing w:after="0" w:line="258" w:lineRule="auto"/>
        <w:tabs>
          <w:tab w:leader="none" w:pos="406"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65"/>
        </w:trPr>
        <w:tc>
          <w:tcPr>
            <w:tcW w:w="618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Depreciable Life</w:t>
            </w: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36"/>
        </w:trPr>
        <w:tc>
          <w:tcPr>
            <w:tcW w:w="618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1,806,664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1,805,590</w:t>
            </w:r>
          </w:p>
        </w:tc>
      </w:tr>
      <w:tr>
        <w:trPr>
          <w:trHeight w:val="229"/>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352,245</w:t>
            </w:r>
          </w:p>
        </w:tc>
      </w:tr>
      <w:tr>
        <w:trPr>
          <w:trHeight w:val="230"/>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409,032</w:t>
            </w:r>
          </w:p>
        </w:tc>
      </w:tr>
      <w:tr>
        <w:trPr>
          <w:trHeight w:val="223"/>
        </w:trPr>
        <w:tc>
          <w:tcPr>
            <w:tcW w:w="6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satellites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2,566,867</w:t>
            </w: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Satellites - owned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(890,783)</w:t>
            </w:r>
          </w:p>
        </w:tc>
      </w:tr>
      <w:tr>
        <w:trPr>
          <w:trHeight w:val="230"/>
        </w:trPr>
        <w:tc>
          <w:tcPr>
            <w:tcW w:w="6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(74,008)</w:t>
            </w:r>
          </w:p>
        </w:tc>
      </w:tr>
      <w:tr>
        <w:trPr>
          <w:trHeight w:val="223"/>
        </w:trPr>
        <w:tc>
          <w:tcPr>
            <w:tcW w:w="6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(964,791)</w:t>
            </w:r>
          </w:p>
        </w:tc>
      </w:tr>
      <w:tr>
        <w:trPr>
          <w:trHeight w:val="223"/>
        </w:trPr>
        <w:tc>
          <w:tcPr>
            <w:tcW w:w="6180" w:type="dxa"/>
            <w:vAlign w:val="bottom"/>
          </w:tcPr>
          <w:p>
            <w:pPr>
              <w:ind w:left="800"/>
              <w:spacing w:after="0"/>
              <w:rPr>
                <w:sz w:val="20"/>
                <w:szCs w:val="20"/>
                <w:color w:val="auto"/>
              </w:rPr>
            </w:pPr>
            <w:r>
              <w:rPr>
                <w:rFonts w:ascii="Arial" w:cs="Arial" w:eastAsia="Arial" w:hAnsi="Arial"/>
                <w:sz w:val="18"/>
                <w:szCs w:val="18"/>
                <w:color w:val="auto"/>
              </w:rPr>
              <w:t>Total satellites, net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1,610,623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1,602,076</w:t>
            </w:r>
          </w:p>
        </w:tc>
      </w:tr>
      <w:tr>
        <w:trPr>
          <w:trHeight w:val="20"/>
        </w:trPr>
        <w:tc>
          <w:tcPr>
            <w:tcW w:w="6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105,819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128,404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130,705</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25,755</w:t>
            </w: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156,015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156,460</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service in North, Central and South America as well as enterprise broadband services. Capital expenditures associated with the construction and launch of the EchoStar XXIV satellite are included in Corporate and Other segment in our segment reporting. We launched two nano-satellites in the third quarter of 2020. Following launch, both nano-satellites experienced technical anomalies that precluded them from fulfilling their intended regulatory milestone missions. We recorded an impairment of $1.7 million for the year ended December 31, 2020, related to these nano-satellites. In the second quarter of 2021, we launched our third nano-satellite.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and 2020 our satellite-related commitments were $342.2 million and $487.7 million, respectively. These include payments pursuant to: i) agreements for the construction of the EchoStar XXIV satellite, ii) the EchoStar XXIV launch contract, iii) to regulatory authorizations and non-lease costs associated with our finance lease satellites, in-orbit incentives relating to certain satellites and commitments for satellite service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Our satellites and other payloads, either in orbit or under construction, are not covered by launch or in-orbit insurance. We will continue to assess circumstances going forward and make insurance-related decisions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December 31, 2021 and 2020, the fair values of our in-orbit incentive obligations approximated their carrying amounts of $53.2 million and $55.4 million,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 xml:space="preserve">The following table presents </w:t>
            </w:r>
            <w:r>
              <w:rPr>
                <w:rFonts w:ascii="Arial" w:cs="Arial" w:eastAsia="Arial" w:hAnsi="Arial"/>
                <w:sz w:val="18"/>
                <w:szCs w:val="18"/>
                <w:i w:val="1"/>
                <w:iCs w:val="1"/>
                <w:color w:val="auto"/>
              </w:rPr>
              <w:t>Other property and equipment, net</w:t>
            </w: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574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Depreciable Life</w:t>
            </w:r>
          </w:p>
        </w:tc>
        <w:tc>
          <w:tcPr>
            <w:tcW w:w="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574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 Years)</w:t>
            </w: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net:</w:t>
            </w: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Land</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28,938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29,055</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Buildings and improvements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 to 40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115,335</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rPr>
              <w:t>1 to 12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911,474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887,086</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premises equipment</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2 to 4</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1,617,053</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99,716</w:t>
            </w:r>
          </w:p>
        </w:tc>
      </w:tr>
      <w:tr>
        <w:trPr>
          <w:trHeight w:val="223"/>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property and equipment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2,748,245</w:t>
            </w:r>
          </w:p>
        </w:tc>
      </w:tr>
      <w:tr>
        <w:trPr>
          <w:trHeight w:val="230"/>
        </w:trPr>
        <w:tc>
          <w:tcPr>
            <w:tcW w:w="5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Accumulated depreciation</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(1,960,008)</w:t>
            </w:r>
          </w:p>
        </w:tc>
      </w:tr>
      <w:tr>
        <w:trPr>
          <w:trHeight w:val="248"/>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property and equipment, net</w:t>
            </w: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788,237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other property and equipment: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property and equipment depreciation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5,791</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fixtures, equipment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90,885</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Customer premises equipment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230,079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194,906</w:t>
            </w:r>
          </w:p>
        </w:tc>
      </w:tr>
      <w:tr>
        <w:trPr>
          <w:trHeight w:val="248"/>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329,862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291,582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REGULATORY AUTHORIZATIONS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Finite lived</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430,039</w:t>
            </w: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52,324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478,598</w:t>
            </w: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 Lived Assets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were granted an S-band spectrum license for terrestrial rights in Mexico for $7.9 million. The acquired asset is subject to amortization over a period of 15 years.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also acquired Ka-band spectrum rights $4.5 million, upon consummation of the Yahsat Brazil JV Transaction, which are subject to amortization over a period of 11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our regulatory authorizations with finite lives as of December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29"/>
        </w:trPr>
        <w:tc>
          <w:tcPr>
            <w:tcW w:w="8920" w:type="dxa"/>
            <w:vAlign w:val="bottom"/>
          </w:tcPr>
          <w:p>
            <w:pPr>
              <w:ind w:left="24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4,341</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30"/>
        </w:trPr>
        <w:tc>
          <w:tcPr>
            <w:tcW w:w="8920" w:type="dxa"/>
            <w:vAlign w:val="bottom"/>
          </w:tcPr>
          <w:p>
            <w:pPr>
              <w:ind w:left="24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4,491</w:t>
            </w:r>
          </w:p>
        </w:tc>
      </w:tr>
      <w:tr>
        <w:trPr>
          <w:trHeight w:val="230"/>
        </w:trPr>
        <w:tc>
          <w:tcPr>
            <w:tcW w:w="8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2027 and beyond</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r>
      <w:tr>
        <w:trPr>
          <w:trHeight w:val="223"/>
        </w:trPr>
        <w:tc>
          <w:tcPr>
            <w:tcW w:w="8920" w:type="dxa"/>
            <w:vAlign w:val="bottom"/>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28,049</w:t>
            </w:r>
          </w:p>
        </w:tc>
      </w:tr>
      <w:tr>
        <w:trPr>
          <w:trHeight w:val="20"/>
        </w:trPr>
        <w:tc>
          <w:tcPr>
            <w:tcW w:w="8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Indefinite 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2019, we acquired Sirion Global Pty Ltd., which we have renamed EchoStar Global Australia Pty Ltd (“EchoStar Global”), which holds global S-band non-geostationary stationary satellite spectrum rights for mobile satellite services. We acquired the global S-band non-geostationary satellite spectrum rights for $39.5 million, of which $26.5 million were made in cash payments and the remainder relate to deferred tax liabilities. The acquired spectrum rights are not subject to amortization.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auto"/>
              </w:rPr>
              <w:t>NOTE 12.  OTHER INTANGIBLE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The following table presents our other intangible assets: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Customer</w:t>
            </w:r>
          </w:p>
        </w:tc>
        <w:tc>
          <w:tcPr>
            <w:tcW w:w="280" w:type="dxa"/>
            <w:vAlign w:val="bottom"/>
          </w:tcPr>
          <w:p>
            <w:pPr>
              <w:spacing w:after="0"/>
              <w:rPr>
                <w:sz w:val="24"/>
                <w:szCs w:val="2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Patents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Trademarks and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Relationships</w:t>
            </w:r>
          </w:p>
        </w:tc>
        <w:tc>
          <w:tcPr>
            <w:tcW w:w="2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Licenses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29,700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(244,787)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(61,004)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(11,261)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(317,052)</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(257,933)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(331,776)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(267,429)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(342,850)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(270,300)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(15,716)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(347,299)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Carrying amount:</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44,231</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12,367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16,954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29,507</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of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18,433</w:t>
            </w: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As of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13,984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Weighted-average useful life (in years)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estimated future amortization of other intangible assets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2027 and beyond</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NOTE 13.  OTHER INVESTMENTS</w:t>
            </w: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91,226</w:t>
            </w:r>
          </w:p>
        </w:tc>
        <w:tc>
          <w:tcPr>
            <w:tcW w:w="10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151,070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31,662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114,885</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102,205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297,747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284,937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49% of Dish Mexico, a joint venture that we entered into in 2008 to provide direct-to-home satellite services in Mexico. Historically, we provided certain satellite services to Dish Mexico. However, following the consummation of the BSS Transaction, we no longer provide these services.</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fourth quarter of 2021, we recognized a $55.3 million other-than-temporary impairment on our investment in Dish Mexico. Given changing market trends, conditions, and company-specific events, we concluded that our investment in Dish Mexico was not recoverable.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4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9"/>
        </w:trPr>
        <w:tc>
          <w:tcPr>
            <w:tcW w:w="57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1160" w:type="dxa"/>
            <w:vAlign w:val="bottom"/>
            <w:tcBorders>
              <w:bottom w:val="single" w:sz="8" w:color="auto"/>
            </w:tcBorders>
          </w:tcPr>
          <w:p>
            <w:pPr>
              <w:jc w:val="right"/>
              <w:ind w:right="950"/>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8,278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9,080</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8,979</w:t>
            </w:r>
          </w:p>
        </w:tc>
      </w:tr>
      <w:tr>
        <w:trPr>
          <w:trHeight w:val="21"/>
        </w:trPr>
        <w:tc>
          <w:tcPr>
            <w:tcW w:w="5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trade accounts receivable:</w:t>
      </w:r>
    </w:p>
    <w:p>
      <w:pPr>
        <w:spacing w:after="0" w:line="271"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6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5,544</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9,347</w:t>
            </w:r>
          </w:p>
        </w:tc>
      </w:tr>
      <w:tr>
        <w:trPr>
          <w:trHeight w:val="21"/>
        </w:trPr>
        <w:tc>
          <w:tcPr>
            <w:tcW w:w="7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recorded cash distributions from our investments of $2.7 million for the year ended December 31, 2019. There were no cash distributions from our investments for the years ended December 31, 2021 and 2020. These cash distributions were determined to be a return on investment and reported in </w:t>
      </w:r>
      <w:r>
        <w:rPr>
          <w:rFonts w:ascii="Arial" w:cs="Arial" w:eastAsia="Arial" w:hAnsi="Arial"/>
          <w:sz w:val="18"/>
          <w:szCs w:val="18"/>
          <w:i w:val="1"/>
          <w:iCs w:val="1"/>
          <w:color w:val="auto"/>
        </w:rPr>
        <w:t>Net cash provided by (used for) operating activities</w:t>
      </w:r>
      <w:r>
        <w:rPr>
          <w:rFonts w:ascii="Arial" w:cs="Arial" w:eastAsia="Arial" w:hAnsi="Arial"/>
          <w:sz w:val="18"/>
          <w:szCs w:val="18"/>
          <w:color w:val="auto"/>
        </w:rPr>
        <w:t xml:space="preserve"> in the Consolidated Statements of Cash Flows. We recorded an additional dividend from our investments of $ 2.3 million for the year ended December 31, 2019 that was considered a return of investment and reported in </w:t>
      </w:r>
      <w:r>
        <w:rPr>
          <w:rFonts w:ascii="Arial" w:cs="Arial" w:eastAsia="Arial" w:hAnsi="Arial"/>
          <w:sz w:val="18"/>
          <w:szCs w:val="18"/>
          <w:i w:val="1"/>
          <w:iCs w:val="1"/>
          <w:color w:val="auto"/>
        </w:rPr>
        <w:t>Net cash provided by (used for) investing activities</w:t>
      </w:r>
      <w:r>
        <w:rPr>
          <w:rFonts w:ascii="Arial" w:cs="Arial" w:eastAsia="Arial" w:hAnsi="Arial"/>
          <w:sz w:val="18"/>
          <w:szCs w:val="18"/>
          <w:color w:val="auto"/>
        </w:rPr>
        <w:t xml:space="preserve"> in the Consolidated Statements of Cash Flows. There were no returns of investment during the years ended December 31, 2021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Other Equity Investments</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the activity on our investments: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investments, net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Debt Investments, Net</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our other debt investments, net:</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26"/>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investments, net: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Cost basis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127,433</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114,903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Allowance for credit losses</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debt investments, net</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114,885</w:t>
            </w: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20"/>
                <w:szCs w:val="20"/>
                <w:color w:val="auto"/>
              </w:rPr>
            </w:pPr>
            <w:r>
              <w:rPr>
                <w:rFonts w:ascii="Arial" w:cs="Arial" w:eastAsia="Arial" w:hAnsi="Arial"/>
                <w:sz w:val="18"/>
                <w:szCs w:val="18"/>
                <w:color w:val="auto"/>
              </w:rPr>
              <w:t>The following table presents the activity in our allowance for credit losses for these investments: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99"/>
        </w:trPr>
        <w:tc>
          <w:tcPr>
            <w:tcW w:w="7920" w:type="dxa"/>
            <w:vAlign w:val="bottom"/>
          </w:tcPr>
          <w:p>
            <w:pPr>
              <w:spacing w:after="0"/>
              <w:rPr>
                <w:sz w:val="24"/>
                <w:szCs w:val="24"/>
                <w:color w:val="auto"/>
              </w:rPr>
            </w:pPr>
          </w:p>
        </w:tc>
        <w:tc>
          <w:tcPr>
            <w:tcW w:w="33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9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the beginning of the period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The impact of adopting ASC 326 on January 1, 2020 was a $2.1 million adjustment to Accumulated earnings (losses).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interest income, net related to our debt investments,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17,191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14,736</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 losses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460"/>
              <w:spacing w:after="0"/>
              <w:rPr>
                <w:sz w:val="20"/>
                <w:szCs w:val="20"/>
                <w:color w:val="auto"/>
              </w:rPr>
            </w:pPr>
            <w:r>
              <w:rPr>
                <w:rFonts w:ascii="Arial" w:cs="Arial" w:eastAsia="Arial" w:hAnsi="Arial"/>
                <w:sz w:val="18"/>
                <w:szCs w:val="18"/>
                <w:color w:val="auto"/>
              </w:rPr>
              <w:t>Total interest income, net</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r>
        <w:trPr>
          <w:trHeight w:val="21"/>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tab/>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6"/>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0"/>
                <w:szCs w:val="20"/>
                <w:color w:val="auto"/>
              </w:rPr>
            </w:pPr>
          </w:p>
        </w:tc>
      </w:tr>
      <w:tr>
        <w:trPr>
          <w:trHeight w:val="183"/>
        </w:trPr>
        <w:tc>
          <w:tcPr>
            <w:tcW w:w="2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8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rPr>
              <w:t>Effective</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5"/>
                <w:szCs w:val="15"/>
                <w:color w:val="auto"/>
              </w:rPr>
            </w:pPr>
          </w:p>
        </w:tc>
        <w:tc>
          <w:tcPr>
            <w:tcW w:w="1100" w:type="dxa"/>
            <w:vAlign w:val="bottom"/>
            <w:gridSpan w:val="2"/>
          </w:tcPr>
          <w:p>
            <w:pPr>
              <w:jc w:val="center"/>
              <w:ind w:right="380"/>
              <w:spacing w:after="0" w:line="182" w:lineRule="exact"/>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5"/>
                <w:szCs w:val="15"/>
                <w:color w:val="auto"/>
              </w:rPr>
            </w:pPr>
          </w:p>
        </w:tc>
        <w:tc>
          <w:tcPr>
            <w:tcW w:w="1200" w:type="dxa"/>
            <w:vAlign w:val="bottom"/>
            <w:gridSpan w:val="2"/>
          </w:tcPr>
          <w:p>
            <w:pPr>
              <w:jc w:val="center"/>
              <w:ind w:right="300"/>
              <w:spacing w:after="0" w:line="182" w:lineRule="exact"/>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5"/>
                <w:szCs w:val="15"/>
                <w:color w:val="auto"/>
              </w:rPr>
            </w:pPr>
          </w:p>
        </w:tc>
        <w:tc>
          <w:tcPr>
            <w:tcW w:w="100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Fair</w:t>
            </w:r>
          </w:p>
        </w:tc>
      </w:tr>
      <w:tr>
        <w:trPr>
          <w:trHeight w:val="230"/>
        </w:trPr>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Value</w:t>
            </w:r>
          </w:p>
        </w:tc>
        <w:tc>
          <w:tcPr>
            <w:tcW w:w="2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240" w:type="dxa"/>
            <w:vAlign w:val="bottom"/>
          </w:tcPr>
          <w:p>
            <w:pPr>
              <w:ind w:left="140"/>
              <w:spacing w:after="0"/>
              <w:rPr>
                <w:sz w:val="20"/>
                <w:szCs w:val="20"/>
                <w:color w:val="auto"/>
              </w:rPr>
            </w:pPr>
            <w:r>
              <w:rPr>
                <w:rFonts w:ascii="Arial" w:cs="Arial" w:eastAsia="Arial" w:hAnsi="Arial"/>
                <w:sz w:val="18"/>
                <w:szCs w:val="18"/>
                <w:color w:val="auto"/>
                <w:w w:val="79"/>
              </w:rPr>
              <w:t>5</w:t>
            </w:r>
          </w:p>
        </w:tc>
        <w:tc>
          <w:tcPr>
            <w:tcW w:w="4200" w:type="dxa"/>
            <w:vAlign w:val="bottom"/>
          </w:tcPr>
          <w:p>
            <w:pPr>
              <w:ind w:left="4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825,555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834,045</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40" w:type="dxa"/>
            <w:vAlign w:val="bottom"/>
          </w:tcPr>
          <w:p>
            <w:pPr>
              <w:ind w:left="140"/>
              <w:spacing w:after="0"/>
              <w:rPr>
                <w:sz w:val="20"/>
                <w:szCs w:val="20"/>
                <w:color w:val="auto"/>
              </w:rPr>
            </w:pPr>
            <w:r>
              <w:rPr>
                <w:rFonts w:ascii="Arial" w:cs="Arial" w:eastAsia="Arial" w:hAnsi="Arial"/>
                <w:sz w:val="18"/>
                <w:szCs w:val="18"/>
                <w:color w:val="auto"/>
                <w:w w:val="79"/>
              </w:rPr>
              <w:t>7</w:t>
            </w:r>
          </w:p>
        </w:tc>
        <w:tc>
          <w:tcPr>
            <w:tcW w:w="4200" w:type="dxa"/>
            <w:vAlign w:val="bottom"/>
          </w:tcPr>
          <w:p>
            <w:pPr>
              <w:ind w:left="40"/>
              <w:spacing w:after="0"/>
              <w:rPr>
                <w:sz w:val="20"/>
                <w:szCs w:val="20"/>
                <w:color w:val="auto"/>
              </w:rPr>
            </w:pPr>
            <w:r>
              <w:rPr>
                <w:rFonts w:ascii="Arial" w:cs="Arial" w:eastAsia="Arial" w:hAnsi="Arial"/>
                <w:sz w:val="18"/>
                <w:szCs w:val="18"/>
                <w:color w:val="auto"/>
              </w:rPr>
              <w:t>5/8% Senior Unsecured Notes due 2021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924,003</w:t>
            </w:r>
          </w:p>
        </w:tc>
      </w:tr>
      <w:tr>
        <w:trPr>
          <w:trHeight w:val="230"/>
        </w:trPr>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6</w:t>
            </w:r>
          </w:p>
        </w:tc>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852,810</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1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1,495,994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1,664,295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2,610,858</w:t>
            </w:r>
          </w:p>
        </w:tc>
      </w:tr>
      <w:tr>
        <w:trPr>
          <w:trHeight w:val="230"/>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Less: Current portion, net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(898,237)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(924,003)</w:t>
            </w:r>
          </w:p>
        </w:tc>
      </w:tr>
      <w:tr>
        <w:trPr>
          <w:trHeight w:val="248"/>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1,686,855</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Senior Unsecured Notes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1, 2011, HSSC issued $900.0 million aggregate principal amount of 7 5/8% Senior Unsecured Notes due 2021 (the “2021 Senior Unsecured Notes,”) at an issue price of 100.0%, pursuant to an Unsecured Indenture dated June 1, 2011. The principal and interest owed on the 2021 Senior Unsecured Notes were paid off at its maturity date on June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Secured Notes and 2026 Senior Unsecured Notes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27, 2016, HSSC issued $ 750.0 million aggregate principal amount of 5 1/4% Senior Secured Notes due 2026 (the “2026 Senior Secured Notes”) at an issue price of 100.0%, pursuant to an indenture dated July 27, 2016 (the “2016 Secured Indenture”) and $750.0 million aggregate principal amount of 6 5/8% Senior Unsecured Notes due 2026 (the “2026 Senior Unsecured Notes”) at an issue price of 100.0%, pursuant to an indenture dated July 27, 2016 (together with the 2016 Secured Indenture, the “Indentures”). The 2026 Senior Secured Notes and the 2026 Senior Unsecured Notes are referred to collectively as the “Notes” and individually as a series of the Notes. The Notes mature on August 1, 2026. Interest on the 2026 Senior Secured Notes accrues at an annual rate of 5 1/4% and interest on the 2026 Senior Unsecured Notes accrues at an annual rate of 6 5/8%. Interest on the Notes is payable semi-annually in cash, in arrears, on February 1 and August 1 of each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Relating to the Notes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Secured Notes are:</w:t>
      </w:r>
    </w:p>
    <w:p>
      <w:pPr>
        <w:spacing w:after="0" w:line="25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secured obligations of HSSC;</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existing and future tangible and intangible assets of HSSC and certain of its subsidiaries on a first priority basis, subject to certain exceptions;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effectively junior to HSSC’s obligations that are secured by assets that are not part of the collateral that secures the 2026 Senior Secured Notes to the extent of the value of the collateral securing such obligations;</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effectively senior to HSSC’s existing and future unsecured obligations to the extent of the value of the collateral securing the 2026 Senior Secured Notes, after giving effect to permitted liens as provided in the 2016 Secured Indenture;</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obligations of HSSC that are expressly subordinated to the 2026 Senior Secured Notes;</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HSSC’s subsidiaries that do not guarantee the 2026 Senior Secured Notes; and</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HSSC’s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Unsecured Notes are:</w:t>
      </w:r>
    </w:p>
    <w:p>
      <w:pPr>
        <w:spacing w:after="0" w:line="25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unsecured senior obligations of HSSC;</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ranked equally with all existing and future unsubordinated indebtedness and effectively junior to any secured indebtedness up to the value of the assets securing such indebtedness;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effectively junior to HSSC’s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obligations of HSSC that are expressly subordinated to the 2026 Senior Unsecured Notes;</w:t>
      </w:r>
    </w:p>
    <w:p>
      <w:pPr>
        <w:spacing w:after="0" w:line="6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HSSC’s subsidiaries that do not guarantee the 2026 Senior Unsecured Notes;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right="2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HSSC’s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HSSC’s ability and, in certain instances, the ability of certain of HSSC’s subsidiaries to:</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dividends or make distributions on HSSC’s or their capital stock or repurchase HSSC’s or their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allow to exist certain restrictions on its or their ability to pay dividends, make distributions, make other payments, or transfer assets.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of a Change of Control, as defined in the respective Indentures, HSSC would be required to make an offer to repurchase all or any part of a holder’s Notes at a purchase price equal to 101.0% of the aggregate principal amount thereof, together with accrued and unpaid interest to the date of repurchase.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25.0% in principal amount of the then outstanding Notes of such series may declare all the Notes of such series to be due and payable immediately, together with any accrued and unpaid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the years ended December 31, 2021, 2020 and 2019, we amortized $2.4 million, $4.3 million and $ 5.9 million, respectively, of debt issuance costs incurred for all debt issuances, which are included in </w:t>
      </w:r>
      <w:r>
        <w:rPr>
          <w:rFonts w:ascii="Arial" w:cs="Arial" w:eastAsia="Arial" w:hAnsi="Arial"/>
          <w:sz w:val="18"/>
          <w:szCs w:val="18"/>
          <w:i w:val="1"/>
          <w:iCs w:val="1"/>
          <w:color w:val="auto"/>
        </w:rPr>
        <w:t>Interest expense, net of amounts capitalized</w:t>
      </w:r>
      <w:r>
        <w:rPr>
          <w:rFonts w:ascii="Arial" w:cs="Arial" w:eastAsia="Arial" w:hAnsi="Arial"/>
          <w:sz w:val="18"/>
          <w:szCs w:val="18"/>
          <w:color w:val="auto"/>
        </w:rPr>
        <w:t xml:space="preserve"> in the Consolidated Statements of Operations.</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INCOME TAXES</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Consolidated Statements of Operations: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8"/>
              </w:rPr>
              <w:t>269,400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120,295</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rPr>
              <w:t>(141,053)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(213,460)</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8"/>
              </w:rPr>
              <w:t>128,347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Income tax benefit (provision), net</w:t>
      </w:r>
      <w:r>
        <w:rPr>
          <w:rFonts w:ascii="Arial" w:cs="Arial" w:eastAsia="Arial" w:hAnsi="Arial"/>
          <w:sz w:val="18"/>
          <w:szCs w:val="18"/>
          <w:color w:val="auto"/>
        </w:rPr>
        <w:t>, in the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benefit (provision),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(5,089)</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benefit (provision),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r>
      <w:tr>
        <w:trPr>
          <w:trHeight w:val="216"/>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benefit (provision),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(41,665)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(9,707)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(7,511)</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benefit (provision),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r>
      <w:tr>
        <w:trPr>
          <w:trHeight w:val="223"/>
        </w:trPr>
        <w:tc>
          <w:tcPr>
            <w:tcW w:w="5740" w:type="dxa"/>
            <w:vAlign w:val="bottom"/>
          </w:tcPr>
          <w:p>
            <w:pPr>
              <w:ind w:left="68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(24,069)</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(20,488)</w:t>
            </w:r>
          </w:p>
        </w:tc>
      </w:tr>
      <w:tr>
        <w:trPr>
          <w:trHeight w:val="21"/>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actual tax provisions reconciled to the amounts computed by applying the statutory federal tax rate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from continuing operations before income taxes </w:t>
      </w:r>
      <w:r>
        <w:rPr>
          <w:rFonts w:ascii="Arial" w:cs="Arial" w:eastAsia="Arial" w:hAnsi="Arial"/>
          <w:sz w:val="18"/>
          <w:szCs w:val="18"/>
          <w:color w:val="auto"/>
        </w:rPr>
        <w:t>in the Consolidated Statements of Operations :</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State income taxes, net of federal provision (benefit)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(8,137)</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12,453</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(54,251)</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Rates different than statutory</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18,786</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income tax benefit (provision),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our deferred tax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51"/>
        </w:trPr>
        <w:tc>
          <w:tcPr>
            <w:tcW w:w="7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Net operating losses, credit and other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253,767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274,894</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on investments,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43,693</w:t>
            </w: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21,787</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r>
      <w:tr>
        <w:trPr>
          <w:trHeight w:val="22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35,689</w:t>
            </w:r>
          </w:p>
        </w:tc>
      </w:tr>
      <w:tr>
        <w:trPr>
          <w:trHeight w:val="223"/>
        </w:trPr>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382,786</w:t>
            </w:r>
          </w:p>
        </w:tc>
      </w:tr>
      <w:tr>
        <w:trPr>
          <w:trHeight w:val="229"/>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(225,593)</w:t>
            </w: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157,193</w:t>
            </w:r>
          </w:p>
        </w:tc>
      </w:tr>
      <w:tr>
        <w:trPr>
          <w:trHeight w:val="196"/>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(493,093)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(514,091)</w:t>
            </w: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(515,308)</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 foreign jurisdiction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assets (liabilities) domestic</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(359,896)</w:t>
            </w:r>
          </w:p>
        </w:tc>
      </w:tr>
      <w:tr>
        <w:trPr>
          <w:trHeight w:val="248"/>
        </w:trPr>
        <w:tc>
          <w:tcPr>
            <w:tcW w:w="79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net deferred tax assets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our net deferred tax assets were offset by a valuation allowance of $234.6 million and $225.6 million as of December 31, 2021 and 2020, respectively. The change in the valuation allowance relates to an increase in the net operating loss carryforwards of certain foreign subsidiaries and an increase to investment deferred tax assets that management does not believe will be realized; however, these increases are partially offset by a decrease due to changes in foreign exchange rates.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Tax benefits of net operating loss and tax credit carryforwards are evaluated on an ongoing basis, including a review of historical and projected future operating results, the eligible carryforward period, and other circumstances. As of December 31, 2021, we had net operating loss carryforwards of $684.4 million, including $682.8 million of foreign net operating loss carryforwards. The net operating loss carryforwards associated with India will begin to expire in 2027. As of December 31, 2021, we have tax credit carryforwards of $ 127.6 million and $99.9 million for federal and state income tax purposes, respectively. If not utilized, the federal tax credit carryforwards will begin to expire in 2035.</w:t>
      </w:r>
    </w:p>
    <w:p>
      <w:pPr>
        <w:spacing w:after="0" w:line="200" w:lineRule="exact"/>
        <w:rPr>
          <w:sz w:val="20"/>
          <w:szCs w:val="20"/>
          <w:color w:val="auto"/>
        </w:rPr>
      </w:pP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of December 31, 2021,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 However, due to the one-time transition tax on the deemed repatriation of post-1986 undistributed foreign subsidiary earnings, the majority of previously unremitted earnings have now been subjected to U.S. federal income tax. As of December 31, 2021 and 2020, we had net deferred tax assets related to our foreign subsidiaries of $5.4 million and $1.8 million, respectively, which were recorded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filing U.S. federal income tax returns, we file income tax returns in all states that impose an income tax. As of December 31, 2021, we are not currently under a U.S. federal income tax examination. However, the IRS could perform tax examinations on years as early as tax year 2008. We are also subject to frequent state income tax audits and have open state examinations on years as early as tax year 2008. We also file income tax returns in the United Kingdom, Brazil, India and a number of other foreign jurisdictions. We generally are open to income tax examination in these foreign jurisdictions for taxable years beginning in 2004. As of December 31, 2021, we are currently being audited by the Indian tax authorities for fiscal years 2004 through 2018. We have no other on-going significant income tax examinations in process in our foreign jurisdictions.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the beginning and ending amount of unrecognized income tax benefits: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 balance as of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69,540</w:t>
            </w: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related to prior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Reductions based on tax positions related to prior years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Balance as of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2021 and 2020, we had $150.3 million and $150.1 million, respectively, of unrecognized income tax benefits, all of which, if recognized, would affect our effective tax rate. Additions based on tax positions related to prior years in 2020 include amounts in our deferred tax assets previously considered contingent liabilities related to combined state filings with DISH Network. During 2020, we and DISH Network concluded that combined state filings were no longer required. The amounts have been added to this schedule to reflect the change in filing status.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2020 and 2019, our income tax provision included an insignificant amount of interest and penalties.</w:t>
      </w: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is authorized to issue preferred stock and may divide such preferred stock into series and, with respect to each series, to determine the preferences and rights and the qualifications, limitations or restrictions of the series, including the dividend rights, conversion rights, voting rights, redemption rights and terms, liquidation preferences, sinking fund provisions, the number of shares constituting the series and the designation of such series. 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Class A, Class B, and Class C common stock are equivalent except for voting rights. Holders of Class A and Class C common stock are entitled to one vote per share and holders of Class B common stock are entitled to 10 votes per share. Upon a change in control of the Company, each holder of outstanding shares of Class C common stock is entitled to 10 votes for each share of Class C common stock held. Each share of Class B and Class C common stock is convertible, at the option of the holder, into one share of Class A common stock. Charles W. Ergen, our Chairman, and certain entities established for the benefit of his family beneficially own all outstanding Class B common stock. There are no shares of Class C common stock outstanding.</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holder of Class D common stock is not entitled to a vote on any matter or to convert the shares of Class D common stock into any other class of common stock. There are no shares of Class D common stock outstanding.</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share of common stock is entitled to receive its pro rata share, based upon the number of shares of common stock held, of dividends and distributions upon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a stock repurchase program approved by our board of directors, we were authorized to repurchase up to $500.0 million of our Class A common stock through December 31, 2021. The following table presents information with respect to purchases made by the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4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Per Share (or Unit)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Plans or Program (1)</w:t>
            </w: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2019</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456,542</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10,941,872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10,941,872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194,933</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12,847,778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12,847,778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80" w:firstLine="9"/>
        <w:spacing w:after="0" w:line="267" w:lineRule="auto"/>
        <w:tabs>
          <w:tab w:leader="none" w:pos="220" w:val="left"/>
        </w:tabs>
        <w:numPr>
          <w:ilvl w:val="0"/>
          <w:numId w:val="55"/>
        </w:numPr>
        <w:rPr>
          <w:rFonts w:ascii="Arial" w:cs="Arial" w:eastAsia="Arial" w:hAnsi="Arial"/>
          <w:sz w:val="16"/>
          <w:szCs w:val="16"/>
          <w:color w:val="auto"/>
          <w:vertAlign w:val="superscript"/>
        </w:rPr>
      </w:pPr>
      <w:r>
        <w:rPr>
          <w:rFonts w:ascii="Arial" w:cs="Arial" w:eastAsia="Arial" w:hAnsi="Arial"/>
          <w:sz w:val="12"/>
          <w:szCs w:val="12"/>
          <w:color w:val="auto"/>
        </w:rPr>
        <w:t>On October 29, 2020, our Board of Directors authorized us to repurchase up to $500.0 million of our Class A common stock through and including December 31, 2021. On November 2, 2021, our Board of Directors authorized us to repurchase up to $500.0 million of our Class A common stock commencing January 1, 2022 through and including December 31, 2022. All shares repurchased reflected in the table above have been converted to treasury shares.</w:t>
      </w:r>
    </w:p>
    <w:p>
      <w:pPr>
        <w:spacing w:after="0" w:line="200" w:lineRule="exact"/>
        <w:rPr>
          <w:sz w:val="20"/>
          <w:szCs w:val="20"/>
          <w:color w:val="auto"/>
        </w:rPr>
      </w:pPr>
    </w:p>
    <w:p>
      <w:pPr>
        <w:spacing w:after="0" w:line="2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 employee stock purchase plan (the “ESPP”), under which we are authorized to issue 5.0 million shares of Class A common stock. As of December 31, 2021, we had approximately 1.3 million shares of Class A common stock which remain available for issuance under the ESPP. Generally, all full-time employees who have been employed by EchoStar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the Class A common stock on that date. For the years ended December 31, 2021, 2020 and 2019, employee purchases of Class A common stock through the ESPP totaled approximately 446,000 shares, 452,000 shares and 285,000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Employee Savings Plans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EchoStar 401(k) Plan (“the Plan”), eligible employees are entitled to contribute up to 75.0% of their eligible compensation, on a pre-tax and/or after-tax basis, subject to the maximum contribution limit provided by the Internal Revenue Code of 1986, as amended (the “Code”). All employee contributions to the Plan are immediately vested. We match 50 cents on the dollar for the first 6.0% of each employee’s salary contributions to the Plan for a total of 3.0% match on a pre-tax basis up to a maximum of $7,500 annually. Our match is calculated each pay period there is an employee contribution. In addition, we may make an annual discretionary contribution to the Plan to be made in cash or our stock. Our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matching contributions, discretionary contributions and shares: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Matching contributions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Fair value of discretionary contributions of our Class A common stock,</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1"/>
                <w:szCs w:val="1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6,921</w:t>
            </w:r>
          </w:p>
        </w:tc>
        <w:tc>
          <w:tcPr>
            <w:tcW w:w="120" w:type="dxa"/>
            <w:vAlign w:val="bottom"/>
          </w:tcPr>
          <w:p>
            <w:pPr>
              <w:spacing w:after="0"/>
              <w:rPr>
                <w:sz w:val="11"/>
                <w:szCs w:val="11"/>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line="190" w:lineRule="exact"/>
              <w:rPr>
                <w:sz w:val="20"/>
                <w:szCs w:val="20"/>
                <w:color w:val="auto"/>
              </w:rPr>
            </w:pPr>
            <w:r>
              <w:rPr>
                <w:rFonts w:ascii="Arial" w:cs="Arial" w:eastAsia="Arial" w:hAnsi="Arial"/>
                <w:sz w:val="18"/>
                <w:szCs w:val="18"/>
                <w:color w:val="auto"/>
              </w:rPr>
              <w:t>net of forfeitures, under 401(k) plan</w:t>
            </w: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line="197" w:lineRule="exact"/>
              <w:rPr>
                <w:sz w:val="20"/>
                <w:szCs w:val="20"/>
                <w:color w:val="auto"/>
              </w:rPr>
            </w:pPr>
            <w:r>
              <w:rPr>
                <w:rFonts w:ascii="Arial" w:cs="Arial" w:eastAsia="Arial" w:hAnsi="Arial"/>
                <w:sz w:val="18"/>
                <w:szCs w:val="18"/>
                <w:color w:val="auto"/>
              </w:rPr>
              <w:t>Approximate number of shares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stock incentive plans to attract and retain officers, directors, employees, consultants and advisors. Stock awards under these plans may include both performance-based and non-performance-based stock incentives. As of December 31, 2021, we had outstanding stock options to acquire approximately 4.8 million shares of our Class A common stock under these plans. Stock options granted prior to December 31, 2021 were granted with exercise prices equal to or greater than the market value of our Class A common stock at the date of grant or the last trading day prior to the date of grant (if the grant date is not a trading day) and generally with a maximum term of ten years for our officers and employees and five years for our non-employee directors. While we generally issue stock awards subject to vesting, typically over five years, some stock awards have been granted with immediate or longer vesting periods or that vest only upon the achievement of certain performance objectives. Under these plans, we grant to certain of our employees awards of fully vested shares of Class A common stock under our Employee Innovator Recognition Program, which is available to all of our eligible employees. As of December 31, 2021, we had approximately 6.4 million shares of our Class A common stock available for future grant under our stock incentive plans.</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BSS Transaction, we adjusted stock options that were unexercised and outstanding as of the date of the Distribution, which resulted in an increase in the number of such options and a reduction in the exercise price of such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exercise prices for stock options outstanding and exercisable as of December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rPr>
              <w:t>Options Exercisable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10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6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Average</w:t>
            </w: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1"/>
                <w:szCs w:val="11"/>
                <w:color w:val="auto"/>
              </w:rPr>
            </w:pPr>
          </w:p>
        </w:tc>
        <w:tc>
          <w:tcPr>
            <w:tcW w:w="11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0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Exercise Price Range</w:t>
            </w:r>
          </w:p>
        </w:tc>
        <w:tc>
          <w:tcPr>
            <w:tcW w:w="120" w:type="dxa"/>
            <w:vAlign w:val="bottom"/>
            <w:vMerge w:val="restart"/>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Outstanding as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Exercise</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Exercisable as of</w:t>
            </w: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220" w:type="dxa"/>
            <w:vAlign w:val="bottom"/>
          </w:tcPr>
          <w:p>
            <w:pPr>
              <w:spacing w:after="0"/>
              <w:rPr>
                <w:sz w:val="11"/>
                <w:szCs w:val="11"/>
                <w:color w:val="auto"/>
              </w:rPr>
            </w:pPr>
          </w:p>
        </w:tc>
        <w:tc>
          <w:tcPr>
            <w:tcW w:w="11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$0.00 - $20.00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9"/>
              </w:rPr>
              <w:t>$20.01 - $25.00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309,321</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33,221</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$25.01 - $30.00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442,635</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425,635</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29"/>
        </w:trPr>
        <w:tc>
          <w:tcPr>
            <w:tcW w:w="2080" w:type="dxa"/>
            <w:vAlign w:val="bottom"/>
          </w:tcPr>
          <w:p>
            <w:pPr>
              <w:jc w:val="center"/>
              <w:spacing w:after="0"/>
              <w:rPr>
                <w:sz w:val="20"/>
                <w:szCs w:val="20"/>
                <w:color w:val="auto"/>
              </w:rPr>
            </w:pPr>
            <w:r>
              <w:rPr>
                <w:rFonts w:ascii="Arial" w:cs="Arial" w:eastAsia="Arial" w:hAnsi="Arial"/>
                <w:sz w:val="18"/>
                <w:szCs w:val="18"/>
                <w:color w:val="auto"/>
                <w:w w:val="99"/>
              </w:rPr>
              <w:t>$30.01 - $35.00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616,374</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415,065</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$35.01 - $40.00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1,503,054</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786,480</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30"/>
        </w:trPr>
        <w:tc>
          <w:tcPr>
            <w:tcW w:w="2080" w:type="dxa"/>
            <w:vAlign w:val="bottom"/>
          </w:tcPr>
          <w:p>
            <w:pPr>
              <w:jc w:val="center"/>
              <w:spacing w:after="0"/>
              <w:rPr>
                <w:sz w:val="20"/>
                <w:szCs w:val="20"/>
                <w:color w:val="auto"/>
              </w:rPr>
            </w:pPr>
            <w:r>
              <w:rPr>
                <w:rFonts w:ascii="Arial" w:cs="Arial" w:eastAsia="Arial" w:hAnsi="Arial"/>
                <w:sz w:val="18"/>
                <w:szCs w:val="18"/>
                <w:color w:val="auto"/>
                <w:w w:val="99"/>
              </w:rPr>
              <w:t>$40.01 - $45.00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1,006,518</w:t>
            </w:r>
          </w:p>
        </w:tc>
        <w:tc>
          <w:tcPr>
            <w:tcW w:w="170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1,001,942</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$45.01 - $50.00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863,829</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676,675</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$50.01 - $55.00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57,524</w:t>
            </w: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47,156</w:t>
            </w:r>
          </w:p>
        </w:tc>
        <w:tc>
          <w:tcPr>
            <w:tcW w:w="16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4,799,255</w:t>
            </w:r>
          </w:p>
        </w:tc>
        <w:tc>
          <w:tcPr>
            <w:tcW w:w="17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3,386,174</w:t>
            </w:r>
          </w:p>
        </w:tc>
        <w:tc>
          <w:tcPr>
            <w:tcW w:w="1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Activity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stock option activity: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2"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Weighted-</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57"/>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1"/>
                <w:szCs w:val="11"/>
                <w:color w:val="auto"/>
              </w:rPr>
            </w:pPr>
          </w:p>
        </w:tc>
        <w:tc>
          <w:tcPr>
            <w:tcW w:w="13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Exercise</w:t>
            </w:r>
          </w:p>
        </w:tc>
        <w:tc>
          <w:tcPr>
            <w:tcW w:w="13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Price</w:t>
            </w: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68"/>
        </w:trPr>
        <w:tc>
          <w:tcPr>
            <w:tcW w:w="24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Total options outstanding,</w:t>
            </w: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4,804,891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4,812,644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5,013,038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325,500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180,500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1,959,597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 and 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options outstanding,</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4,799,255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4,804,891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4,812,644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end of period</w:t>
            </w: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Exercisable at end of period</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3,386,174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39.99</w:t>
            </w: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3,045,000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39.42</w:t>
            </w: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2,510,947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additional share-based compensation disclosures: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benefits from stock options exercised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Aggregate intrinsic value of our stock options exercised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50"/>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17,101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r>
              <w:rPr>
                <w:rFonts w:ascii="Arial" w:cs="Arial" w:eastAsia="Arial" w:hAnsi="Arial"/>
                <w:sz w:val="18"/>
                <w:szCs w:val="18"/>
                <w:b w:val="1"/>
                <w:bCs w:val="1"/>
                <w:color w:val="auto"/>
              </w:rPr>
              <w:t>Stock-Based Compensation</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960" w:type="dxa"/>
            <w:vAlign w:val="bottom"/>
            <w:gridSpan w:val="2"/>
          </w:tcPr>
          <w:p>
            <w:pPr>
              <w:spacing w:after="0"/>
              <w:rPr>
                <w:sz w:val="20"/>
                <w:szCs w:val="20"/>
                <w:color w:val="auto"/>
              </w:rPr>
            </w:pPr>
            <w:r>
              <w:rPr>
                <w:rFonts w:ascii="Arial" w:cs="Arial" w:eastAsia="Arial" w:hAnsi="Arial"/>
                <w:sz w:val="18"/>
                <w:szCs w:val="18"/>
                <w:color w:val="auto"/>
              </w:rPr>
              <w:t>The following table presents our total non-cash, stock-based compensation expense: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58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82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29"/>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r>
      <w:tr>
        <w:trPr>
          <w:trHeight w:val="223"/>
        </w:trPr>
        <w:tc>
          <w:tcPr>
            <w:tcW w:w="58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r>
      <w:tr>
        <w:trPr>
          <w:trHeight w:val="21"/>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income tax benefits related to stock-based compensation expense was $1.5 million, $1.7 million and $1.9 million for the years ended December 31, 2021, 2020 and 2019, respectively. As of December 31, 2021, total unrecognized stock-based compensation cost, net of estimated forfeitures, related to our unvested stock awards was $10.9 million. This amount is based on an estimated future forfeiture rate of 2.0% per year and will be recognized over a weighted-average period of approximately two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Stock Options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each stock option granted for the years ended December 31, 2021, 2020 and 2019 was estimated at the date of the grant using a Black-Scholes option valuation model. The following table presents the estimated grant-date fair values and related assumptions: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For the years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Assumptions: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0.48%</w:t>
            </w:r>
          </w:p>
        </w:tc>
        <w:tc>
          <w:tcPr>
            <w:tcW w:w="980" w:type="dxa"/>
            <w:vAlign w:val="bottom"/>
          </w:tcPr>
          <w:p>
            <w:pPr>
              <w:ind w:left="20"/>
              <w:spacing w:after="0"/>
              <w:rPr>
                <w:sz w:val="20"/>
                <w:szCs w:val="20"/>
                <w:color w:val="auto"/>
              </w:rPr>
            </w:pPr>
            <w:r>
              <w:rPr>
                <w:rFonts w:ascii="Arial" w:cs="Arial" w:eastAsia="Arial" w:hAnsi="Arial"/>
                <w:sz w:val="18"/>
                <w:szCs w:val="18"/>
                <w:color w:val="auto"/>
              </w:rPr>
              <w:t>- 1.11%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1000" w:type="dxa"/>
            <w:vAlign w:val="bottom"/>
          </w:tcPr>
          <w:p>
            <w:pPr>
              <w:ind w:left="40"/>
              <w:spacing w:after="0"/>
              <w:rPr>
                <w:sz w:val="20"/>
                <w:szCs w:val="20"/>
                <w:color w:val="auto"/>
              </w:rPr>
            </w:pPr>
            <w:r>
              <w:rPr>
                <w:rFonts w:ascii="Arial" w:cs="Arial" w:eastAsia="Arial" w:hAnsi="Arial"/>
                <w:sz w:val="18"/>
                <w:szCs w:val="18"/>
                <w:color w:val="auto"/>
              </w:rPr>
              <w:t>- 1.72%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1000" w:type="dxa"/>
            <w:vAlign w:val="bottom"/>
          </w:tcPr>
          <w:p>
            <w:pPr>
              <w:ind w:left="20"/>
              <w:spacing w:after="0"/>
              <w:rPr>
                <w:sz w:val="20"/>
                <w:szCs w:val="20"/>
                <w:color w:val="auto"/>
              </w:rPr>
            </w:pPr>
            <w:r>
              <w:rPr>
                <w:rFonts w:ascii="Arial" w:cs="Arial" w:eastAsia="Arial" w:hAnsi="Arial"/>
                <w:sz w:val="18"/>
                <w:szCs w:val="18"/>
                <w:color w:val="auto"/>
              </w:rPr>
              <w:t>- 2.54%</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- 34.51%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- 30.07%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- 30.95%</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Expected term of options (in years)</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980" w:type="dxa"/>
            <w:vAlign w:val="bottom"/>
          </w:tcPr>
          <w:p>
            <w:pPr>
              <w:ind w:left="20"/>
              <w:spacing w:after="0"/>
              <w:rPr>
                <w:sz w:val="20"/>
                <w:szCs w:val="20"/>
                <w:color w:val="auto"/>
              </w:rPr>
            </w:pPr>
            <w:r>
              <w:rPr>
                <w:rFonts w:ascii="Arial" w:cs="Arial" w:eastAsia="Arial" w:hAnsi="Arial"/>
                <w:sz w:val="18"/>
                <w:szCs w:val="18"/>
                <w:color w:val="auto"/>
              </w:rPr>
              <w:t>- 5.9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Pr>
          <w:p>
            <w:pPr>
              <w:ind w:left="40"/>
              <w:spacing w:after="0"/>
              <w:rPr>
                <w:sz w:val="20"/>
                <w:szCs w:val="20"/>
                <w:color w:val="auto"/>
              </w:rPr>
            </w:pPr>
            <w:r>
              <w:rPr>
                <w:rFonts w:ascii="Arial" w:cs="Arial" w:eastAsia="Arial" w:hAnsi="Arial"/>
                <w:sz w:val="18"/>
                <w:szCs w:val="18"/>
                <w:color w:val="auto"/>
              </w:rPr>
              <w:t>- 5.9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0" w:type="dxa"/>
            <w:vAlign w:val="bottom"/>
          </w:tcPr>
          <w:p>
            <w:pPr>
              <w:ind w:left="20"/>
              <w:spacing w:after="0"/>
              <w:rPr>
                <w:sz w:val="20"/>
                <w:szCs w:val="20"/>
                <w:color w:val="auto"/>
              </w:rPr>
            </w:pPr>
            <w:r>
              <w:rPr>
                <w:rFonts w:ascii="Arial" w:cs="Arial" w:eastAsia="Arial" w:hAnsi="Arial"/>
                <w:sz w:val="18"/>
                <w:szCs w:val="18"/>
                <w:color w:val="auto"/>
              </w:rPr>
              <w:t>- 5.8</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grant-date fair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$8.32</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$6.56 - $11.63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$14.49</w:t>
            </w: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intend to pay dividends on our common stock and accordingly, the dividend yield used in the Black-Scholes option valuation model was assumed to be zero for all periods. The Black-Scholes option valuation model was developed for use in estimating the fair value of traded stock options which have no vesting restrictions and are fully transferable. Consequently, our estimate of fair value may differ from that determined using other valuation models. Further, the Black-Scholes option valuation model requires the input of subjective assumptions. Changes in the subjective input assumptions can materially affect the fair value estimate.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closing market price of our Class A common stock on December 31, 2021, the aggregate intrinsic value of our stock options was $0.6 million for options outstanding and $0.1 million for options exercisable as of December 31, 2021.</w:t>
      </w:r>
    </w:p>
    <w:p>
      <w:pPr>
        <w:spacing w:after="0" w:line="2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and DISH have operated as separate publicly-traded companies since 2008 (the “Spin-off”). A substantial majority of the voting power of the shares of each of EchoStar Corporation and DISH is owned beneficially by Charles W. Ergen, our Chairman, and by certain entities established for the benefit of his family.</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2017, we and certain of our subsidiaries entered into the Share Exchange Agreement with DISH and certain of its subsidiaries pursuant to which, in February 2017, we received all of the shares of the Tracking Stock,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representing an 80% economic interest in the residential retail satellite broadband business of our Hughes segment, in the Share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Tracking Stock was retired in March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2019, pursuant to the Master Transaction Agreement with DISH and the Merger Sub, we completed the BSS Transaction.</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36,531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4,244</w:t>
            </w: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IX satellite. Subject to availability, DISH Network generally has the right to continue leasing satellite capacity from us on the EchoStar IX satellite on a month-to-month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In September 2009, we entered into the Telesat Transponder Agreement. In September 2009, we entered</w:t>
      </w:r>
    </w:p>
    <w:p>
      <w:pPr>
        <w:spacing w:after="0" w:line="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into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63" w:lineRule="exact"/>
        <w:rPr>
          <w:sz w:val="20"/>
          <w:szCs w:val="20"/>
          <w:color w:val="auto"/>
        </w:rPr>
      </w:pPr>
    </w:p>
    <w:p>
      <w:pPr>
        <w:jc w:val="both"/>
        <w:ind w:left="660" w:hanging="328"/>
        <w:spacing w:after="0" w:line="225"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to use certain of our space at 100 Inverness Terrace East, Englewood, Colorado for an initial period ending in December 2020. Effective December 2020, we amended this agreement to extend the license until December 2021. Effective December 2021, we amended this agreement to extend the license until December 2022. This agreement may be terminated by either party upon 180 days’ prior notice. Subsequent to December 2022,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11"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2022. After December 2022, this agreement may be converted by mutual consent to a month-to-month lease agreement with either party having the right to terminate upon 30 days’ notice.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7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8"/>
                <w:szCs w:val="18"/>
                <w:b w:val="1"/>
                <w:bCs w:val="1"/>
                <w:color w:val="auto"/>
                <w:w w:val="99"/>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2023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 or subsequent amendments and includes our portion of the taxes, insurance, utilities and/or maintenance of the premises. The terms of each of the leases are set forth below:</w:t>
      </w:r>
    </w:p>
    <w:p>
      <w:pPr>
        <w:spacing w:after="0" w:line="190" w:lineRule="exact"/>
        <w:rPr>
          <w:sz w:val="20"/>
          <w:szCs w:val="20"/>
          <w:color w:val="auto"/>
        </w:rPr>
      </w:pPr>
    </w:p>
    <w:p>
      <w:pPr>
        <w:jc w:val="both"/>
        <w:ind w:left="660" w:hanging="328"/>
        <w:spacing w:after="0" w:line="22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w:t>
      </w:r>
    </w:p>
    <w:p>
      <w:pPr>
        <w:spacing w:after="0" w:line="20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American Fork Occupancy License Agreement </w:t>
      </w:r>
      <w:r>
        <w:rPr>
          <w:rFonts w:ascii="Arial" w:cs="Arial" w:eastAsia="Arial" w:hAnsi="Arial"/>
          <w:sz w:val="18"/>
          <w:szCs w:val="18"/>
          <w:color w:val="auto"/>
        </w:rPr>
        <w:t>— Effective March 2017, we entered into an agreement with DISH Network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exercised our option to renew this agreement for a five-year period ending in August 2022. We and DISH Network amended this agreement to, among other things, terminate this agreement in March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November 2020, we provided a termination notice for one of our Englewood, Colorado agreements to be effective May 2021. In August 2017, we and DISH Network also entered into certain other agreements pursuant to which DISH Network provides additional collocation and antenna space to us in Monee, Illinois and Spokane, Washington through August 2022. In November 2021, we exercised our right to renew the collocation agreements at Gilbert, Arizona, Cheyenne, Wyoming, Spokane, Washington, Englewood, Colorado and Monee, Illinois for a period ending in February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$8.4 million, $16.6 million and $17.1 million for the years ended December 31, 2021, 2020 and 2019, respectively.</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In June 2021, we amended the 2019 TT&amp;C Agreement to extend the term until September 2022 and added the option for us to renew the 2019 TT&amp;C Agreement up to an additional three years.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indefinite term and, after June 2022, may be terminated by either party upon 90 days’ prior written notice.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Receivables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receivables owed from DISH Network:</w:t>
      </w:r>
    </w:p>
    <w:p>
      <w:pPr>
        <w:spacing w:after="0" w:line="122"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 current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ind w:left="20"/>
              <w:spacing w:after="0" w:line="203" w:lineRule="exact"/>
              <w:rPr>
                <w:sz w:val="20"/>
                <w:szCs w:val="20"/>
                <w:color w:val="auto"/>
              </w:rPr>
            </w:pPr>
            <w:r>
              <w:rPr>
                <w:rFonts w:ascii="Arial" w:cs="Arial" w:eastAsia="Arial" w:hAnsi="Arial"/>
                <w:sz w:val="18"/>
                <w:szCs w:val="18"/>
                <w:color w:val="auto"/>
              </w:rPr>
              <w:t>Other receivables - DISH Network, noncurrent</w:t>
            </w:r>
          </w:p>
        </w:tc>
        <w:tc>
          <w:tcPr>
            <w:tcW w:w="5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77,920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92,680</w:t>
            </w:r>
          </w:p>
        </w:tc>
      </w:tr>
      <w:tr>
        <w:trPr>
          <w:trHeight w:val="21"/>
        </w:trPr>
        <w:tc>
          <w:tcPr>
            <w:tcW w:w="7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receivables - DISH Network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of termination of the Tax Sharing Agreement, a change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 control of either us or DISH Network or, for any particular state, if we and DISH Network no longer file a combined tax return for such state.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and 2019, DISH Network has utilized tax benefits of $2.2 million and tax provisions of $1.6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42% ownership in Hughes Systique, Mr. Pradman Kaul, the President of our subsidiary Hughes Communications and a member of our board of directors, and his brother, who is the Chief Executive Officer and President of Hughes Systique, own in the aggregate approximately 25%, on an undiluted basis, of Hughes Systique’s outstanding shares as of December 31, 2021.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$ 1.9 million, $ 4.4 million and $12.5 million for the years ended December 31, 2021, 2020 and 2019, respectively. As of December 31, 2020, we had $0.4 million of trade accounts receivable from TSI.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IP</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and as an executive advisor to the Chief Executive Officer of Global IP from September 2017 until April 2019 and from September 2017 until December 2019, respectively.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have not recognized any revenue since the termination of this agreement. As of December 31, 2021 and 2020, we were owed $7.5 million from Global IP.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Maxar Technologies Inc.</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Jeffrey Tarr, who joined our board of directors in March 2019, served as a consultant and advisor to Maxar Technologies Inc. and its subsidiaries (“Maxar Tech”) through May 2019. We previously entered into agreements with Maxar Tech for the manufacture and certain other services of the EchoStar IX satellite, the EchoStar XVII satellite, the EchoStar XIX satellite, the EchoStar XXI satellite and the EchoStar XXIV satellite and our former EchoStar XI satellite, EchoStar XIV satellite, EchoStar XVI satellite and EchoStar XXIII satellite.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$19.7 million, $23.9 million and $90.3 million for the years ended December 31, 2021, 2020 and 2019, respectively. At both December 31, 2021 and 2020, we had no trade payable to Maxar 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21.</w:t>
        <w:tab/>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12"/>
          </w:tcPr>
          <w:p>
            <w:pPr>
              <w:jc w:val="right"/>
              <w:ind w:right="99"/>
              <w:spacing w:after="0"/>
              <w:rPr>
                <w:sz w:val="20"/>
                <w:szCs w:val="20"/>
                <w:color w:val="auto"/>
              </w:rPr>
            </w:pPr>
            <w:r>
              <w:rPr>
                <w:rFonts w:ascii="Arial" w:cs="Arial" w:eastAsia="Arial" w:hAnsi="Arial"/>
                <w:sz w:val="16"/>
                <w:szCs w:val="16"/>
                <w:b w:val="1"/>
                <w:bCs w:val="1"/>
                <w:color w:val="auto"/>
              </w:rPr>
              <w:t>Payments Due in the Years Ending December 31,</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2"/>
        </w:trPr>
        <w:tc>
          <w:tcPr>
            <w:tcW w:w="2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4"/>
              <w:spacing w:after="0" w:line="212" w:lineRule="exact"/>
              <w:rPr>
                <w:sz w:val="20"/>
                <w:szCs w:val="20"/>
                <w:color w:val="auto"/>
              </w:rPr>
            </w:pPr>
            <w:r>
              <w:rPr>
                <w:rFonts w:ascii="Arial" w:cs="Arial" w:eastAsia="Arial" w:hAnsi="Arial"/>
                <w:sz w:val="24"/>
                <w:szCs w:val="24"/>
                <w:b w:val="1"/>
                <w:bCs w:val="1"/>
                <w:color w:val="auto"/>
                <w:vertAlign w:val="subscript"/>
              </w:rPr>
              <w:t>Total</w:t>
            </w:r>
            <w:r>
              <w:rPr>
                <w:rFonts w:ascii="Arial" w:cs="Arial" w:eastAsia="Arial" w:hAnsi="Arial"/>
                <w:sz w:val="9"/>
                <w:szCs w:val="9"/>
                <w:b w:val="1"/>
                <w:bCs w:val="1"/>
                <w:color w:val="auto"/>
              </w:rPr>
              <w:t xml:space="preserve"> (6)(7)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Thereafter</w:t>
            </w:r>
          </w:p>
        </w:tc>
      </w:tr>
      <w:tr>
        <w:trPr>
          <w:trHeight w:val="209"/>
        </w:trPr>
        <w:tc>
          <w:tcPr>
            <w:tcW w:w="28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on long-term debt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445,315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89,063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Satellite-related commitments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109,005</w:t>
            </w:r>
          </w:p>
        </w:tc>
      </w:tr>
      <w:tr>
        <w:trPr>
          <w:trHeight w:val="216"/>
        </w:trPr>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102,582</w:t>
            </w:r>
          </w:p>
        </w:tc>
      </w:tr>
      <w:tr>
        <w:trPr>
          <w:trHeight w:val="216"/>
        </w:trPr>
        <w:tc>
          <w:tcPr>
            <w:tcW w:w="2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Finance lease obligations </w:t>
            </w:r>
            <w:r>
              <w:rPr>
                <w:rFonts w:ascii="Arial" w:cs="Arial" w:eastAsia="Arial" w:hAnsi="Arial"/>
                <w:sz w:val="21"/>
                <w:szCs w:val="21"/>
                <w:color w:val="auto"/>
                <w:vertAlign w:val="superscript"/>
              </w:rPr>
              <w:t>(5)</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88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2,489,963</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254,050</w:t>
            </w:r>
          </w:p>
        </w:tc>
        <w:tc>
          <w:tcPr>
            <w:tcW w:w="3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137,389</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132,046</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128,612</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1,626,279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211,587</w:t>
            </w:r>
          </w:p>
        </w:tc>
      </w:tr>
      <w:tr>
        <w:trPr>
          <w:trHeight w:val="23"/>
        </w:trPr>
        <w:tc>
          <w:tcPr>
            <w:tcW w:w="28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180"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Assumes all long-term debt is outstanding until scheduled maturity.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interest on long-term debt.</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2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payments pursuant to: i) agreements for the construction of the EchoStar XXIV satellite, ii) the EchoStar XXIV launch contract, iii) regulatory authorizations, non-lease costs associated with our finance lease satellites, in-orbit incentives relating to certain satellites and commitments for satellite service arrangements.</w:t>
      </w: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Operating leases consist primarily of leases for office space, data centers and satellite-related ground infrastructure.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Finance leases consist primarily of leases for satellite capacity.</w:t>
      </w:r>
    </w:p>
    <w:p>
      <w:pPr>
        <w:spacing w:after="0" w:line="1" w:lineRule="exact"/>
        <w:rPr>
          <w:rFonts w:ascii="Arial" w:cs="Arial" w:eastAsia="Arial" w:hAnsi="Arial"/>
          <w:sz w:val="14"/>
          <w:szCs w:val="14"/>
          <w:color w:val="auto"/>
        </w:rPr>
      </w:pPr>
    </w:p>
    <w:p>
      <w:pPr>
        <w:ind w:left="340" w:hanging="332"/>
        <w:spacing w:after="0" w:line="241" w:lineRule="auto"/>
        <w:tabs>
          <w:tab w:leader="none" w:pos="2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table excludes amounts related to deferred tax liabilities, unrecognized tax positions and certain other amounts recorded in our non-current liabilities as the timing of any payments is uncertain.</w:t>
      </w: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table excludes long-term deferred revenue and other long-term liabilities that do not require future cash payments.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In December 2019, we entered into a comprehensive settlement agreement with Elbit pursuant to which we paid a total of $33.0 million in satisfaction of all amounts relating to these matters and all open proceedings, including appeals, were dismissed with prejudice.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5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 On December 9, 2021, the Court held a final settlement hearing. On December 10, 2021, the Court issued an Order granting final approval of the settlement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an additional payment on March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99"/>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license fees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76,871</w:t>
            </w:r>
          </w:p>
        </w:tc>
      </w:tr>
      <w:tr>
        <w:trPr>
          <w:trHeight w:val="229"/>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Payments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r>
      <w:tr>
        <w:trPr>
          <w:trHeight w:val="248"/>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22.</w:t>
        <w:tab/>
        <w:t>SEGMENT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segment and ESS segment.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17,295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12,199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1,956,226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11,815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1,985,720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296,303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142,127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438,430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781,824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702,541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16,237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10,836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1,860,834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17,398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1,887,907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408,798</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727,608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616,875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2019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1,852,742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15,131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18,208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1,886,081</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8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1,852,742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1,886,081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308,781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109,293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418,074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80" w:type="dxa"/>
            <w:vAlign w:val="bottom"/>
            <w:tcBorders>
              <w:bottom w:val="single" w:sz="8" w:color="CCEEFF"/>
            </w:tcBorders>
            <w:shd w:val="clear" w:color="auto" w:fill="CCEEFF"/>
          </w:tcPr>
          <w:p>
            <w:pPr>
              <w:ind w:left="180"/>
              <w:spacing w:after="0" w:line="180"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625,660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577,599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Consolidated Statements of Operations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(93,165)</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(82,352)</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251,016</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491,329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525,011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490,765</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702,541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616,875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577,599</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total long-lived assets attributed to the North America, South and Central America and other foreign locations: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2,959,316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2,954,421</w:t>
            </w: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311,063</w:t>
            </w:r>
          </w:p>
        </w:tc>
      </w:tr>
      <w:tr>
        <w:trPr>
          <w:trHeight w:val="229"/>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133,621</w:t>
            </w:r>
          </w:p>
        </w:tc>
      </w:tr>
      <w:tr>
        <w:trPr>
          <w:trHeight w:val="248"/>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3,399,105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costs incurred in connection with customers’ orders: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equipment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Research and development expenses</w:t>
            </w:r>
          </w:p>
        </w:tc>
        <w:tc>
          <w:tcPr>
            <w:tcW w:w="1100" w:type="dxa"/>
            <w:vAlign w:val="bottom"/>
            <w:tcBorders>
              <w:bottom w:val="single" w:sz="8" w:color="auto"/>
            </w:tcBorders>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31,777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29,448</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25,739</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incurred advertising expense of $82.4 million, $65.1 million and $88.2 million for the years ended December 31, 2021, 2020 and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reconciles cash and cash equivalents and restricted cash, as presented in the Consolidated Balance Sheets to the total of the same as presented in the Consolidated Statements of Cash Flows:</w:t>
      </w: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56"/>
        </w:trPr>
        <w:tc>
          <w:tcPr>
            <w:tcW w:w="5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Cash and cash equivalents, including restricted amounts,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896,005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1,519,431</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928,306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68"/>
        </w:trPr>
        <w:tc>
          <w:tcPr>
            <w:tcW w:w="5740" w:type="dxa"/>
            <w:vAlign w:val="bottom"/>
          </w:tcPr>
          <w:p>
            <w:pPr>
              <w:ind w:left="340"/>
              <w:spacing w:after="0" w:line="168" w:lineRule="exact"/>
              <w:rPr>
                <w:sz w:val="20"/>
                <w:szCs w:val="20"/>
                <w:color w:val="auto"/>
              </w:rPr>
            </w:pPr>
            <w:r>
              <w:rPr>
                <w:rFonts w:ascii="Arial" w:cs="Arial" w:eastAsia="Arial" w:hAnsi="Arial"/>
                <w:sz w:val="18"/>
                <w:szCs w:val="18"/>
                <w:color w:val="auto"/>
              </w:rPr>
              <w:t>Total cash and cash equivalents, included restricted amounts,</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896,812</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1,521,889</w:t>
            </w:r>
          </w:p>
        </w:tc>
        <w:tc>
          <w:tcPr>
            <w:tcW w:w="120" w:type="dxa"/>
            <w:vAlign w:val="bottom"/>
          </w:tcPr>
          <w:p>
            <w:pPr>
              <w:spacing w:after="0"/>
              <w:rPr>
                <w:sz w:val="14"/>
                <w:szCs w:val="14"/>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929,495</w:t>
            </w:r>
          </w:p>
        </w:tc>
        <w:tc>
          <w:tcPr>
            <w:tcW w:w="0" w:type="dxa"/>
            <w:vAlign w:val="bottom"/>
          </w:tcPr>
          <w:p>
            <w:pPr>
              <w:spacing w:after="0"/>
              <w:rPr>
                <w:sz w:val="1"/>
                <w:szCs w:val="1"/>
                <w:color w:val="auto"/>
              </w:rPr>
            </w:pPr>
          </w:p>
        </w:tc>
      </w:tr>
      <w:tr>
        <w:trPr>
          <w:trHeight w:val="195"/>
        </w:trPr>
        <w:tc>
          <w:tcPr>
            <w:tcW w:w="5740" w:type="dxa"/>
            <w:vAlign w:val="bottom"/>
          </w:tcPr>
          <w:p>
            <w:pPr>
              <w:ind w:left="340"/>
              <w:spacing w:after="0" w:line="190" w:lineRule="exact"/>
              <w:rPr>
                <w:sz w:val="20"/>
                <w:szCs w:val="20"/>
                <w:color w:val="auto"/>
              </w:rPr>
            </w:pPr>
            <w:r>
              <w:rPr>
                <w:rFonts w:ascii="Arial" w:cs="Arial" w:eastAsia="Arial" w:hAnsi="Arial"/>
                <w:sz w:val="18"/>
                <w:szCs w:val="18"/>
                <w:color w:val="auto"/>
              </w:rPr>
              <w:t>beginning of period</w:t>
            </w: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Cash and cash equivalents, including restricted amounts, end of</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1,519,431</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ind w:left="340"/>
              <w:spacing w:after="0" w:line="168" w:lineRule="exact"/>
              <w:rPr>
                <w:sz w:val="20"/>
                <w:szCs w:val="20"/>
                <w:color w:val="auto"/>
              </w:rPr>
            </w:pPr>
            <w:r>
              <w:rPr>
                <w:rFonts w:ascii="Arial" w:cs="Arial" w:eastAsia="Arial" w:hAnsi="Arial"/>
                <w:sz w:val="18"/>
                <w:szCs w:val="18"/>
                <w:color w:val="auto"/>
              </w:rPr>
              <w:t>Total cash and cash equivalents, included restricted amounts, end</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536,874</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896,812</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1,521,889</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of period</w:t>
            </w: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5,612</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Prepaids and deposits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55,381</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30,836</w:t>
            </w: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current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Other receivables - DISH Network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77,920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92,680</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Capitalized software,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124,701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116,661</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Contract fulfillment costs,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29,485</w:t>
            </w: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other non-current assets,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352,921</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activity in our allowance for doubtful accounts, which is included within Other, net in each of Other current assets, net and Other non-current assets, net in the table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For the years ended December 31,</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1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1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Other current</w:t>
            </w:r>
          </w:p>
        </w:tc>
        <w:tc>
          <w:tcPr>
            <w:tcW w:w="120" w:type="dxa"/>
            <w:vAlign w:val="bottom"/>
          </w:tcPr>
          <w:p>
            <w:pPr>
              <w:spacing w:after="0"/>
              <w:rPr>
                <w:sz w:val="14"/>
                <w:szCs w:val="14"/>
                <w:color w:val="auto"/>
              </w:rPr>
            </w:pPr>
          </w:p>
        </w:tc>
        <w:tc>
          <w:tcPr>
            <w:tcW w:w="14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Other non-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Other current</w:t>
            </w:r>
          </w:p>
        </w:tc>
        <w:tc>
          <w:tcPr>
            <w:tcW w:w="120" w:type="dxa"/>
            <w:vAlign w:val="bottom"/>
          </w:tcPr>
          <w:p>
            <w:pPr>
              <w:spacing w:after="0"/>
              <w:rPr>
                <w:sz w:val="14"/>
                <w:szCs w:val="14"/>
                <w:color w:val="auto"/>
              </w:rPr>
            </w:pPr>
          </w:p>
        </w:tc>
        <w:tc>
          <w:tcPr>
            <w:tcW w:w="142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9"/>
              </w:rPr>
              <w:t>Other non-</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current assets,</w:t>
            </w: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current assets,</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assets, net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net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assets, net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Credit losses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Deductions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20" w:lineRule="auto"/>
        <w:tabs>
          <w:tab w:leader="none" w:pos="23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 xml:space="preserve">The impact of adopting ASC 326 on January 1, 2020 was a net increase to our allowance for doubtful accounts largely driven by a $13.4 million reclassification from </w:t>
      </w:r>
      <w:r>
        <w:rPr>
          <w:rFonts w:ascii="Arial" w:cs="Arial" w:eastAsia="Arial" w:hAnsi="Arial"/>
          <w:sz w:val="14"/>
          <w:szCs w:val="14"/>
          <w:i w:val="1"/>
          <w:iCs w:val="1"/>
          <w:color w:val="auto"/>
        </w:rPr>
        <w:t>Trade</w:t>
      </w:r>
      <w:r>
        <w:rPr>
          <w:rFonts w:ascii="Arial" w:cs="Arial" w:eastAsia="Arial" w:hAnsi="Arial"/>
          <w:sz w:val="14"/>
          <w:szCs w:val="14"/>
          <w:color w:val="auto"/>
        </w:rPr>
        <w:t xml:space="preserve"> </w:t>
      </w:r>
      <w:r>
        <w:rPr>
          <w:rFonts w:ascii="Arial" w:cs="Arial" w:eastAsia="Arial" w:hAnsi="Arial"/>
          <w:sz w:val="14"/>
          <w:szCs w:val="14"/>
          <w:i w:val="1"/>
          <w:iCs w:val="1"/>
          <w:color w:val="auto"/>
        </w:rPr>
        <w:t>accounts receivables and contracts assets, net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 and Other Non-Current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payable - DISH Network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63,935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62,299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14,699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Accrual for license fee dispute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77,786</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299,999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69,484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70,893</w:t>
            </w:r>
          </w:p>
        </w:tc>
        <w:tc>
          <w:tcPr>
            <w:tcW w:w="0" w:type="dxa"/>
            <w:vAlign w:val="bottom"/>
          </w:tcPr>
          <w:p>
            <w:pPr>
              <w:spacing w:after="0"/>
              <w:rPr>
                <w:sz w:val="1"/>
                <w:szCs w:val="1"/>
                <w:color w:val="auto"/>
              </w:rPr>
            </w:pP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other non-current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70,893</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85,148</w:t>
            </w:r>
          </w:p>
        </w:tc>
        <w:tc>
          <w:tcPr>
            <w:tcW w:w="0" w:type="dxa"/>
            <w:vAlign w:val="bottom"/>
          </w:tcPr>
          <w:p>
            <w:pPr>
              <w:spacing w:after="0"/>
              <w:rPr>
                <w:sz w:val="1"/>
                <w:szCs w:val="1"/>
                <w:color w:val="auto"/>
              </w:rPr>
            </w:pP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97,992</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activity related to our capitalized software cost: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externally marketed software</w:t>
            </w:r>
          </w:p>
        </w:tc>
        <w:tc>
          <w:tcPr>
            <w:tcW w:w="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124,701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116,661</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gridSpan w:val="2"/>
          </w:tcPr>
          <w:p>
            <w:pPr>
              <w:ind w:left="20"/>
              <w:spacing w:after="0" w:line="203" w:lineRule="exact"/>
              <w:rPr>
                <w:sz w:val="20"/>
                <w:szCs w:val="20"/>
                <w:color w:val="auto"/>
              </w:rPr>
            </w:pPr>
            <w:r>
              <w:rPr>
                <w:rFonts w:ascii="Arial" w:cs="Arial" w:eastAsia="Arial" w:hAnsi="Arial"/>
                <w:sz w:val="18"/>
                <w:szCs w:val="18"/>
                <w:color w:val="auto"/>
                <w:w w:val="99"/>
              </w:rPr>
              <w:t>Externally marketed software under development and not yet placed into service</w:t>
            </w:r>
          </w:p>
        </w:tc>
        <w:tc>
          <w:tcPr>
            <w:tcW w:w="10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57,357</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72,047</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7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center"/>
              <w:ind w:left="4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Capitalized costs related to development of externally marketed</w:t>
            </w:r>
          </w:p>
        </w:tc>
        <w:tc>
          <w:tcPr>
            <w:tcW w:w="68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vMerge w:val="restart"/>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38,655</w:t>
            </w:r>
          </w:p>
        </w:tc>
        <w:tc>
          <w:tcPr>
            <w:tcW w:w="12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29,310</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software</w:t>
            </w: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Amortization expense relating to externally marketed software</w:t>
            </w:r>
          </w:p>
        </w:tc>
        <w:tc>
          <w:tcPr>
            <w:tcW w:w="680" w:type="dxa"/>
            <w:vAlign w:val="bottom"/>
          </w:tcPr>
          <w:p>
            <w:pPr>
              <w:jc w:val="right"/>
              <w:ind w:right="47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25,288</w:t>
            </w:r>
          </w:p>
        </w:tc>
        <w:tc>
          <w:tcPr>
            <w:tcW w:w="44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80" w:type="dxa"/>
            <w:vAlign w:val="bottom"/>
          </w:tcPr>
          <w:p>
            <w:pPr>
              <w:ind w:left="560"/>
              <w:spacing w:after="0" w:line="203" w:lineRule="exact"/>
              <w:rPr>
                <w:sz w:val="20"/>
                <w:szCs w:val="20"/>
                <w:color w:val="auto"/>
              </w:rPr>
            </w:pPr>
            <w:r>
              <w:rPr>
                <w:rFonts w:ascii="Arial" w:cs="Arial" w:eastAsia="Arial" w:hAnsi="Arial"/>
                <w:sz w:val="18"/>
                <w:szCs w:val="18"/>
                <w:color w:val="auto"/>
              </w:rPr>
              <w:t>23,780</w:t>
            </w:r>
          </w:p>
        </w:tc>
        <w:tc>
          <w:tcPr>
            <w:tcW w:w="120" w:type="dxa"/>
            <w:vAlign w:val="bottom"/>
          </w:tcPr>
          <w:p>
            <w:pPr>
              <w:spacing w:after="0"/>
              <w:rPr>
                <w:sz w:val="17"/>
                <w:szCs w:val="17"/>
                <w:color w:val="auto"/>
              </w:rPr>
            </w:pPr>
          </w:p>
        </w:tc>
        <w:tc>
          <w:tcPr>
            <w:tcW w:w="1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6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Cash paid for interest, net of amounts capitalized</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139,280</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195,331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Employee benefits paid in Class A common stock</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40" w:type="dxa"/>
            <w:vAlign w:val="bottom"/>
            <w:shd w:val="clear" w:color="auto" w:fill="CCEEFF"/>
          </w:tcPr>
          <w:p>
            <w:pPr>
              <w:ind w:left="140"/>
              <w:spacing w:after="0" w:line="155" w:lineRule="exact"/>
              <w:rPr>
                <w:sz w:val="20"/>
                <w:szCs w:val="20"/>
                <w:color w:val="auto"/>
              </w:rPr>
            </w:pPr>
            <w:r>
              <w:rPr>
                <w:rFonts w:ascii="Arial" w:cs="Arial" w:eastAsia="Arial" w:hAnsi="Arial"/>
                <w:sz w:val="17"/>
                <w:szCs w:val="17"/>
                <w:color w:val="auto"/>
              </w:rPr>
              <w:t>Increase (decrease) in capital expenditures included in accounts</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payable, net</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tcPr>
          <w:p>
            <w:pPr>
              <w:ind w:left="140"/>
              <w:spacing w:after="0" w:line="203" w:lineRule="exact"/>
              <w:rPr>
                <w:sz w:val="20"/>
                <w:szCs w:val="20"/>
                <w:color w:val="auto"/>
              </w:rPr>
            </w:pPr>
            <w:r>
              <w:rPr>
                <w:rFonts w:ascii="Arial" w:cs="Arial" w:eastAsia="Arial" w:hAnsi="Arial"/>
                <w:sz w:val="18"/>
                <w:szCs w:val="18"/>
                <w:color w:val="auto"/>
              </w:rPr>
              <w:t>Non-cash assets exchanged for BSS Transaction</w:t>
            </w:r>
          </w:p>
        </w:tc>
        <w:tc>
          <w:tcPr>
            <w:tcW w:w="1100" w:type="dxa"/>
            <w:vAlign w:val="bottom"/>
          </w:tcPr>
          <w:p>
            <w:pPr>
              <w:jc w:val="right"/>
              <w:ind w:right="89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532,855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40" w:type="dxa"/>
            <w:vAlign w:val="bottom"/>
            <w:shd w:val="clear" w:color="auto" w:fill="CCEEFF"/>
          </w:tcPr>
          <w:p>
            <w:pPr>
              <w:ind w:left="140"/>
              <w:spacing w:after="0" w:line="155" w:lineRule="exact"/>
              <w:rPr>
                <w:sz w:val="20"/>
                <w:szCs w:val="20"/>
                <w:color w:val="auto"/>
              </w:rPr>
            </w:pPr>
            <w:r>
              <w:rPr>
                <w:rFonts w:ascii="Arial" w:cs="Arial" w:eastAsia="Arial" w:hAnsi="Arial"/>
                <w:sz w:val="17"/>
                <w:szCs w:val="17"/>
                <w:color w:val="auto"/>
              </w:rPr>
              <w:t>Non-cash net assets received in exchange for a 20% ownership</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94,918</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40"/>
              <w:spacing w:after="0" w:line="190" w:lineRule="exact"/>
              <w:rPr>
                <w:sz w:val="20"/>
                <w:szCs w:val="20"/>
                <w:color w:val="auto"/>
              </w:rPr>
            </w:pPr>
            <w:r>
              <w:rPr>
                <w:rFonts w:ascii="Arial" w:cs="Arial" w:eastAsia="Arial" w:hAnsi="Arial"/>
                <w:sz w:val="18"/>
                <w:szCs w:val="18"/>
                <w:color w:val="auto"/>
              </w:rPr>
              <w:t>interest in our existing Brazilian subsidiary</w:t>
            </w:r>
          </w:p>
        </w:tc>
        <w:tc>
          <w:tcPr>
            <w:tcW w:w="110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7"/>
          <w:szCs w:val="17"/>
          <w:b w:val="1"/>
          <w:bCs w:val="1"/>
          <w:color w:val="auto"/>
        </w:rPr>
        <w:t>SUBSEQUENT EVENT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On January 4, 2022, the formation of this joint venture was announced, with Bharti obtaining a 33% ownership interest in the combined business. The joint venture combines the VSAT businesses of both companies to offer flexible and scalable enterprise networking solutions using satellite connectivity for primary transport, back-up and hybrid implementation.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40"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ECHOSTAR CORPORATION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EXECUTIVE OFFICER BONUS INCENTIVE PLAN</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Purpose</w:t>
      </w:r>
    </w:p>
    <w:p>
      <w:pPr>
        <w:spacing w:after="0" w:line="20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This EchoStar Corporation Second Amended and Restated Executive Officer Bonus Incentive Plan (the “Plan”) is intended to promote the success of EchoStar Corporation (together with its subsidiaries, the “Company”) by providing performance-oriented incentives to motivate the Company’s executive officers whose decisions and performance have significant impact on the success of the Company and reward them for superior managerial performance and successful growth of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“Award” means a cash bonus payable pursuant to the terms of this Plan.</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“Beneficiaries” means the beneficiary(ies) Participant identified in his or her will or other testamentary document or trust to receive Awards under the Plan; or in the event of no such designation, the beneficiary(ies) the Participant identified to Company as beneficiary(ies) for the Company’s basic life insurance plan.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“Committee” means the Executive Compensation Committee of the Board of Directors of the Company.</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“Participants” means those executive officers of the Company or any of its subsidiaries who are subject to Section 16 of the Securities Exchange Act of 1934, as amended, as the Committee may determine and designate from time to time to be eligible for Awards under this Plan.</w:t>
      </w:r>
    </w:p>
    <w:p>
      <w:pPr>
        <w:spacing w:after="0" w:line="18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“Payout Target” shall mean a target Award amount denominated in dollars, established and determined by the Committee for each Participant for each Plan Year pursuant to this Plan.</w:t>
      </w:r>
    </w:p>
    <w:p>
      <w:pPr>
        <w:spacing w:after="0" w:line="18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“Performance Metric(s)” shall mean one or a combination of more than one of the operational, financial and/or strategic performance criteria set forth on Exhibit A to this Plan, in all cases as determined and established by the Committee for the Company and/or one or more of the Company’s business segments for each Participant and each Plan Year.</w:t>
      </w:r>
    </w:p>
    <w:p>
      <w:pPr>
        <w:spacing w:after="0" w:line="183" w:lineRule="exact"/>
        <w:rPr>
          <w:sz w:val="20"/>
          <w:szCs w:val="20"/>
          <w:color w:val="auto"/>
        </w:rPr>
      </w:pPr>
    </w:p>
    <w:p>
      <w:pPr>
        <w:ind w:left="660" w:right="1500"/>
        <w:spacing w:after="0" w:line="450" w:lineRule="auto"/>
        <w:rPr>
          <w:sz w:val="20"/>
          <w:szCs w:val="20"/>
          <w:color w:val="auto"/>
        </w:rPr>
      </w:pPr>
      <w:r>
        <w:rPr>
          <w:rFonts w:ascii="Arial" w:cs="Arial" w:eastAsia="Arial" w:hAnsi="Arial"/>
          <w:sz w:val="20"/>
          <w:szCs w:val="20"/>
          <w:color w:val="auto"/>
        </w:rPr>
        <w:t xml:space="preserve">“Plan Year” means each then applicable fiscal year of the Company beginning with and including fiscal year 2016. </w:t>
      </w:r>
      <w:r>
        <w:rPr>
          <w:rFonts w:ascii="Arial" w:cs="Arial" w:eastAsia="Arial" w:hAnsi="Arial"/>
          <w:sz w:val="20"/>
          <w:szCs w:val="20"/>
          <w:u w:val="single" w:color="auto"/>
          <w:color w:val="auto"/>
        </w:rPr>
        <w:t>Participants</w:t>
      </w:r>
    </w:p>
    <w:p>
      <w:pPr>
        <w:spacing w:after="0" w:line="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For each Plan Year, the Committee shall designate and determine the Participants eligible to receive Awards under this Plan for such Plan Year.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Performance Metrics</w:t>
      </w:r>
    </w:p>
    <w:p>
      <w:pPr>
        <w:spacing w:after="0" w:line="20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Committee shall determine and establish the applicable Payout Target and Performance Metrics for determining and earning Awards under this Plan for each Participant for each Plan Year. The Payout Targets and Performance Metrics for each Plan Year shall be determined by the Committee and communicated to each Participant after the annual budgeting process for such Plan Year is complete. The Committee hereby authorizes the Company’s Chief Executive Officer in his sole discretion to adjust the Payout Target for any Participant (other than the Chief Executive Officer or the Chairman of the Company, if such persons are Participants) in any Plan Year by up to 20% (either up or down) from the Payout Target established and determined by the Committee; provided, however, this shall not otherwise affect or override the authority of the Committee to determine Performance Metric(s), determine whether and to what extent each Performance Metric for each Plan Year has or has not been met and to make and determine actual Awards under this Plan.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1</w:t>
      </w:r>
    </w:p>
    <w:p>
      <w:pPr>
        <w:spacing w:after="0"/>
        <w:tabs>
          <w:tab w:leader="none" w:pos="5660" w:val="left"/>
        </w:tabs>
        <w:rPr>
          <w:sz w:val="20"/>
          <w:szCs w:val="20"/>
          <w:color w:val="auto"/>
        </w:rPr>
      </w:pPr>
      <w:r>
        <w:rPr>
          <w:rFonts w:ascii="Arial" w:cs="Arial" w:eastAsia="Arial" w:hAnsi="Arial"/>
          <w:sz w:val="16"/>
          <w:szCs w:val="16"/>
          <w:color w:val="auto"/>
        </w:rPr>
        <w:t>Second Amended and Restated Executive Officer Bonus Incentive Plan (Nov. 2021)</w:t>
      </w:r>
      <w:r>
        <w:rPr>
          <w:sz w:val="20"/>
          <w:szCs w:val="20"/>
          <w:color w:val="auto"/>
        </w:rPr>
        <w:tab/>
      </w:r>
      <w:r>
        <w:rPr>
          <w:rFonts w:ascii="Arial" w:cs="Arial" w:eastAsia="Arial" w:hAnsi="Arial"/>
          <w:sz w:val="14"/>
          <w:szCs w:val="14"/>
          <w:b w:val="1"/>
          <w:bCs w:val="1"/>
          <w:i w:val="1"/>
          <w:iCs w:val="1"/>
          <w:color w:val="auto"/>
        </w:rPr>
        <w:t>Confidential and Proprietary</w:t>
      </w:r>
    </w:p>
    <w:p>
      <w:pPr>
        <w:sectPr>
          <w:pgSz w:w="11900" w:h="16838" w:orient="portrait"/>
          <w:cols w:equalWidth="0" w:num="1">
            <w:col w:w="11240"/>
          </w:cols>
          <w:pgMar w:left="320" w:top="11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For each Participant for each Plan Year, at least twenty-five percent (25%) of the Payout Target shall be based on achievement by the Company and/or one or more of the Company’s business segment(s) or unit(s) of the applicable Company and/or business segment(s) or unit(s) Performance Metric(s) for such Plan Year, and the remaining amount, if any, shall be based on achievement by such Participant of the applicable individual Performance Metric(s) for such Plan Year, all as established and determined by the Committee. Performance Metrics for any Participant for any Plan Year may be adjusted at the discretion of the Committee from time to time.</w:t>
      </w:r>
    </w:p>
    <w:p>
      <w:pPr>
        <w:spacing w:after="0" w:line="183" w:lineRule="exact"/>
        <w:rPr>
          <w:sz w:val="20"/>
          <w:szCs w:val="20"/>
          <w:color w:val="auto"/>
        </w:rPr>
      </w:pPr>
    </w:p>
    <w:p>
      <w:pPr>
        <w:ind w:left="660" w:right="380"/>
        <w:spacing w:after="0" w:line="450" w:lineRule="auto"/>
        <w:rPr>
          <w:sz w:val="20"/>
          <w:szCs w:val="20"/>
          <w:color w:val="auto"/>
        </w:rPr>
      </w:pPr>
      <w:r>
        <w:rPr>
          <w:rFonts w:ascii="Arial" w:cs="Arial" w:eastAsia="Arial" w:hAnsi="Arial"/>
          <w:sz w:val="20"/>
          <w:szCs w:val="20"/>
          <w:color w:val="auto"/>
        </w:rPr>
        <w:t xml:space="preserve">The Committee shall determine whether and to what extent each Performance Metric for each Plan Year has or has not been met. </w:t>
      </w:r>
      <w:r>
        <w:rPr>
          <w:rFonts w:ascii="Arial" w:cs="Arial" w:eastAsia="Arial" w:hAnsi="Arial"/>
          <w:sz w:val="20"/>
          <w:szCs w:val="20"/>
          <w:u w:val="single" w:color="auto"/>
          <w:color w:val="auto"/>
        </w:rPr>
        <w:t>Payment of Awards</w:t>
      </w:r>
    </w:p>
    <w:p>
      <w:pPr>
        <w:spacing w:after="0" w:line="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Awards under this Plan shall be determined by the Committee based on achievement of the applicable Performance Metrics using a sliding scale with different payout percentages based on different levels of achievement of the applicable Performance Metrics for each Participant and each Plan Year. Individual Awards may range between zero and such amount equal to or exceeding 100% of a Participant’s Payout Target as determined by the Committee for each Participant for each Plan Year.</w:t>
      </w:r>
    </w:p>
    <w:p>
      <w:pPr>
        <w:spacing w:after="0" w:line="18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Payments of Awards under this Plan will be made 100% in cash in U.S. dollars less any applicable tax withholdings. It is the Company’s intention to pay Awards under this Plan for each Plan Year as soon as reasonably practicable after filing of the Company’s audited financial statements for the applicable Plan Year with the Securities and Exchange Commission.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Limitations</w:t>
      </w:r>
    </w:p>
    <w:p>
      <w:pPr>
        <w:spacing w:after="0" w:line="20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Notwithstanding any other provision of this Plan or the achievement of any Payout Target or Performance Metric(s), the payment of any Award under this Plan will be subject to (i) the Company’s performance, liquidity, available cash and/or future cash needs as determined by the Committee; (ii) the discretion of the Committee regarding establishment, measurement, interpretation and/or achievement of Performance Metrics and Payout Targets; and (iii) approval by the Committee.</w:t>
      </w:r>
    </w:p>
    <w:p>
      <w:pPr>
        <w:spacing w:after="0" w:line="18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All determinations, designations, decisions or interpretations of or pursuant to this Plan shall be made by the Committee in its sole discretion and shall be binding on the Company and Participants.</w:t>
      </w:r>
    </w:p>
    <w:p>
      <w:pPr>
        <w:spacing w:after="0" w:line="18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Notwithstanding anything in this Plan to the contrary or otherwise, any Award paid or payable pursuant to this Plan to any Participant which is subject to recovery under any law, government regulation, order or stock exchange listing requirement, shall be subject to such deductions, clawback and/or recovery, including by means of repayment by the applicable Participant and/or withholding of future wages, as may be required to be made pursuant to law, government regulation, order, stock exchange listing requirement or any policy of the Company adopted pursuant to any such law, government regulation, order or stock exchange listing requirement.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Eligibility and Forfeiture of Awards</w:t>
      </w:r>
    </w:p>
    <w:p>
      <w:pPr>
        <w:spacing w:after="0" w:line="20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 xml:space="preserve">A Participant must be employed by the Company or its subsidiaries (i) for at least six months during the applicable Plan Year for each Award,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(ii) on the date the Award is paid under this Plan. Any Participant not meeting either of these criteria for any reason (e.g., separation of service for any reason) forfeits any and all rights to any Awards earned or otherwise due under this Plan without further action and without payment of consideration therefor. Notwithstanding any other provision of this Plan, if a Participant dies or becomes disabled as determined under the Company’s applicable long term disability plan, any Awards under this Plan for the Plan Year for such Participant that would have been payable had such Participant not died or become disabled shall not be subject to forfeiture and shall become payable on a prorated basis on the normal schedule to the Participant or Participants’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2</w:t>
      </w:r>
    </w:p>
    <w:p>
      <w:pPr>
        <w:spacing w:after="0"/>
        <w:tabs>
          <w:tab w:leader="none" w:pos="5660" w:val="left"/>
        </w:tabs>
        <w:rPr>
          <w:sz w:val="20"/>
          <w:szCs w:val="20"/>
          <w:color w:val="auto"/>
        </w:rPr>
      </w:pPr>
      <w:r>
        <w:rPr>
          <w:rFonts w:ascii="Arial" w:cs="Arial" w:eastAsia="Arial" w:hAnsi="Arial"/>
          <w:sz w:val="16"/>
          <w:szCs w:val="16"/>
          <w:color w:val="auto"/>
        </w:rPr>
        <w:t>Second Amended and Restated Executive Officer Bonus Incentive Plan (Nov. 2021)</w:t>
      </w:r>
      <w:r>
        <w:rPr>
          <w:sz w:val="20"/>
          <w:szCs w:val="20"/>
          <w:color w:val="auto"/>
        </w:rPr>
        <w:tab/>
      </w:r>
      <w:r>
        <w:rPr>
          <w:rFonts w:ascii="Arial" w:cs="Arial" w:eastAsia="Arial" w:hAnsi="Arial"/>
          <w:sz w:val="14"/>
          <w:szCs w:val="14"/>
          <w:b w:val="1"/>
          <w:bCs w:val="1"/>
          <w:i w:val="1"/>
          <w:iCs w:val="1"/>
          <w:color w:val="auto"/>
        </w:rPr>
        <w:t>Confidential and Proprietary</w:t>
      </w:r>
    </w:p>
    <w:p>
      <w:pPr>
        <w:sectPr>
          <w:pgSz w:w="11900" w:h="16838" w:orient="portrait"/>
          <w:cols w:equalWidth="0" w:num="1">
            <w:col w:w="11240"/>
          </w:cols>
          <w:pgMar w:left="320" w:top="11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No Employment Rights</w:t>
      </w:r>
    </w:p>
    <w:p>
      <w:pPr>
        <w:spacing w:after="0" w:line="20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Nothing contained in this Plan shall be construed as a contract of employment or compensation between the Company or any of its subsidiaries or affiliates and any Participant, as a right of any Participant to receive any Award under this Plan or to be continued in the employment of the Company or any of its subsidiaries or affiliates, or as a limitation of the right of the Company or any of its subsidiaries or affiliates to discharge, terminate, suspend or otherwise discipline any Participant or any of its other employees, with or without cause, reason or notice at any time.</w:t>
      </w:r>
    </w:p>
    <w:p>
      <w:pPr>
        <w:spacing w:after="0" w:line="18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In the event of any conflict between this Plan and the terms of any employment agreement between any Participant and the Company or any of its subsidiaries, the terms of such employment agreement shall govern.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Effective Date</w:t>
      </w:r>
    </w:p>
    <w:p>
      <w:pPr>
        <w:spacing w:after="0" w:line="20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The Committee approved and adopted the EchoStar Corporation Amended and Restated Executive Officer Bonus Incentive Plan effective as of April 30, 2019 (the “Original Plan”). The Committee approved and adopted this EchoStar Corporation Second Amended and Restated Executive Officer Bonus Incentive Plan effective as of November 2, 2021. This Second Amended and Restated Executive Officer Bonus Incentive Plan replaces in its entirety the Original Plan.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3</w:t>
      </w:r>
    </w:p>
    <w:p>
      <w:pPr>
        <w:spacing w:after="0"/>
        <w:tabs>
          <w:tab w:leader="none" w:pos="5660" w:val="left"/>
        </w:tabs>
        <w:rPr>
          <w:sz w:val="20"/>
          <w:szCs w:val="20"/>
          <w:color w:val="auto"/>
        </w:rPr>
      </w:pPr>
      <w:r>
        <w:rPr>
          <w:rFonts w:ascii="Arial" w:cs="Arial" w:eastAsia="Arial" w:hAnsi="Arial"/>
          <w:sz w:val="16"/>
          <w:szCs w:val="16"/>
          <w:color w:val="auto"/>
        </w:rPr>
        <w:t>Second Amended and Restated Executive Officer Bonus Incentive Plan (Nov. 2021)</w:t>
      </w:r>
      <w:r>
        <w:rPr>
          <w:sz w:val="20"/>
          <w:szCs w:val="20"/>
          <w:color w:val="auto"/>
        </w:rPr>
        <w:tab/>
      </w:r>
      <w:r>
        <w:rPr>
          <w:rFonts w:ascii="Arial" w:cs="Arial" w:eastAsia="Arial" w:hAnsi="Arial"/>
          <w:sz w:val="14"/>
          <w:szCs w:val="14"/>
          <w:b w:val="1"/>
          <w:bCs w:val="1"/>
          <w:i w:val="1"/>
          <w:iCs w:val="1"/>
          <w:color w:val="auto"/>
        </w:rPr>
        <w:t>Confidential and Proprietary</w:t>
      </w:r>
    </w:p>
    <w:p>
      <w:pPr>
        <w:sectPr>
          <w:pgSz w:w="11900" w:h="16838" w:orient="portrait"/>
          <w:cols w:equalWidth="0" w:num="1">
            <w:col w:w="11240"/>
          </w:cols>
          <w:pgMar w:left="320" w:top="11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jc w:val="center"/>
        <w:spacing w:after="0"/>
        <w:rPr>
          <w:sz w:val="20"/>
          <w:szCs w:val="20"/>
          <w:color w:val="auto"/>
        </w:rPr>
      </w:pPr>
      <w:r>
        <w:rPr>
          <w:rFonts w:ascii="Arial" w:cs="Arial" w:eastAsia="Arial" w:hAnsi="Arial"/>
          <w:sz w:val="20"/>
          <w:szCs w:val="20"/>
          <w:b w:val="1"/>
          <w:bCs w:val="1"/>
          <w:color w:val="auto"/>
        </w:rPr>
        <w:t>PERFORMANCE CRITERIA</w:t>
      </w:r>
    </w:p>
    <w:p>
      <w:pPr>
        <w:spacing w:after="0" w:line="18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Subscribers, subscriber service and subscriber satisfaction: </w:t>
      </w:r>
      <w:r>
        <w:rPr>
          <w:rFonts w:ascii="Arial" w:cs="Arial" w:eastAsia="Arial" w:hAnsi="Arial"/>
          <w:sz w:val="20"/>
          <w:szCs w:val="20"/>
          <w:color w:val="auto"/>
        </w:rPr>
        <w:t>customers; subscribers; total subscribers; gross subscriber additions;</w:t>
      </w:r>
      <w:r>
        <w:rPr>
          <w:rFonts w:ascii="Arial" w:cs="Arial" w:eastAsia="Arial" w:hAnsi="Arial"/>
          <w:sz w:val="20"/>
          <w:szCs w:val="20"/>
          <w:b w:val="1"/>
          <w:bCs w:val="1"/>
          <w:color w:val="auto"/>
        </w:rPr>
        <w:t xml:space="preserve"> </w:t>
      </w:r>
      <w:r>
        <w:rPr>
          <w:rFonts w:ascii="Arial" w:cs="Arial" w:eastAsia="Arial" w:hAnsi="Arial"/>
          <w:sz w:val="20"/>
          <w:szCs w:val="20"/>
          <w:color w:val="auto"/>
        </w:rPr>
        <w:t>net subscriber additions; subscriber quality; churn subscribers; average subscriber life; ratings; retention; churn rate; viewership; or similar criteria.</w:t>
      </w:r>
    </w:p>
    <w:p>
      <w:pPr>
        <w:spacing w:after="0" w:line="17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Employees and employment activities: </w:t>
      </w:r>
      <w:r>
        <w:rPr>
          <w:rFonts w:ascii="Arial" w:cs="Arial" w:eastAsia="Arial" w:hAnsi="Arial"/>
          <w:sz w:val="20"/>
          <w:szCs w:val="20"/>
          <w:color w:val="auto"/>
        </w:rPr>
        <w:t>attrition; retention; satisfaction; ethics compliance; management effectiveness; workforce</w:t>
      </w:r>
      <w:r>
        <w:rPr>
          <w:rFonts w:ascii="Arial" w:cs="Arial" w:eastAsia="Arial" w:hAnsi="Arial"/>
          <w:sz w:val="20"/>
          <w:szCs w:val="20"/>
          <w:b w:val="1"/>
          <w:bCs w:val="1"/>
          <w:color w:val="auto"/>
        </w:rPr>
        <w:t xml:space="preserve"> </w:t>
      </w:r>
      <w:r>
        <w:rPr>
          <w:rFonts w:ascii="Arial" w:cs="Arial" w:eastAsia="Arial" w:hAnsi="Arial"/>
          <w:sz w:val="20"/>
          <w:szCs w:val="20"/>
          <w:color w:val="auto"/>
        </w:rPr>
        <w:t>diversity; individual executive performance; or similar criteria.</w:t>
      </w:r>
    </w:p>
    <w:p>
      <w:pPr>
        <w:spacing w:after="0" w:line="17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b w:val="1"/>
          <w:bCs w:val="1"/>
          <w:color w:val="auto"/>
        </w:rPr>
        <w:t xml:space="preserve">Revenues, expenses and earnings: </w:t>
      </w:r>
      <w:r>
        <w:rPr>
          <w:rFonts w:ascii="Arial" w:cs="Arial" w:eastAsia="Arial" w:hAnsi="Arial"/>
          <w:sz w:val="19"/>
          <w:szCs w:val="19"/>
          <w:color w:val="auto"/>
        </w:rPr>
        <w:t>revenues; sales; net revenues; operating costs and expenses; overhead costs; costs of revenues;</w:t>
      </w:r>
      <w:r>
        <w:rPr>
          <w:rFonts w:ascii="Arial" w:cs="Arial" w:eastAsia="Arial" w:hAnsi="Arial"/>
          <w:sz w:val="19"/>
          <w:szCs w:val="19"/>
          <w:b w:val="1"/>
          <w:bCs w:val="1"/>
          <w:color w:val="auto"/>
        </w:rPr>
        <w:t xml:space="preserve"> </w:t>
      </w:r>
      <w:r>
        <w:rPr>
          <w:rFonts w:ascii="Arial" w:cs="Arial" w:eastAsia="Arial" w:hAnsi="Arial"/>
          <w:sz w:val="19"/>
          <w:szCs w:val="19"/>
          <w:color w:val="auto"/>
        </w:rPr>
        <w:t>costs of sales; broadcast programming and other costs; subscriber service expenses; broadcast operations expense; selling, general and administrative expense; subscriber acquisition costs; upgrade and retention costs; general and administrative expenses; depreciation and amortization; operating profit; operating results; operating income; adjusted operating income; operating earnings; operating profit before depreciation and amortization; interest income; interest expense; other income and expense; other net income from continuing operations; earnings from continuing operations; income from continuing operations before income taxes and minority interests; income tax expense; minority interests in net earnings of subsidiaries; income from continuing operations before cumulative effect of accounting changes; income from discontinued operations; cumulative effect of accounting changes; net income; adjusted net income; basic or diluted earnings or loss per common share for income or loss from continuing operations before cumulative effect of accounting changes, for income or loss from discontinued operations (net of taxes), for cumulative effect of accounting changes (net of taxes), or for net income or loss; dividends paid; EBITDA; adjusted EBITDA; or similar criteria.</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8"/>
          <w:szCs w:val="18"/>
          <w:color w:val="auto"/>
        </w:rPr>
        <w:t>cash; cash on hand; cash balance; cash equivalents; cash and cash equivalents; cash and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cash flow; operating cash flows; adjusted operating cash flows; cash from operations; investing cash flows; financing cash flows; free cash flow; free cash flow before net cash paid for interest and taxes; cash flow before or after operating activities, investing activities, financing activities or discontinued operations; capital expenditures; cash paid for property, equipment, satellites and/or leased set top receivers; proceeds from dispositions of businesses, assets or other investments; average revenue per unit (ARPU); unit acquisition costs (SAC) per gross unit addition; average cost per unit (ACPU); average margin per unit (AMPU); pre-SAC margin; operating profit margin; operating margin; profit margin; net income margin; equipment margin, bad debt percentage; earnings per share; adjusted earnings per share; return on assets; adjusted return on assets; return on average assets; return in excess of cost of capital; return on equity; return on net assets; return on investment; return on net investment; return on average equity; adjusted return on equity; cash flow return on investment (discounted or otherwise); cash flow return on capital; cash flow in excess of cost of capital; cash flow return on tangible capital; contribution margin; debt to capital ratio; debt to equity ratio; net present value; internal rate of return; profit in excess of cost of capital; return on capital; return on net or average assets, equity or capital; return on shareholders’ equity; return on invested capital; return on investors’ capital; return on operating revenue; return on total capital; risk-adjusted return on capital; total equity ratio; total shareholder return; cost of goods sold; accounts receivable; unit sales; or similar criteria.</w:t>
      </w:r>
    </w:p>
    <w:p>
      <w:pPr>
        <w:spacing w:after="0" w:line="18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Stock price: </w:t>
      </w:r>
      <w:r>
        <w:rPr>
          <w:rFonts w:ascii="Arial" w:cs="Arial" w:eastAsia="Arial" w:hAnsi="Arial"/>
          <w:sz w:val="20"/>
          <w:szCs w:val="20"/>
          <w:color w:val="auto"/>
        </w:rPr>
        <w:t>share price; share price growth or appreciation; share price growth or appreciation in comparison with industry or</w:t>
      </w:r>
      <w:r>
        <w:rPr>
          <w:rFonts w:ascii="Arial" w:cs="Arial" w:eastAsia="Arial" w:hAnsi="Arial"/>
          <w:sz w:val="20"/>
          <w:szCs w:val="20"/>
          <w:b w:val="1"/>
          <w:bCs w:val="1"/>
          <w:color w:val="auto"/>
        </w:rPr>
        <w:t xml:space="preserve"> </w:t>
      </w:r>
      <w:r>
        <w:rPr>
          <w:rFonts w:ascii="Arial" w:cs="Arial" w:eastAsia="Arial" w:hAnsi="Arial"/>
          <w:sz w:val="20"/>
          <w:szCs w:val="20"/>
          <w:color w:val="auto"/>
        </w:rPr>
        <w:t>market indices; shareholder value; shareholder value growth or appreciation; total market capitalization; total market capitalization growth or appreciation; total market value; total market value growth or appreciation; or similar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4</w:t>
      </w:r>
    </w:p>
    <w:p>
      <w:pPr>
        <w:spacing w:after="0"/>
        <w:tabs>
          <w:tab w:leader="none" w:pos="5660" w:val="left"/>
        </w:tabs>
        <w:rPr>
          <w:sz w:val="20"/>
          <w:szCs w:val="20"/>
          <w:color w:val="auto"/>
        </w:rPr>
      </w:pPr>
      <w:r>
        <w:rPr>
          <w:rFonts w:ascii="Arial" w:cs="Arial" w:eastAsia="Arial" w:hAnsi="Arial"/>
          <w:sz w:val="16"/>
          <w:szCs w:val="16"/>
          <w:color w:val="auto"/>
        </w:rPr>
        <w:t>Second Amended and Restated Executive Officer Bonus Incentive Plan (Nov. 2021)</w:t>
      </w:r>
      <w:r>
        <w:rPr>
          <w:sz w:val="20"/>
          <w:szCs w:val="20"/>
          <w:color w:val="auto"/>
        </w:rPr>
        <w:tab/>
      </w:r>
      <w:r>
        <w:rPr>
          <w:rFonts w:ascii="Arial" w:cs="Arial" w:eastAsia="Arial" w:hAnsi="Arial"/>
          <w:sz w:val="14"/>
          <w:szCs w:val="14"/>
          <w:b w:val="1"/>
          <w:bCs w:val="1"/>
          <w:i w:val="1"/>
          <w:iCs w:val="1"/>
          <w:color w:val="auto"/>
        </w:rPr>
        <w:t>Confidential and Proprietary</w:t>
      </w:r>
    </w:p>
    <w:p>
      <w:pPr>
        <w:sectPr>
          <w:pgSz w:w="11900" w:h="16838" w:orient="portrait"/>
          <w:cols w:equalWidth="0" w:num="1">
            <w:col w:w="11240"/>
          </w:cols>
          <w:pgMar w:left="320" w:top="11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Other performance measures: </w:t>
      </w:r>
      <w:r>
        <w:rPr>
          <w:rFonts w:ascii="Arial" w:cs="Arial" w:eastAsia="Arial" w:hAnsi="Arial"/>
          <w:sz w:val="18"/>
          <w:szCs w:val="18"/>
          <w:color w:val="auto"/>
        </w:rPr>
        <w:t>acquisitions or divestitures of subsidiaries, affiliates and joint ventures; control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values; economic value added (EVA); environment; facilities utilization; implementation or completion of critical projects; installations; market expansion; market penetration; market share; number of channels broadcast in standard and/or high definition on a national and/or local basis; network upgrades; operating performance; penetration rates; installation and service work order completion; closed, rescheduled or similar performance or productivity rates; number of service calls; availability rates; hardware recovery; hardware refurbishment or redeployment; hardware performance; average subscriber service phone call times; number of subscriber service phone calls received; service level; performance relative to budget, forecast or market expectations; performance standards relevant to our business, product or service; regulatory compliance; safety; shareholder value added; strategic business criteria based on meeting specified product development, strategic partnering, research and development, market penetration or geographic business expansion goals; value added; website visits; website advertising; intellectual property (e.g., patents); satellite utilization; licensing objectives; satellite readiness; satellite launch; operational readiness; uplink time; other business segment measures or activities; or similar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5</w:t>
      </w:r>
    </w:p>
    <w:p>
      <w:pPr>
        <w:spacing w:after="0"/>
        <w:tabs>
          <w:tab w:leader="none" w:pos="5660" w:val="left"/>
        </w:tabs>
        <w:rPr>
          <w:sz w:val="20"/>
          <w:szCs w:val="20"/>
          <w:color w:val="auto"/>
        </w:rPr>
      </w:pPr>
      <w:r>
        <w:rPr>
          <w:rFonts w:ascii="Arial" w:cs="Arial" w:eastAsia="Arial" w:hAnsi="Arial"/>
          <w:sz w:val="16"/>
          <w:szCs w:val="16"/>
          <w:color w:val="auto"/>
        </w:rPr>
        <w:t>Second Amended and Restated Executive Officer Bonus Incentive Plan (Nov. 2021)</w:t>
      </w:r>
      <w:r>
        <w:rPr>
          <w:sz w:val="20"/>
          <w:szCs w:val="20"/>
          <w:color w:val="auto"/>
        </w:rPr>
        <w:tab/>
      </w:r>
      <w:r>
        <w:rPr>
          <w:rFonts w:ascii="Arial" w:cs="Arial" w:eastAsia="Arial" w:hAnsi="Arial"/>
          <w:sz w:val="14"/>
          <w:szCs w:val="14"/>
          <w:b w:val="1"/>
          <w:bCs w:val="1"/>
          <w:i w:val="1"/>
          <w:iCs w:val="1"/>
          <w:color w:val="auto"/>
        </w:rPr>
        <w:t>Confidential and Proprietary</w:t>
      </w:r>
    </w:p>
    <w:p>
      <w:pPr>
        <w:sectPr>
          <w:pgSz w:w="11900" w:h="16838" w:orient="portrait"/>
          <w:cols w:equalWidth="0" w:num="1">
            <w:col w:w="11240"/>
          </w:cols>
          <w:pgMar w:left="320" w:top="11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20" w:type="dxa"/>
            <w:vAlign w:val="bottom"/>
          </w:tcPr>
          <w:p>
            <w:pPr>
              <w:spacing w:after="0"/>
              <w:rPr>
                <w:sz w:val="20"/>
                <w:szCs w:val="20"/>
                <w:color w:val="auto"/>
              </w:rPr>
            </w:pPr>
          </w:p>
        </w:tc>
        <w:tc>
          <w:tcPr>
            <w:tcW w:w="7880" w:type="dxa"/>
            <w:vAlign w:val="bottom"/>
            <w:gridSpan w:val="3"/>
          </w:tcPr>
          <w:p>
            <w:pPr>
              <w:jc w:val="center"/>
              <w:ind w:right="3230"/>
              <w:spacing w:after="0"/>
              <w:rPr>
                <w:sz w:val="20"/>
                <w:szCs w:val="20"/>
                <w:color w:val="auto"/>
              </w:rPr>
            </w:pPr>
            <w:r>
              <w:rPr>
                <w:rFonts w:ascii="Arial" w:cs="Arial" w:eastAsia="Arial" w:hAnsi="Arial"/>
                <w:sz w:val="18"/>
                <w:szCs w:val="18"/>
                <w:b w:val="1"/>
                <w:bCs w:val="1"/>
                <w:color w:val="auto"/>
                <w:w w:val="99"/>
              </w:rPr>
              <w:t>ECHOSTAR CORPORATION AND SUBSIDIARIES</w:t>
            </w:r>
          </w:p>
        </w:tc>
      </w:tr>
      <w:tr>
        <w:trPr>
          <w:trHeight w:val="459"/>
        </w:trPr>
        <w:tc>
          <w:tcPr>
            <w:tcW w:w="3320" w:type="dxa"/>
            <w:vAlign w:val="bottom"/>
          </w:tcPr>
          <w:p>
            <w:pPr>
              <w:spacing w:after="0"/>
              <w:rPr>
                <w:sz w:val="24"/>
                <w:szCs w:val="24"/>
                <w:color w:val="auto"/>
              </w:rPr>
            </w:pPr>
          </w:p>
        </w:tc>
        <w:tc>
          <w:tcPr>
            <w:tcW w:w="7880" w:type="dxa"/>
            <w:vAlign w:val="bottom"/>
            <w:gridSpan w:val="3"/>
          </w:tcPr>
          <w:p>
            <w:pPr>
              <w:jc w:val="center"/>
              <w:ind w:right="3210"/>
              <w:spacing w:after="0"/>
              <w:rPr>
                <w:sz w:val="20"/>
                <w:szCs w:val="20"/>
                <w:color w:val="auto"/>
              </w:rPr>
            </w:pPr>
            <w:r>
              <w:rPr>
                <w:rFonts w:ascii="Arial" w:cs="Arial" w:eastAsia="Arial" w:hAnsi="Arial"/>
                <w:sz w:val="18"/>
                <w:szCs w:val="18"/>
                <w:b w:val="1"/>
                <w:bCs w:val="1"/>
                <w:color w:val="auto"/>
                <w:w w:val="99"/>
              </w:rPr>
              <w:t>LIST OF SUBSIDIARIES</w:t>
            </w:r>
          </w:p>
        </w:tc>
      </w:tr>
      <w:tr>
        <w:trPr>
          <w:trHeight w:val="459"/>
        </w:trPr>
        <w:tc>
          <w:tcPr>
            <w:tcW w:w="3320" w:type="dxa"/>
            <w:vAlign w:val="bottom"/>
          </w:tcPr>
          <w:p>
            <w:pPr>
              <w:spacing w:after="0"/>
              <w:rPr>
                <w:sz w:val="24"/>
                <w:szCs w:val="24"/>
                <w:color w:val="auto"/>
              </w:rPr>
            </w:pPr>
          </w:p>
        </w:tc>
        <w:tc>
          <w:tcPr>
            <w:tcW w:w="7880" w:type="dxa"/>
            <w:vAlign w:val="bottom"/>
            <w:gridSpan w:val="3"/>
          </w:tcPr>
          <w:p>
            <w:pPr>
              <w:jc w:val="center"/>
              <w:ind w:right="3230"/>
              <w:spacing w:after="0"/>
              <w:rPr>
                <w:sz w:val="20"/>
                <w:szCs w:val="20"/>
                <w:color w:val="auto"/>
              </w:rPr>
            </w:pPr>
            <w:r>
              <w:rPr>
                <w:rFonts w:ascii="Arial" w:cs="Arial" w:eastAsia="Arial" w:hAnsi="Arial"/>
                <w:sz w:val="18"/>
                <w:szCs w:val="18"/>
                <w:b w:val="1"/>
                <w:bCs w:val="1"/>
                <w:color w:val="auto"/>
                <w:w w:val="99"/>
              </w:rPr>
              <w:t>As of December 31, 2021</w:t>
            </w:r>
          </w:p>
        </w:tc>
      </w:tr>
      <w:tr>
        <w:trPr>
          <w:trHeight w:val="56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Entity</w:t>
            </w:r>
          </w:p>
        </w:tc>
        <w:tc>
          <w:tcPr>
            <w:tcW w:w="21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State or Country of Incorporation</w:t>
            </w: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Hughes Satellite Systems Corporation</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Hughes Communications, Inc.</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Hughes Network Systems, LLC</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Hughes Network Systems GmbH</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EchoStar Corporation</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Nevada</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EchoStar XXIV L.L.C.</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EchoStar Orbital L.L.C.</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EchoStar Mexico Holdings Corporation</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rPr>
              <w:t>Colorado</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Sawatch Limited</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EchoStar Mobile Limited</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8"/>
              </w:rPr>
              <w:t>Ireland</w:t>
            </w:r>
          </w:p>
        </w:tc>
      </w:tr>
    </w:tbl>
    <w:p>
      <w:pPr>
        <w:sectPr>
          <w:pgSz w:w="11900" w:h="16838" w:orient="portrait"/>
          <w:cols w:equalWidth="0" w:num="1">
            <w:col w:w="11220"/>
          </w:cols>
          <w:pgMar w:left="340" w:top="886"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EchoStar Corporation: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the following registration statements of our report dated February 24, 2022, with respect to the consolidated financial statements of EchoStar Corporation and subsidiaries and the effectiveness of internal control over financial reporting.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Form</w:t>
            </w:r>
          </w:p>
        </w:tc>
        <w:tc>
          <w:tcPr>
            <w:tcW w:w="440" w:type="dxa"/>
            <w:vAlign w:val="bottom"/>
          </w:tcPr>
          <w:p>
            <w:pPr>
              <w:spacing w:after="0"/>
              <w:rPr>
                <w:sz w:val="16"/>
                <w:szCs w:val="16"/>
                <w:color w:val="auto"/>
              </w:rPr>
            </w:pPr>
          </w:p>
        </w:tc>
        <w:tc>
          <w:tcPr>
            <w:tcW w:w="3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Registration Statement No.</w:t>
            </w:r>
          </w:p>
        </w:tc>
        <w:tc>
          <w:tcPr>
            <w:tcW w:w="440" w:type="dxa"/>
            <w:vAlign w:val="bottom"/>
          </w:tcPr>
          <w:p>
            <w:pPr>
              <w:spacing w:after="0"/>
              <w:rPr>
                <w:sz w:val="16"/>
                <w:szCs w:val="16"/>
                <w:color w:val="auto"/>
              </w:rPr>
            </w:pPr>
          </w:p>
        </w:tc>
        <w:tc>
          <w:tcPr>
            <w:tcW w:w="53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Description</w:t>
            </w:r>
          </w:p>
        </w:tc>
      </w:tr>
      <w:tr>
        <w:trPr>
          <w:trHeight w:val="182"/>
        </w:trPr>
        <w:tc>
          <w:tcPr>
            <w:tcW w:w="20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S-8</w:t>
            </w:r>
          </w:p>
        </w:tc>
        <w:tc>
          <w:tcPr>
            <w:tcW w:w="3360" w:type="dxa"/>
            <w:vAlign w:val="bottom"/>
          </w:tcPr>
          <w:p>
            <w:pPr>
              <w:jc w:val="right"/>
              <w:ind w:right="2294"/>
              <w:spacing w:after="0" w:line="182" w:lineRule="exact"/>
              <w:rPr>
                <w:sz w:val="20"/>
                <w:szCs w:val="20"/>
                <w:color w:val="auto"/>
              </w:rPr>
            </w:pPr>
            <w:r>
              <w:rPr>
                <w:rFonts w:ascii="Arial" w:cs="Arial" w:eastAsia="Arial" w:hAnsi="Arial"/>
                <w:sz w:val="18"/>
                <w:szCs w:val="18"/>
                <w:color w:val="auto"/>
                <w:w w:val="99"/>
              </w:rPr>
              <w:t>333-218658</w:t>
            </w:r>
          </w:p>
        </w:tc>
        <w:tc>
          <w:tcPr>
            <w:tcW w:w="440" w:type="dxa"/>
            <w:vAlign w:val="bottom"/>
          </w:tcPr>
          <w:p>
            <w:pPr>
              <w:spacing w:after="0"/>
              <w:rPr>
                <w:sz w:val="15"/>
                <w:szCs w:val="15"/>
                <w:color w:val="auto"/>
              </w:rPr>
            </w:pPr>
          </w:p>
        </w:tc>
        <w:tc>
          <w:tcPr>
            <w:tcW w:w="5340" w:type="dxa"/>
            <w:vAlign w:val="bottom"/>
          </w:tcPr>
          <w:p>
            <w:pPr>
              <w:ind w:left="20"/>
              <w:spacing w:after="0" w:line="182" w:lineRule="exact"/>
              <w:rPr>
                <w:sz w:val="20"/>
                <w:szCs w:val="20"/>
                <w:color w:val="auto"/>
              </w:rPr>
            </w:pPr>
            <w:r>
              <w:rPr>
                <w:rFonts w:ascii="Arial" w:cs="Arial" w:eastAsia="Arial" w:hAnsi="Arial"/>
                <w:sz w:val="18"/>
                <w:szCs w:val="18"/>
                <w:color w:val="auto"/>
              </w:rPr>
              <w:t>Additional shares for Amended and Restated EchoStar</w:t>
            </w:r>
          </w:p>
        </w:tc>
      </w:tr>
      <w:tr>
        <w:trPr>
          <w:trHeight w:val="217"/>
        </w:trPr>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Corporation 2017 Employee Stock Purchase Plan</w:t>
            </w:r>
          </w:p>
        </w:tc>
      </w:tr>
      <w:tr>
        <w:trPr>
          <w:trHeight w:val="229"/>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S-8</w:t>
            </w:r>
          </w:p>
        </w:tc>
        <w:tc>
          <w:tcPr>
            <w:tcW w:w="3360" w:type="dxa"/>
            <w:vAlign w:val="bottom"/>
          </w:tcPr>
          <w:p>
            <w:pPr>
              <w:jc w:val="right"/>
              <w:ind w:right="2294"/>
              <w:spacing w:after="0"/>
              <w:rPr>
                <w:sz w:val="20"/>
                <w:szCs w:val="20"/>
                <w:color w:val="auto"/>
              </w:rPr>
            </w:pPr>
            <w:r>
              <w:rPr>
                <w:rFonts w:ascii="Arial" w:cs="Arial" w:eastAsia="Arial" w:hAnsi="Arial"/>
                <w:sz w:val="18"/>
                <w:szCs w:val="18"/>
                <w:color w:val="auto"/>
                <w:w w:val="99"/>
              </w:rPr>
              <w:t>333-218657</w:t>
            </w:r>
          </w:p>
        </w:tc>
        <w:tc>
          <w:tcPr>
            <w:tcW w:w="44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EchoStar Corporation 2017 Stock Incentive Plan</w:t>
            </w:r>
          </w:p>
        </w:tc>
      </w:tr>
      <w:tr>
        <w:trPr>
          <w:trHeight w:val="188"/>
        </w:trPr>
        <w:tc>
          <w:tcPr>
            <w:tcW w:w="1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340" w:type="dxa"/>
            <w:vAlign w:val="bottom"/>
          </w:tcPr>
          <w:p>
            <w:pPr>
              <w:ind w:left="20"/>
              <w:spacing w:after="0" w:line="189" w:lineRule="exact"/>
              <w:rPr>
                <w:sz w:val="20"/>
                <w:szCs w:val="20"/>
                <w:color w:val="auto"/>
              </w:rPr>
            </w:pPr>
            <w:r>
              <w:rPr>
                <w:rFonts w:ascii="Arial" w:cs="Arial" w:eastAsia="Arial" w:hAnsi="Arial"/>
                <w:sz w:val="18"/>
                <w:szCs w:val="18"/>
                <w:color w:val="auto"/>
              </w:rPr>
              <w:t>EchoStar Corporation 2017 Non-Employee Director Stock</w:t>
            </w:r>
          </w:p>
        </w:tc>
      </w:tr>
      <w:tr>
        <w:trPr>
          <w:trHeight w:val="217"/>
        </w:trPr>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Incentive Plan</w:t>
            </w:r>
          </w:p>
        </w:tc>
      </w:tr>
      <w:tr>
        <w:trPr>
          <w:trHeight w:val="188"/>
        </w:trPr>
        <w:tc>
          <w:tcPr>
            <w:tcW w:w="20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S-8</w:t>
            </w:r>
          </w:p>
        </w:tc>
        <w:tc>
          <w:tcPr>
            <w:tcW w:w="3360" w:type="dxa"/>
            <w:vAlign w:val="bottom"/>
          </w:tcPr>
          <w:p>
            <w:pPr>
              <w:jc w:val="right"/>
              <w:ind w:right="2294"/>
              <w:spacing w:after="0" w:line="189" w:lineRule="exact"/>
              <w:rPr>
                <w:sz w:val="20"/>
                <w:szCs w:val="20"/>
                <w:color w:val="auto"/>
              </w:rPr>
            </w:pPr>
            <w:r>
              <w:rPr>
                <w:rFonts w:ascii="Arial" w:cs="Arial" w:eastAsia="Arial" w:hAnsi="Arial"/>
                <w:sz w:val="18"/>
                <w:szCs w:val="18"/>
                <w:color w:val="auto"/>
                <w:w w:val="99"/>
              </w:rPr>
              <w:t>333-162339</w:t>
            </w:r>
          </w:p>
        </w:tc>
        <w:tc>
          <w:tcPr>
            <w:tcW w:w="440" w:type="dxa"/>
            <w:vAlign w:val="bottom"/>
          </w:tcPr>
          <w:p>
            <w:pPr>
              <w:spacing w:after="0"/>
              <w:rPr>
                <w:sz w:val="16"/>
                <w:szCs w:val="16"/>
                <w:color w:val="auto"/>
              </w:rPr>
            </w:pPr>
          </w:p>
        </w:tc>
        <w:tc>
          <w:tcPr>
            <w:tcW w:w="5340" w:type="dxa"/>
            <w:vAlign w:val="bottom"/>
          </w:tcPr>
          <w:p>
            <w:pPr>
              <w:ind w:left="20"/>
              <w:spacing w:after="0" w:line="189" w:lineRule="exact"/>
              <w:rPr>
                <w:sz w:val="20"/>
                <w:szCs w:val="20"/>
                <w:color w:val="auto"/>
              </w:rPr>
            </w:pPr>
            <w:r>
              <w:rPr>
                <w:rFonts w:ascii="Arial" w:cs="Arial" w:eastAsia="Arial" w:hAnsi="Arial"/>
                <w:sz w:val="18"/>
                <w:szCs w:val="18"/>
                <w:color w:val="auto"/>
              </w:rPr>
              <w:t>Additional shares for EchoStar Corporation 2008 Employee Stock</w:t>
            </w:r>
          </w:p>
        </w:tc>
      </w:tr>
      <w:tr>
        <w:trPr>
          <w:trHeight w:val="217"/>
        </w:trPr>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Purchase Plan</w:t>
            </w:r>
          </w:p>
        </w:tc>
      </w:tr>
      <w:tr>
        <w:trPr>
          <w:trHeight w:val="188"/>
        </w:trPr>
        <w:tc>
          <w:tcPr>
            <w:tcW w:w="20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S-8</w:t>
            </w:r>
          </w:p>
        </w:tc>
        <w:tc>
          <w:tcPr>
            <w:tcW w:w="3360" w:type="dxa"/>
            <w:vAlign w:val="bottom"/>
          </w:tcPr>
          <w:p>
            <w:pPr>
              <w:jc w:val="right"/>
              <w:ind w:right="2294"/>
              <w:spacing w:after="0" w:line="189" w:lineRule="exact"/>
              <w:rPr>
                <w:sz w:val="20"/>
                <w:szCs w:val="20"/>
                <w:color w:val="auto"/>
              </w:rPr>
            </w:pPr>
            <w:r>
              <w:rPr>
                <w:rFonts w:ascii="Arial" w:cs="Arial" w:eastAsia="Arial" w:hAnsi="Arial"/>
                <w:sz w:val="18"/>
                <w:szCs w:val="18"/>
                <w:color w:val="auto"/>
                <w:w w:val="99"/>
              </w:rPr>
              <w:t>333-148416</w:t>
            </w:r>
          </w:p>
        </w:tc>
        <w:tc>
          <w:tcPr>
            <w:tcW w:w="440" w:type="dxa"/>
            <w:vAlign w:val="bottom"/>
          </w:tcPr>
          <w:p>
            <w:pPr>
              <w:spacing w:after="0"/>
              <w:rPr>
                <w:sz w:val="16"/>
                <w:szCs w:val="16"/>
                <w:color w:val="auto"/>
              </w:rPr>
            </w:pPr>
          </w:p>
        </w:tc>
        <w:tc>
          <w:tcPr>
            <w:tcW w:w="5340" w:type="dxa"/>
            <w:vAlign w:val="bottom"/>
          </w:tcPr>
          <w:p>
            <w:pPr>
              <w:ind w:left="20"/>
              <w:spacing w:after="0" w:line="189" w:lineRule="exact"/>
              <w:rPr>
                <w:sz w:val="20"/>
                <w:szCs w:val="20"/>
                <w:color w:val="auto"/>
              </w:rPr>
            </w:pPr>
            <w:r>
              <w:rPr>
                <w:rFonts w:ascii="Arial" w:cs="Arial" w:eastAsia="Arial" w:hAnsi="Arial"/>
                <w:sz w:val="18"/>
                <w:szCs w:val="18"/>
                <w:color w:val="auto"/>
              </w:rPr>
              <w:t>EchoStar Corporation (f/k/a EchoStar Holding Corporation) 2008</w:t>
            </w:r>
          </w:p>
        </w:tc>
      </w:tr>
      <w:tr>
        <w:trPr>
          <w:trHeight w:val="217"/>
        </w:trPr>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Stock Incentive Plan</w:t>
            </w:r>
          </w:p>
        </w:tc>
      </w:tr>
    </w:tbl>
    <w:p>
      <w:pPr>
        <w:ind w:left="5900"/>
        <w:spacing w:after="0" w:line="218" w:lineRule="auto"/>
        <w:rPr>
          <w:sz w:val="20"/>
          <w:szCs w:val="20"/>
          <w:color w:val="auto"/>
        </w:rPr>
      </w:pPr>
      <w:r>
        <w:rPr>
          <w:rFonts w:ascii="Arial" w:cs="Arial" w:eastAsia="Arial" w:hAnsi="Arial"/>
          <w:sz w:val="18"/>
          <w:szCs w:val="18"/>
          <w:color w:val="auto"/>
        </w:rPr>
        <w:t>EchoStar Corporation (f/k/a EchoStar Holding Corporation) 2008</w:t>
      </w:r>
    </w:p>
    <w:p>
      <w:pPr>
        <w:ind w:left="5900"/>
        <w:spacing w:after="0"/>
        <w:rPr>
          <w:sz w:val="20"/>
          <w:szCs w:val="20"/>
          <w:color w:val="auto"/>
        </w:rPr>
      </w:pPr>
      <w:r>
        <w:rPr>
          <w:rFonts w:ascii="Arial" w:cs="Arial" w:eastAsia="Arial" w:hAnsi="Arial"/>
          <w:sz w:val="18"/>
          <w:szCs w:val="18"/>
          <w:color w:val="auto"/>
        </w:rPr>
        <w:t>Employee Stock Purchase Plan</w:t>
      </w:r>
    </w:p>
    <w:p>
      <w:pPr>
        <w:ind w:left="5900"/>
        <w:spacing w:after="0" w:line="229" w:lineRule="auto"/>
        <w:rPr>
          <w:sz w:val="20"/>
          <w:szCs w:val="20"/>
          <w:color w:val="auto"/>
        </w:rPr>
      </w:pPr>
      <w:r>
        <w:rPr>
          <w:rFonts w:ascii="Arial" w:cs="Arial" w:eastAsia="Arial" w:hAnsi="Arial"/>
          <w:sz w:val="18"/>
          <w:szCs w:val="18"/>
          <w:color w:val="auto"/>
        </w:rPr>
        <w:t>EchoStar Corporation (f/k/a EchoStar Holding Corporation) 2008</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Nonemployee Director Stock Option Plan</w:t>
      </w:r>
    </w:p>
    <w:p>
      <w:pPr>
        <w:ind w:left="5900"/>
        <w:spacing w:after="0" w:line="229" w:lineRule="auto"/>
        <w:rPr>
          <w:sz w:val="20"/>
          <w:szCs w:val="20"/>
          <w:color w:val="auto"/>
        </w:rPr>
      </w:pPr>
      <w:r>
        <w:rPr>
          <w:rFonts w:ascii="Arial" w:cs="Arial" w:eastAsia="Arial" w:hAnsi="Arial"/>
          <w:sz w:val="18"/>
          <w:szCs w:val="18"/>
          <w:color w:val="auto"/>
        </w:rPr>
        <w:t>EchoStar Corporation (f/k/a EchoStar Holding Corporation) 2008</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Class B CEO Stock Option Plans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886"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2021,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21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Power of Attorney has been signed by the following persons in the capacities and on the date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Signature</w:t>
            </w:r>
          </w:p>
        </w:tc>
        <w:tc>
          <w:tcPr>
            <w:tcW w:w="40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5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W. Ergen</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24, 2022</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Charles W. Ergen</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Stanton Dodge</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24, 2022</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R. Stanton Dodge</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 Hershman</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24, 2022</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Lisa W. Hershman</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Pradman P. Kaul</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24, 2022</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Pradman P. Kaul</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R. Tarr</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24, 2022</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Jeffrey R. Tarr</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5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 Michael Schroeder</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24, 2022</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C. Michael Schroeder</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8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David Wade</w:t>
            </w:r>
          </w:p>
        </w:tc>
        <w:tc>
          <w:tcPr>
            <w:tcW w:w="400" w:type="dxa"/>
            <w:vAlign w:val="bottom"/>
          </w:tcPr>
          <w:p>
            <w:pPr>
              <w:spacing w:after="0"/>
              <w:rPr>
                <w:sz w:val="24"/>
                <w:szCs w:val="24"/>
                <w:color w:val="auto"/>
              </w:rPr>
            </w:pPr>
          </w:p>
        </w:tc>
        <w:tc>
          <w:tcPr>
            <w:tcW w:w="38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February 24, 2022</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William David Wade</w:t>
            </w:r>
          </w:p>
        </w:tc>
        <w:tc>
          <w:tcPr>
            <w:tcW w:w="4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ectPr>
          <w:pgSz w:w="11900" w:h="16838" w:orient="portrait"/>
          <w:cols w:equalWidth="0" w:num="1">
            <w:col w:w="11240"/>
          </w:cols>
          <w:pgMar w:left="320" w:top="886"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EchoStar Corporation;</w:t>
      </w:r>
    </w:p>
    <w:p>
      <w:pPr>
        <w:spacing w:after="0" w:line="225" w:lineRule="exact"/>
        <w:rPr>
          <w:rFonts w:ascii="Arial" w:cs="Arial" w:eastAsia="Arial" w:hAnsi="Arial"/>
          <w:sz w:val="18"/>
          <w:szCs w:val="18"/>
          <w:color w:val="auto"/>
        </w:rPr>
      </w:pPr>
    </w:p>
    <w:p>
      <w:pPr>
        <w:jc w:val="both"/>
        <w:ind w:firstLine="8"/>
        <w:spacing w:after="0" w:line="256" w:lineRule="auto"/>
        <w:tabs>
          <w:tab w:leader="none" w:pos="3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4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3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2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2022</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8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86"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EchoStar Corporation;</w:t>
      </w:r>
    </w:p>
    <w:p>
      <w:pPr>
        <w:spacing w:after="0" w:line="225" w:lineRule="exact"/>
        <w:rPr>
          <w:rFonts w:ascii="Arial" w:cs="Arial" w:eastAsia="Arial" w:hAnsi="Arial"/>
          <w:sz w:val="18"/>
          <w:szCs w:val="18"/>
          <w:color w:val="auto"/>
        </w:rPr>
      </w:pPr>
    </w:p>
    <w:p>
      <w:pPr>
        <w:jc w:val="both"/>
        <w:ind w:firstLine="8"/>
        <w:spacing w:after="0" w:line="256" w:lineRule="auto"/>
        <w:tabs>
          <w:tab w:leader="none" w:pos="3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4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3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3"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2022</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David J. Rayner</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86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29"/>
        </w:trPr>
        <w:tc>
          <w:tcPr>
            <w:tcW w:w="8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for the year ended December 31, 2021 on Form 10-K (the “Annual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204" w:lineRule="exact"/>
        <w:rPr>
          <w:sz w:val="20"/>
          <w:szCs w:val="20"/>
          <w:color w:val="auto"/>
        </w:rPr>
      </w:pPr>
    </w:p>
    <w:p>
      <w:pPr>
        <w:ind w:left="660" w:hanging="328"/>
        <w:spacing w:after="0" w:line="261" w:lineRule="auto"/>
        <w:tabs>
          <w:tab w:leader="none" w:pos="7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8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Michael T. Dugan</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9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4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9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w:t>
            </w:r>
          </w:p>
        </w:tc>
      </w:tr>
      <w:tr>
        <w:trPr>
          <w:trHeight w:val="212"/>
        </w:trPr>
        <w:tc>
          <w:tcPr>
            <w:tcW w:w="98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Operating Officer and Treasurer</w:t>
            </w:r>
          </w:p>
        </w:tc>
      </w:tr>
      <w:tr>
        <w:trPr>
          <w:trHeight w:val="235"/>
        </w:trPr>
        <w:tc>
          <w:tcPr>
            <w:tcW w:w="9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Annual Report or as a separate disclosure document.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and Twelve Months Ended December 31, 2021</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February 24, 2022—</w:t>
      </w:r>
      <w:r>
        <w:rPr>
          <w:rFonts w:ascii="Arial" w:cs="Arial" w:eastAsia="Arial" w:hAnsi="Arial"/>
          <w:sz w:val="18"/>
          <w:szCs w:val="18"/>
          <w:color w:val="auto"/>
        </w:rPr>
        <w:t>EchoStar Corporation (NASDAQ: SATS) today announced its financial results for the three and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2021 Financial Highlights:</w:t>
      </w:r>
    </w:p>
    <w:p>
      <w:pPr>
        <w:spacing w:after="0" w:line="274"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Consolidated revenue of $498.6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loss of $80.1 million, consolidated net loss attributable to EchoStar common stock of $76.3 million, and basic and diluted loss per share of $0.88.</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Consolidated Adjusted EBITDA of $159.5 million (see discussion and the reconciliation of GAAP to this non-GAAP measure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Ended December 31, 2021 Financial Highlights:</w:t>
      </w:r>
    </w:p>
    <w:p>
      <w:pPr>
        <w:spacing w:after="0" w:line="27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Consolidated revenue of $1,985.7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income of $62.7 million, consolidated net income attributable to EchoStar common stock of $72.9 million, and basic and diluted earnings per share of $0.81.</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Consolidated Adjusted EBITDA of $718.9 million (see discussion and the reconciliation of GAAP to this non-GAAP measure below).</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EchoStar team delivered another solid performance in 2021 with year over year growth in revenue, net income, and adjusted EBITDA” commented Michael Dugan, CEO and President of EchoStar. “We remain focused on meeting our customers’ needs while operating our business in an efficient manner, innovating new multi-transport technology solutions and preparing to place our next satellite, EchoStar XXIV/JUPITER 3, into service.”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2021 - Additional Information:</w:t>
      </w:r>
    </w:p>
    <w:p>
      <w:pPr>
        <w:spacing w:after="0" w:line="274" w:lineRule="exact"/>
        <w:rPr>
          <w:sz w:val="20"/>
          <w:szCs w:val="20"/>
          <w:color w:val="auto"/>
        </w:rPr>
      </w:pPr>
    </w:p>
    <w:p>
      <w:pPr>
        <w:jc w:val="both"/>
        <w:ind w:left="660" w:hanging="328"/>
        <w:spacing w:after="0" w:line="256"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revenue increased 1.9% or $9.4 million year over year primarily driven by higher equipment sales of $18.8 million to our domestic and international enterprise customers partially offset by lower service revenues of $9.4 million primarily due to lower broadband consumer customers.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Adjusted EBITDA decreased 4.3% or $7.2 million year over year.</w:t>
      </w:r>
    </w:p>
    <w:p>
      <w:pPr>
        <w:spacing w:after="0" w:line="130" w:lineRule="exact"/>
        <w:rPr>
          <w:rFonts w:ascii="Arial" w:cs="Arial" w:eastAsia="Arial" w:hAnsi="Arial"/>
          <w:sz w:val="18"/>
          <w:szCs w:val="18"/>
          <w:color w:val="auto"/>
        </w:rPr>
      </w:pPr>
    </w:p>
    <w:p>
      <w:pPr>
        <w:ind w:left="1300" w:right="20" w:hanging="320"/>
        <w:spacing w:after="0" w:line="261" w:lineRule="auto"/>
        <w:tabs>
          <w:tab w:leader="none" w:pos="1310" w:val="left"/>
        </w:tabs>
        <w:numPr>
          <w:ilvl w:val="1"/>
          <w:numId w:val="65"/>
        </w:numPr>
        <w:rPr>
          <w:rFonts w:ascii="Arial" w:cs="Arial" w:eastAsia="Arial" w:hAnsi="Arial"/>
          <w:sz w:val="18"/>
          <w:szCs w:val="18"/>
          <w:color w:val="auto"/>
        </w:rPr>
      </w:pPr>
      <w:r>
        <w:rPr>
          <w:rFonts w:ascii="Arial" w:cs="Arial" w:eastAsia="Arial" w:hAnsi="Arial"/>
          <w:sz w:val="18"/>
          <w:szCs w:val="18"/>
          <w:color w:val="auto"/>
        </w:rPr>
        <w:t>Hughes segment Adjusted EBITDA decreased $10.2 million year over year. The decrease was driven primarily by lower gross margin due to a change in revenue mix as well as higher selling, general and administrative expenses.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ESS segment Adjusted EBITDA increased $0.7 million year over year.</w:t>
      </w:r>
    </w:p>
    <w:p>
      <w:pPr>
        <w:spacing w:after="0" w:line="144" w:lineRule="exact"/>
        <w:rPr>
          <w:rFonts w:ascii="Arial" w:cs="Arial" w:eastAsia="Arial" w:hAnsi="Arial"/>
          <w:sz w:val="18"/>
          <w:szCs w:val="18"/>
          <w:color w:val="auto"/>
        </w:rPr>
      </w:pPr>
    </w:p>
    <w:p>
      <w:pPr>
        <w:ind w:left="1300" w:hanging="320"/>
        <w:spacing w:after="0" w:line="261" w:lineRule="auto"/>
        <w:tabs>
          <w:tab w:leader="none" w:pos="131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Corporate and Other segment Adjusted EBITDA increased $2.3 million year over year. The increase was primarily due to lower corporate legal expenses partially offset by increased losses of unconsolidated affiliates, net.</w:t>
      </w:r>
    </w:p>
    <w:p>
      <w:pPr>
        <w:spacing w:after="0" w:line="10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income decreased $77.5 year over year. The decrease was primarily due to the impairment of our equity investment in DISH Mexico of $55.3 million, losses on investments, net, of $49.9 million, and unfavorable changes in foreign currency exchange rates of $11.2 million. These items were partially offset by lower net interest expense of $19.4 million and higher operating income of $5.5 million.</w:t>
      </w:r>
    </w:p>
    <w:p>
      <w:pPr>
        <w:spacing w:after="0" w:line="10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Hughes broadband subscribers totaled approximately 1,462,000, declining 48,000 from September 30, 2021. The decrease primarily reflects a balancing of capacity utilization with subscriber levels in areas of high bandwidth demand in both the US and Latin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154" w:name="page155"/>
    <w:bookmarkEnd w:id="154"/>
    <w:p>
      <w:pPr>
        <w:ind w:left="66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three months ended December 31, 2021, approximately 65% of Hughes segment revenue was attributable to our consumer customers with approximately 35% attributable to our enterprise customers.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$1.5 billion as of December 31, 2021.</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the three months ended December 31, 2021, we purchased 1,203,821 shares of our Class A common stock in open market trades.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for the three and twelve months ended December 31, 2021 and 2020 (amounts in thousands) (all US GAAP amounts reference results from operations):</w:t>
      </w:r>
    </w:p>
    <w:tbl>
      <w:tblPr>
        <w:tblLayout w:type="fixed"/>
        <w:tblInd w:w="2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center"/>
              <w:ind w:right="300"/>
              <w:spacing w:after="0" w:line="185" w:lineRule="exact"/>
              <w:rPr>
                <w:sz w:val="20"/>
                <w:szCs w:val="20"/>
                <w:color w:val="auto"/>
              </w:rPr>
            </w:pPr>
            <w:r>
              <w:rPr>
                <w:rFonts w:ascii="Arial" w:cs="Arial" w:eastAsia="Arial" w:hAnsi="Arial"/>
                <w:sz w:val="18"/>
                <w:szCs w:val="18"/>
                <w:b w:val="1"/>
                <w:bCs w:val="1"/>
                <w:color w:val="auto"/>
                <w:w w:val="99"/>
              </w:rPr>
              <w:t>For the three months ended</w:t>
            </w:r>
          </w:p>
        </w:tc>
        <w:tc>
          <w:tcPr>
            <w:tcW w:w="160" w:type="dxa"/>
            <w:vAlign w:val="bottom"/>
          </w:tcPr>
          <w:p>
            <w:pPr>
              <w:spacing w:after="0"/>
              <w:rPr>
                <w:sz w:val="16"/>
                <w:szCs w:val="16"/>
                <w:color w:val="auto"/>
              </w:rPr>
            </w:pPr>
          </w:p>
        </w:tc>
        <w:tc>
          <w:tcPr>
            <w:tcW w:w="2720" w:type="dxa"/>
            <w:vAlign w:val="bottom"/>
            <w:gridSpan w:val="4"/>
          </w:tcPr>
          <w:p>
            <w:pPr>
              <w:jc w:val="right"/>
              <w:ind w:right="110"/>
              <w:spacing w:after="0" w:line="185" w:lineRule="exact"/>
              <w:rPr>
                <w:sz w:val="20"/>
                <w:szCs w:val="20"/>
                <w:color w:val="auto"/>
              </w:rPr>
            </w:pPr>
            <w:r>
              <w:rPr>
                <w:rFonts w:ascii="Arial" w:cs="Arial" w:eastAsia="Arial" w:hAnsi="Arial"/>
                <w:sz w:val="18"/>
                <w:szCs w:val="18"/>
                <w:b w:val="1"/>
                <w:bCs w:val="1"/>
                <w:color w:val="auto"/>
              </w:rPr>
              <w:t>For the twelve months ended</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9"/>
                <w:szCs w:val="19"/>
                <w:color w:val="auto"/>
              </w:rPr>
            </w:pPr>
          </w:p>
        </w:tc>
        <w:tc>
          <w:tcPr>
            <w:tcW w:w="27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80"/>
        </w:trPr>
        <w:tc>
          <w:tcPr>
            <w:tcW w:w="53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340" w:type="dxa"/>
            <w:vAlign w:val="bottom"/>
          </w:tcPr>
          <w:p>
            <w:pPr>
              <w:ind w:left="200"/>
              <w:spacing w:after="0"/>
              <w:rPr>
                <w:sz w:val="20"/>
                <w:szCs w:val="20"/>
                <w:color w:val="auto"/>
              </w:rPr>
            </w:pPr>
            <w:r>
              <w:rPr>
                <w:rFonts w:ascii="Arial" w:cs="Arial" w:eastAsia="Arial" w:hAnsi="Arial"/>
                <w:sz w:val="18"/>
                <w:szCs w:val="18"/>
                <w:color w:val="auto"/>
              </w:rPr>
              <w:t>Hughes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491,154</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482,418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1,956,226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1,860,834</w:t>
            </w:r>
          </w:p>
        </w:tc>
        <w:tc>
          <w:tcPr>
            <w:tcW w:w="0" w:type="dxa"/>
            <w:vAlign w:val="bottom"/>
          </w:tcPr>
          <w:p>
            <w:pPr>
              <w:spacing w:after="0"/>
              <w:rPr>
                <w:sz w:val="1"/>
                <w:szCs w:val="1"/>
                <w:color w:val="auto"/>
              </w:rPr>
            </w:pPr>
          </w:p>
        </w:tc>
      </w:tr>
      <w:tr>
        <w:trPr>
          <w:trHeight w:val="270"/>
        </w:trPr>
        <w:tc>
          <w:tcPr>
            <w:tcW w:w="534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17,398</w:t>
            </w:r>
          </w:p>
        </w:tc>
        <w:tc>
          <w:tcPr>
            <w:tcW w:w="0" w:type="dxa"/>
            <w:vAlign w:val="bottom"/>
          </w:tcPr>
          <w:p>
            <w:pPr>
              <w:spacing w:after="0"/>
              <w:rPr>
                <w:sz w:val="1"/>
                <w:szCs w:val="1"/>
                <w:color w:val="auto"/>
              </w:rPr>
            </w:pPr>
          </w:p>
        </w:tc>
      </w:tr>
      <w:tr>
        <w:trPr>
          <w:trHeight w:val="270"/>
        </w:trPr>
        <w:tc>
          <w:tcPr>
            <w:tcW w:w="534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r>
        <w:trPr>
          <w:trHeight w:val="223"/>
        </w:trPr>
        <w:tc>
          <w:tcPr>
            <w:tcW w:w="53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498,644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489,273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1,985,720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1,887,907</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340" w:type="dxa"/>
            <w:vAlign w:val="bottom"/>
          </w:tcPr>
          <w:p>
            <w:pPr>
              <w:ind w:left="200"/>
              <w:spacing w:after="0"/>
              <w:rPr>
                <w:sz w:val="20"/>
                <w:szCs w:val="20"/>
                <w:color w:val="auto"/>
              </w:rPr>
            </w:pPr>
            <w:r>
              <w:rPr>
                <w:rFonts w:ascii="Arial" w:cs="Arial" w:eastAsia="Arial" w:hAnsi="Arial"/>
                <w:sz w:val="18"/>
                <w:szCs w:val="18"/>
                <w:color w:val="auto"/>
              </w:rPr>
              <w:t>Hughes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178,218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188,389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790,469</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723,343</w:t>
            </w:r>
          </w:p>
        </w:tc>
        <w:tc>
          <w:tcPr>
            <w:tcW w:w="0" w:type="dxa"/>
            <w:vAlign w:val="bottom"/>
          </w:tcPr>
          <w:p>
            <w:pPr>
              <w:spacing w:after="0"/>
              <w:rPr>
                <w:sz w:val="1"/>
                <w:szCs w:val="1"/>
                <w:color w:val="auto"/>
              </w:rPr>
            </w:pPr>
          </w:p>
        </w:tc>
      </w:tr>
      <w:tr>
        <w:trPr>
          <w:trHeight w:val="270"/>
        </w:trPr>
        <w:tc>
          <w:tcPr>
            <w:tcW w:w="534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34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(82,615)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(87,867)</w:t>
            </w:r>
          </w:p>
        </w:tc>
        <w:tc>
          <w:tcPr>
            <w:tcW w:w="0" w:type="dxa"/>
            <w:vAlign w:val="bottom"/>
          </w:tcPr>
          <w:p>
            <w:pPr>
              <w:spacing w:after="0"/>
              <w:rPr>
                <w:sz w:val="1"/>
                <w:szCs w:val="1"/>
                <w:color w:val="auto"/>
              </w:rPr>
            </w:pPr>
          </w:p>
        </w:tc>
      </w:tr>
      <w:tr>
        <w:trPr>
          <w:trHeight w:val="270"/>
        </w:trPr>
        <w:tc>
          <w:tcPr>
            <w:tcW w:w="5340" w:type="dxa"/>
            <w:vAlign w:val="bottom"/>
          </w:tcPr>
          <w:p>
            <w:pPr>
              <w:ind w:left="460"/>
              <w:spacing w:after="0"/>
              <w:rPr>
                <w:sz w:val="20"/>
                <w:szCs w:val="20"/>
                <w:color w:val="auto"/>
              </w:rPr>
            </w:pPr>
            <w:r>
              <w:rPr>
                <w:rFonts w:ascii="Arial" w:cs="Arial" w:eastAsia="Arial" w:hAnsi="Arial"/>
                <w:sz w:val="18"/>
                <w:szCs w:val="18"/>
                <w:color w:val="auto"/>
              </w:rPr>
              <w:t>Equity in earnings (losses) of unconsolidated affiliates, net</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50"/>
        </w:trPr>
        <w:tc>
          <w:tcPr>
            <w:tcW w:w="534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(21,398)</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(23,694)</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(88,301)</w:t>
            </w:r>
          </w:p>
        </w:tc>
        <w:tc>
          <w:tcPr>
            <w:tcW w:w="0" w:type="dxa"/>
            <w:vAlign w:val="bottom"/>
          </w:tcPr>
          <w:p>
            <w:pPr>
              <w:spacing w:after="0"/>
              <w:rPr>
                <w:sz w:val="1"/>
                <w:szCs w:val="1"/>
                <w:color w:val="auto"/>
              </w:rPr>
            </w:pPr>
          </w:p>
        </w:tc>
      </w:tr>
      <w:tr>
        <w:trPr>
          <w:trHeight w:val="223"/>
        </w:trPr>
        <w:tc>
          <w:tcPr>
            <w:tcW w:w="534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166,721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718,931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642,915</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(80,083)</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62,721</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438,430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408,798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06"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27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For the twelve months ended</w:t>
            </w:r>
          </w:p>
        </w:tc>
      </w:tr>
      <w:tr>
        <w:trPr>
          <w:trHeight w:val="229"/>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9"/>
                <w:szCs w:val="19"/>
                <w:color w:val="auto"/>
              </w:rPr>
            </w:pPr>
          </w:p>
        </w:tc>
        <w:tc>
          <w:tcPr>
            <w:tcW w:w="27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479"/>
        </w:trPr>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(80,083)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62,721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(51,904)</w:t>
            </w:r>
          </w:p>
        </w:tc>
      </w:tr>
      <w:tr>
        <w:trPr>
          <w:trHeight w:val="230"/>
        </w:trPr>
        <w:tc>
          <w:tcPr>
            <w:tcW w:w="540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(39,982)</w:t>
            </w:r>
          </w:p>
        </w:tc>
      </w:tr>
      <w:tr>
        <w:trPr>
          <w:trHeight w:val="229"/>
        </w:trPr>
        <w:tc>
          <w:tcPr>
            <w:tcW w:w="540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147,927</w:t>
            </w:r>
          </w:p>
        </w:tc>
      </w:tr>
      <w:tr>
        <w:trPr>
          <w:trHeight w:val="230"/>
        </w:trPr>
        <w:tc>
          <w:tcPr>
            <w:tcW w:w="540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24,069</w:t>
            </w:r>
          </w:p>
        </w:tc>
      </w:tr>
      <w:tr>
        <w:trPr>
          <w:trHeight w:val="229"/>
        </w:trPr>
        <w:tc>
          <w:tcPr>
            <w:tcW w:w="5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491,329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525,011</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11,754</w:t>
            </w:r>
          </w:p>
        </w:tc>
      </w:tr>
      <w:tr>
        <w:trPr>
          <w:trHeight w:val="250"/>
        </w:trPr>
        <w:tc>
          <w:tcPr>
            <w:tcW w:w="5400" w:type="dxa"/>
            <w:vAlign w:val="bottom"/>
          </w:tcPr>
          <w:p>
            <w:pPr>
              <w:ind w:left="46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616,875</w:t>
            </w:r>
          </w:p>
        </w:tc>
      </w:tr>
      <w:tr>
        <w:trPr>
          <w:trHeight w:val="270"/>
        </w:trPr>
        <w:tc>
          <w:tcPr>
            <w:tcW w:w="540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31,306</w:t>
            </w:r>
          </w:p>
        </w:tc>
      </w:tr>
      <w:tr>
        <w:trPr>
          <w:trHeight w:val="230"/>
        </w:trPr>
        <w:tc>
          <w:tcPr>
            <w:tcW w:w="5400" w:type="dxa"/>
            <w:vAlign w:val="bottom"/>
          </w:tcPr>
          <w:p>
            <w:pPr>
              <w:ind w:left="46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5400" w:type="dxa"/>
            <w:vAlign w:val="bottom"/>
          </w:tcPr>
          <w:p>
            <w:pPr>
              <w:ind w:left="460"/>
              <w:spacing w:after="0"/>
              <w:rPr>
                <w:sz w:val="20"/>
                <w:szCs w:val="20"/>
                <w:color w:val="auto"/>
              </w:rPr>
            </w:pPr>
            <w:r>
              <w:rPr>
                <w:rFonts w:ascii="Arial" w:cs="Arial" w:eastAsia="Arial" w:hAnsi="Arial"/>
                <w:sz w:val="18"/>
                <w:szCs w:val="18"/>
                <w:color w:val="auto"/>
              </w:rPr>
              <w:t>Impairment loss on equity method investment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460"/>
              <w:spacing w:after="0"/>
              <w:rPr>
                <w:sz w:val="20"/>
                <w:szCs w:val="20"/>
                <w:color w:val="auto"/>
              </w:rPr>
            </w:pPr>
            <w:r>
              <w:rPr>
                <w:rFonts w:ascii="Arial" w:cs="Arial" w:eastAsia="Arial" w:hAnsi="Arial"/>
                <w:sz w:val="18"/>
                <w:szCs w:val="18"/>
                <w:color w:val="auto"/>
              </w:rPr>
              <w:t>Litigation Expense</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0" w:type="dxa"/>
            <w:vAlign w:val="bottom"/>
          </w:tcPr>
          <w:p>
            <w:pPr>
              <w:ind w:left="460"/>
              <w:spacing w:after="0"/>
              <w:rPr>
                <w:sz w:val="20"/>
                <w:szCs w:val="20"/>
                <w:color w:val="auto"/>
              </w:rPr>
            </w:pPr>
            <w:r>
              <w:rPr>
                <w:rFonts w:ascii="Arial" w:cs="Arial" w:eastAsia="Arial" w:hAnsi="Arial"/>
                <w:sz w:val="18"/>
                <w:szCs w:val="18"/>
                <w:color w:val="auto"/>
              </w:rPr>
              <w:t>License fee dispute - India, net of non-controlling interests</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5400" w:type="dxa"/>
            <w:vAlign w:val="bottom"/>
          </w:tcPr>
          <w:p>
            <w:pPr>
              <w:ind w:left="460"/>
              <w:spacing w:after="0"/>
              <w:rPr>
                <w:sz w:val="20"/>
                <w:szCs w:val="20"/>
                <w:color w:val="auto"/>
              </w:rPr>
            </w:pPr>
            <w:r>
              <w:rPr>
                <w:rFonts w:ascii="Arial" w:cs="Arial" w:eastAsia="Arial" w:hAnsi="Arial"/>
                <w:sz w:val="18"/>
                <w:szCs w:val="18"/>
                <w:color w:val="auto"/>
              </w:rPr>
              <w:t>Loss on Debt Repurchase</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12,613</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r>
      <w:tr>
        <w:trPr>
          <w:trHeight w:val="223"/>
        </w:trPr>
        <w:tc>
          <w:tcPr>
            <w:tcW w:w="5400" w:type="dxa"/>
            <w:vAlign w:val="bottom"/>
          </w:tcPr>
          <w:p>
            <w:pPr>
              <w:ind w:left="6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642,915</w:t>
            </w:r>
          </w:p>
        </w:tc>
      </w:tr>
      <w:tr>
        <w:trPr>
          <w:trHeight w:val="21"/>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December 31, 2021 are attached to this press release. Detailed financial data and other information are available in EchoStar’s Annual Report on Form 10-K for the period ended December 31, 2021 filed today with the Securities and Exchange Commission.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will host a conference call to discuss its earnings on Thursday, February 24, 2022 at 3:00 p.m. Eastern Time. The conference call will be broadcast live in listen-only mode on EchoStar’s investor relations website at ir.echostar.com. To ask a question, the dial in numbers are (833) 562-0124 (toll-free) and (661) 567-1102 (international), Conference ID 4197436.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06"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About EchoStar Corporation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2021 as filed with the Securities and Exchange Commission and in the other documents EchoStar files with the Securities and Exchange Commission from time to time.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84" w:right="339" w:bottom="1440" w:gutter="0" w:footer="0" w:header="0"/>
        </w:sectPr>
      </w:pP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106"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203" w:lineRule="auto"/>
        <w:rPr>
          <w:sz w:val="20"/>
          <w:szCs w:val="20"/>
          <w:color w:val="auto"/>
        </w:rPr>
      </w:pPr>
      <w:r>
        <w:rPr>
          <w:rFonts w:ascii="Arial" w:cs="Arial" w:eastAsia="Arial" w:hAnsi="Arial"/>
          <w:sz w:val="18"/>
          <w:szCs w:val="18"/>
          <w:color w:val="auto"/>
        </w:rPr>
        <w:t>Phone: +1 303-728-5179</w:t>
      </w: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84" w:right="339" w:bottom="1440" w:gutter="0" w:footer="0" w:header="0"/>
          <w:type w:val="continuous"/>
        </w:sectPr>
      </w:pPr>
    </w:p>
    <w:bookmarkStart w:id="157" w:name="page158"/>
    <w:bookmarkEnd w:id="15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22"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535,894</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896,005</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1,010,496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1,638,271</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182,063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183,989</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198,444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1,926,897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2,908,086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2,338,285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2,390,313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149,198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128,303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511,086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511,597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469,766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478,762</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18,433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297,747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284,937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338,241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352,921</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assets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4,118,307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4,165,266</w:t>
            </w:r>
          </w:p>
        </w:tc>
        <w:tc>
          <w:tcPr>
            <w:tcW w:w="0" w:type="dxa"/>
            <w:vAlign w:val="bottom"/>
          </w:tcPr>
          <w:p>
            <w:pPr>
              <w:spacing w:after="0"/>
              <w:rPr>
                <w:sz w:val="1"/>
                <w:szCs w:val="1"/>
                <w:color w:val="auto"/>
              </w:rPr>
            </w:pPr>
          </w:p>
        </w:tc>
      </w:tr>
      <w:tr>
        <w:trPr>
          <w:trHeight w:val="210"/>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0" w:type="dxa"/>
            <w:vAlign w:val="bottom"/>
          </w:tcPr>
          <w:p>
            <w:pPr>
              <w:spacing w:after="0"/>
              <w:rPr>
                <w:sz w:val="1"/>
                <w:szCs w:val="1"/>
                <w:color w:val="auto"/>
              </w:rPr>
            </w:pPr>
          </w:p>
        </w:tc>
      </w:tr>
      <w:tr>
        <w:trPr>
          <w:trHeight w:val="26"/>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109,338</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122,366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898,237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141,343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104,569</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209,442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299,999</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1,425,171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1,495,994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1,495,256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403,684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359,896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134,897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114,886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136,426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70,893</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2,171,001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2,040,931</w:t>
            </w:r>
          </w:p>
        </w:tc>
        <w:tc>
          <w:tcPr>
            <w:tcW w:w="0" w:type="dxa"/>
            <w:vAlign w:val="bottom"/>
          </w:tcPr>
          <w:p>
            <w:pPr>
              <w:spacing w:after="0"/>
              <w:rPr>
                <w:sz w:val="1"/>
                <w:szCs w:val="1"/>
                <w:color w:val="auto"/>
              </w:rPr>
            </w:pPr>
          </w:p>
        </w:tc>
      </w:tr>
      <w:tr>
        <w:trPr>
          <w:trHeight w:val="213"/>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2,631,124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3,466,102</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684" w:right="339"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3"/>
        </w:trPr>
        <w:tc>
          <w:tcPr>
            <w:tcW w:w="8200" w:type="dxa"/>
            <w:vAlign w:val="bottom"/>
          </w:tcPr>
          <w:p>
            <w:pPr>
              <w:ind w:left="200"/>
              <w:spacing w:after="0"/>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1"/>
        </w:trPr>
        <w:tc>
          <w:tcPr>
            <w:tcW w:w="8200" w:type="dxa"/>
            <w:vAlign w:val="bottom"/>
          </w:tcPr>
          <w:p>
            <w:pPr>
              <w:ind w:left="200"/>
              <w:spacing w:after="0"/>
              <w:rPr>
                <w:sz w:val="20"/>
                <w:szCs w:val="20"/>
                <w:color w:val="auto"/>
              </w:rPr>
            </w:pPr>
            <w:r>
              <w:rPr>
                <w:rFonts w:ascii="Arial" w:cs="Arial" w:eastAsia="Arial" w:hAnsi="Arial"/>
                <w:sz w:val="16"/>
                <w:szCs w:val="16"/>
                <w:color w:val="auto"/>
              </w:rPr>
              <w:t>December 31,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820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77"/>
        </w:trPr>
        <w:tc>
          <w:tcPr>
            <w:tcW w:w="8200" w:type="dxa"/>
            <w:vAlign w:val="bottom"/>
          </w:tcPr>
          <w:p>
            <w:pPr>
              <w:ind w:left="460"/>
              <w:spacing w:after="0" w:line="178" w:lineRule="exact"/>
              <w:rPr>
                <w:sz w:val="20"/>
                <w:szCs w:val="20"/>
                <w:color w:val="auto"/>
              </w:rPr>
            </w:pPr>
            <w:r>
              <w:rPr>
                <w:rFonts w:ascii="Arial" w:cs="Arial" w:eastAsia="Arial" w:hAnsi="Arial"/>
                <w:sz w:val="16"/>
                <w:szCs w:val="16"/>
                <w:color w:val="auto"/>
              </w:rPr>
              <w:t>Class A common stock, $0.001 par value, 1,600,000,000 shares authorized, 58,059,622 shares issued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8200" w:type="dxa"/>
            <w:vAlign w:val="bottom"/>
          </w:tcPr>
          <w:p>
            <w:pPr>
              <w:ind w:left="460"/>
              <w:spacing w:after="0" w:line="162" w:lineRule="exact"/>
              <w:rPr>
                <w:sz w:val="20"/>
                <w:szCs w:val="20"/>
                <w:color w:val="auto"/>
              </w:rPr>
            </w:pPr>
            <w:r>
              <w:rPr>
                <w:rFonts w:ascii="Arial" w:cs="Arial" w:eastAsia="Arial" w:hAnsi="Arial"/>
                <w:sz w:val="16"/>
                <w:szCs w:val="16"/>
                <w:color w:val="auto"/>
              </w:rPr>
              <w:t>and 38,726,923 shares outstanding at December 31, 2021 and 57,254,201 shares issued and 48,863,374</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shares outstanding at December 31, 2020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issued and outstanding at both December 31, 2021 and December 31, 2020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outstanding at both December 31,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both December 31,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3,345,878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3,321,426</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(212,102)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(187,876)</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656,466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583,591</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Treasury shares, at cost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(174,912)</w:t>
            </w:r>
          </w:p>
        </w:tc>
      </w:tr>
      <w:tr>
        <w:trPr>
          <w:trHeight w:val="210"/>
        </w:trPr>
        <w:tc>
          <w:tcPr>
            <w:tcW w:w="820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3,353,827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3,542,334</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64,916</w:t>
            </w: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3,414,080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3,607,250</w:t>
            </w:r>
          </w:p>
        </w:tc>
      </w:tr>
      <w:tr>
        <w:trPr>
          <w:trHeight w:val="21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r>
      <w:tr>
        <w:trPr>
          <w:trHeight w:val="23"/>
        </w:trPr>
        <w:tc>
          <w:tcPr>
            <w:tcW w:w="8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684" w:right="339" w:bottom="1440" w:gutter="0" w:footer="0" w:header="0"/>
        </w:sectPr>
      </w:pPr>
    </w:p>
    <w:bookmarkStart w:id="159" w:name="page160"/>
    <w:bookmarkEnd w:id="159"/>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8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tcBorders>
            <w:gridSpan w:val="6"/>
          </w:tcPr>
          <w:p>
            <w:pPr>
              <w:jc w:val="right"/>
              <w:ind w:right="119"/>
              <w:spacing w:after="0"/>
              <w:rPr>
                <w:sz w:val="20"/>
                <w:szCs w:val="20"/>
                <w:color w:val="auto"/>
              </w:rPr>
            </w:pPr>
            <w:r>
              <w:rPr>
                <w:rFonts w:ascii="Arial" w:cs="Arial" w:eastAsia="Arial" w:hAnsi="Arial"/>
                <w:sz w:val="18"/>
                <w:szCs w:val="18"/>
                <w:b w:val="1"/>
                <w:bCs w:val="1"/>
                <w:color w:val="auto"/>
              </w:rPr>
              <w:t>For the years ended December 31,</w:t>
            </w: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60"/>
        </w:trPr>
        <w:tc>
          <w:tcPr>
            <w:tcW w:w="51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1,715,287</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1,682,304</w:t>
            </w:r>
          </w:p>
        </w:tc>
        <w:tc>
          <w:tcPr>
            <w:tcW w:w="12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1,619,271</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270,433</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205,603</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266,810</w:t>
            </w:r>
          </w:p>
        </w:tc>
        <w:tc>
          <w:tcPr>
            <w:tcW w:w="0" w:type="dxa"/>
            <w:vAlign w:val="bottom"/>
          </w:tcPr>
          <w:p>
            <w:pPr>
              <w:spacing w:after="0"/>
              <w:rPr>
                <w:sz w:val="1"/>
                <w:szCs w:val="1"/>
                <w:color w:val="auto"/>
              </w:rPr>
            </w:pPr>
          </w:p>
        </w:tc>
      </w:tr>
      <w:tr>
        <w:trPr>
          <w:trHeight w:val="209"/>
        </w:trPr>
        <w:tc>
          <w:tcPr>
            <w:tcW w:w="5180" w:type="dxa"/>
            <w:vAlign w:val="bottom"/>
          </w:tcPr>
          <w:p>
            <w:pPr>
              <w:ind w:left="460"/>
              <w:spacing w:after="0"/>
              <w:rPr>
                <w:sz w:val="20"/>
                <w:szCs w:val="20"/>
                <w:color w:val="auto"/>
              </w:rPr>
            </w:pPr>
            <w:r>
              <w:rPr>
                <w:rFonts w:ascii="Arial" w:cs="Arial" w:eastAsia="Arial" w:hAnsi="Arial"/>
                <w:sz w:val="16"/>
                <w:szCs w:val="16"/>
                <w:color w:val="auto"/>
              </w:rPr>
              <w:t>Total revenue</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1,985,720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1,887,907</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1,886,081</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200"/>
              <w:spacing w:after="0"/>
              <w:rPr>
                <w:sz w:val="20"/>
                <w:szCs w:val="20"/>
                <w:color w:val="auto"/>
              </w:rPr>
            </w:pPr>
            <w:r>
              <w:rPr>
                <w:rFonts w:ascii="Arial" w:cs="Arial" w:eastAsia="Arial" w:hAnsi="Arial"/>
                <w:sz w:val="16"/>
                <w:szCs w:val="16"/>
                <w:color w:val="auto"/>
              </w:rPr>
              <w:t>Cost of sales - services and other (exclusive of depreciation and</w:t>
            </w: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4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551,679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577,943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561,353</w:t>
            </w:r>
          </w:p>
        </w:tc>
        <w:tc>
          <w:tcPr>
            <w:tcW w:w="0" w:type="dxa"/>
            <w:vAlign w:val="bottom"/>
          </w:tcPr>
          <w:p>
            <w:pPr>
              <w:spacing w:after="0"/>
              <w:rPr>
                <w:sz w:val="1"/>
                <w:szCs w:val="1"/>
                <w:color w:val="auto"/>
              </w:rPr>
            </w:pPr>
          </w:p>
        </w:tc>
      </w:tr>
      <w:tr>
        <w:trPr>
          <w:trHeight w:val="183"/>
        </w:trPr>
        <w:tc>
          <w:tcPr>
            <w:tcW w:w="518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w:t>
            </w: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4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231,975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166,435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226,002</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461,705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474,912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509,145</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31,777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29,448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25,739</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525,011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490,765</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460"/>
              <w:spacing w:after="0"/>
              <w:rPr>
                <w:sz w:val="20"/>
                <w:szCs w:val="20"/>
                <w:color w:val="auto"/>
              </w:rPr>
            </w:pPr>
            <w:r>
              <w:rPr>
                <w:rFonts w:ascii="Arial" w:cs="Arial" w:eastAsia="Arial" w:hAnsi="Arial"/>
                <w:sz w:val="16"/>
                <w:szCs w:val="16"/>
                <w:color w:val="auto"/>
              </w:rPr>
              <w:t>Total costs and expenses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1,768,710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1,775,434</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1,813,004</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6"/>
                <w:szCs w:val="16"/>
                <w:color w:val="auto"/>
              </w:rPr>
              <w:t>Operating income (loss)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217,010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112,473</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73,077</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22,801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39,982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82,352</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(95,512)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(147,927)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(251,016)</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69,531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(31,306)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28,912</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(14,734)</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6,015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(11,590)</w:t>
            </w:r>
          </w:p>
        </w:tc>
        <w:tc>
          <w:tcPr>
            <w:tcW w:w="0" w:type="dxa"/>
            <w:vAlign w:val="bottom"/>
          </w:tcPr>
          <w:p>
            <w:pPr>
              <w:spacing w:after="0"/>
              <w:rPr>
                <w:sz w:val="1"/>
                <w:szCs w:val="1"/>
                <w:color w:val="auto"/>
              </w:rPr>
            </w:pPr>
          </w:p>
        </w:tc>
      </w:tr>
      <w:tr>
        <w:trPr>
          <w:trHeight w:val="183"/>
        </w:trPr>
        <w:tc>
          <w:tcPr>
            <w:tcW w:w="5180" w:type="dxa"/>
            <w:vAlign w:val="bottom"/>
          </w:tcPr>
          <w:p>
            <w:pPr>
              <w:ind w:left="200"/>
              <w:spacing w:after="0"/>
              <w:rPr>
                <w:sz w:val="20"/>
                <w:szCs w:val="20"/>
                <w:color w:val="auto"/>
              </w:rPr>
            </w:pPr>
            <w:r>
              <w:rPr>
                <w:rFonts w:ascii="Arial" w:cs="Arial" w:eastAsia="Arial" w:hAnsi="Arial"/>
                <w:sz w:val="16"/>
                <w:szCs w:val="16"/>
                <w:color w:val="auto"/>
              </w:rPr>
              <w:t>Other-than-temporary impairment losses on equity method</w:t>
            </w: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4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0"/>
        </w:trPr>
        <w:tc>
          <w:tcPr>
            <w:tcW w:w="5180" w:type="dxa"/>
            <w:vAlign w:val="bottom"/>
          </w:tcPr>
          <w:p>
            <w:pPr>
              <w:ind w:left="460"/>
              <w:spacing w:after="0"/>
              <w:rPr>
                <w:sz w:val="20"/>
                <w:szCs w:val="20"/>
                <w:color w:val="auto"/>
              </w:rPr>
            </w:pPr>
            <w:r>
              <w:rPr>
                <w:rFonts w:ascii="Arial" w:cs="Arial" w:eastAsia="Arial" w:hAnsi="Arial"/>
                <w:sz w:val="16"/>
                <w:szCs w:val="16"/>
                <w:color w:val="auto"/>
              </w:rPr>
              <w:t>Total other income (expense), net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(140,308)</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(166,242)</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128,347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(27,835)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(93,165)</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(65,626)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(24,069)</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(20,488)</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6"/>
                <w:szCs w:val="16"/>
                <w:color w:val="auto"/>
              </w:rPr>
              <w:t>Net income (loss) from continuing operations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62,721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(113,653)</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Net income (loss) from discontinued operations</w:t>
            </w:r>
          </w:p>
        </w:tc>
        <w:tc>
          <w:tcPr>
            <w:tcW w:w="4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39,401</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Net income (loss)</w:t>
            </w:r>
          </w:p>
        </w:tc>
        <w:tc>
          <w:tcPr>
            <w:tcW w:w="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62,721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(74,252)</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11,754</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11,335</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72,875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(40,150)</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(62,917)</w:t>
            </w:r>
          </w:p>
        </w:tc>
        <w:tc>
          <w:tcPr>
            <w:tcW w:w="0" w:type="dxa"/>
            <w:vAlign w:val="bottom"/>
          </w:tcPr>
          <w:p>
            <w:pPr>
              <w:spacing w:after="0"/>
              <w:rPr>
                <w:sz w:val="1"/>
                <w:szCs w:val="1"/>
                <w:color w:val="auto"/>
              </w:rPr>
            </w:pPr>
          </w:p>
        </w:tc>
      </w:tr>
      <w:tr>
        <w:trPr>
          <w:trHeight w:val="26"/>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51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80" w:type="dxa"/>
            <w:vAlign w:val="bottom"/>
          </w:tcPr>
          <w:p>
            <w:pPr>
              <w:ind w:left="200"/>
              <w:spacing w:after="0"/>
              <w:rPr>
                <w:sz w:val="20"/>
                <w:szCs w:val="20"/>
                <w:color w:val="auto"/>
              </w:rPr>
            </w:pPr>
            <w:r>
              <w:rPr>
                <w:rFonts w:ascii="Arial" w:cs="Arial" w:eastAsia="Arial" w:hAnsi="Arial"/>
                <w:sz w:val="16"/>
                <w:szCs w:val="16"/>
                <w:color w:val="auto"/>
              </w:rPr>
              <w:t>Basic and diluted earnings (losses) from continuing operations per</w:t>
            </w:r>
          </w:p>
        </w:tc>
        <w:tc>
          <w:tcPr>
            <w:tcW w:w="44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15"/>
                <w:szCs w:val="15"/>
                <w:color w:val="auto"/>
              </w:rPr>
            </w:pPr>
          </w:p>
        </w:tc>
        <w:tc>
          <w:tcPr>
            <w:tcW w:w="440" w:type="dxa"/>
            <w:vAlign w:val="bottom"/>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5"/>
                <w:szCs w:val="15"/>
                <w:color w:val="auto"/>
              </w:rPr>
            </w:pPr>
          </w:p>
        </w:tc>
        <w:tc>
          <w:tcPr>
            <w:tcW w:w="580" w:type="dxa"/>
            <w:vAlign w:val="bottom"/>
            <w:vMerge w:val="restart"/>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9"/>
        </w:trPr>
        <w:tc>
          <w:tcPr>
            <w:tcW w:w="5180" w:type="dxa"/>
            <w:vAlign w:val="bottom"/>
          </w:tcPr>
          <w:p>
            <w:pPr>
              <w:ind w:left="200"/>
              <w:spacing w:after="0" w:line="174" w:lineRule="exact"/>
              <w:rPr>
                <w:sz w:val="20"/>
                <w:szCs w:val="20"/>
                <w:color w:val="auto"/>
              </w:rPr>
            </w:pPr>
            <w:r>
              <w:rPr>
                <w:rFonts w:ascii="Arial" w:cs="Arial" w:eastAsia="Arial" w:hAnsi="Arial"/>
                <w:sz w:val="16"/>
                <w:szCs w:val="16"/>
                <w:color w:val="auto"/>
              </w:rPr>
              <w:t>share</w:t>
            </w:r>
          </w:p>
        </w:tc>
        <w:tc>
          <w:tcPr>
            <w:tcW w:w="4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0"/>
              <w:spacing w:after="0"/>
              <w:rPr>
                <w:sz w:val="20"/>
                <w:szCs w:val="20"/>
                <w:color w:val="auto"/>
              </w:rPr>
            </w:pPr>
            <w:r>
              <w:rPr>
                <w:rFonts w:ascii="Arial" w:cs="Arial" w:eastAsia="Arial" w:hAnsi="Arial"/>
                <w:sz w:val="16"/>
                <w:szCs w:val="16"/>
                <w:color w:val="auto"/>
              </w:rPr>
              <w:t>Total basic and diluted earnings (losses) per share</w:t>
            </w: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18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684" w:right="33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For the years ended December 31,</w:t>
            </w:r>
          </w:p>
        </w:tc>
        <w:tc>
          <w:tcPr>
            <w:tcW w:w="1420" w:type="dxa"/>
            <w:vAlign w:val="bottom"/>
            <w:tcBorders>
              <w:bottom w:val="single" w:sz="8" w:color="auto"/>
            </w:tcBorders>
          </w:tcPr>
          <w:p>
            <w:pPr>
              <w:spacing w:after="0"/>
              <w:rPr>
                <w:sz w:val="18"/>
                <w:szCs w:val="18"/>
                <w:color w:val="auto"/>
              </w:rPr>
            </w:pPr>
          </w:p>
        </w:tc>
      </w:tr>
      <w:tr>
        <w:trPr>
          <w:trHeight w:val="211"/>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2019</w:t>
            </w:r>
          </w:p>
        </w:tc>
      </w:tr>
      <w:tr>
        <w:trPr>
          <w:trHeight w:val="394"/>
        </w:trPr>
        <w:tc>
          <w:tcPr>
            <w:tcW w:w="52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62,721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(51,904)</w:t>
            </w:r>
          </w:p>
        </w:tc>
        <w:tc>
          <w:tcPr>
            <w:tcW w:w="12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(74,252)</w:t>
            </w:r>
          </w:p>
        </w:tc>
      </w:tr>
      <w:tr>
        <w:trPr>
          <w:trHeight w:val="168"/>
        </w:trPr>
        <w:tc>
          <w:tcPr>
            <w:tcW w:w="5200" w:type="dxa"/>
            <w:vAlign w:val="bottom"/>
          </w:tcPr>
          <w:p>
            <w:pPr>
              <w:ind w:left="200"/>
              <w:spacing w:after="0" w:line="168" w:lineRule="exact"/>
              <w:rPr>
                <w:sz w:val="20"/>
                <w:szCs w:val="20"/>
                <w:color w:val="auto"/>
              </w:rPr>
            </w:pPr>
            <w:r>
              <w:rPr>
                <w:rFonts w:ascii="Arial" w:cs="Arial" w:eastAsia="Arial" w:hAnsi="Arial"/>
                <w:sz w:val="16"/>
                <w:szCs w:val="16"/>
                <w:b w:val="1"/>
                <w:bCs w:val="1"/>
                <w:color w:val="auto"/>
              </w:rPr>
              <w:t>Adjustments to reconcile net income (loss) to cash flows</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5"/>
        </w:trPr>
        <w:tc>
          <w:tcPr>
            <w:tcW w:w="5200" w:type="dxa"/>
            <w:vAlign w:val="bottom"/>
          </w:tcPr>
          <w:p>
            <w:pPr>
              <w:ind w:left="200"/>
              <w:spacing w:after="0"/>
              <w:rPr>
                <w:sz w:val="20"/>
                <w:szCs w:val="20"/>
                <w:color w:val="auto"/>
              </w:rPr>
            </w:pPr>
            <w:r>
              <w:rPr>
                <w:rFonts w:ascii="Arial" w:cs="Arial" w:eastAsia="Arial" w:hAnsi="Arial"/>
                <w:sz w:val="16"/>
                <w:szCs w:val="16"/>
                <w:b w:val="1"/>
                <w:bCs w:val="1"/>
                <w:color w:val="auto"/>
              </w:rPr>
              <w:t>provided by (used for) operating activities: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1"/>
        </w:trPr>
        <w:tc>
          <w:tcPr>
            <w:tcW w:w="52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491,329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525,011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588,200</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Impairment of long-lived assets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Losses (gains) on investments,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(69,531)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31,306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(28,912)</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Equity in losses (earnings) of unconsolidated affiliates,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14,734</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Foreign currency transaction losses (gains),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12,613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11,590</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Deferred tax provision (benefit),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37,664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18,147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32,542</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8,887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9,353</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5,912</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Dividends received from unconsolidated affiliates</w:t>
            </w:r>
          </w:p>
        </w:tc>
        <w:tc>
          <w:tcPr>
            <w:tcW w:w="4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2,716</w:t>
            </w:r>
          </w:p>
        </w:tc>
      </w:tr>
      <w:tr>
        <w:trPr>
          <w:trHeight w:val="183"/>
        </w:trPr>
        <w:tc>
          <w:tcPr>
            <w:tcW w:w="5200" w:type="dxa"/>
            <w:vAlign w:val="bottom"/>
          </w:tcPr>
          <w:p>
            <w:pPr>
              <w:ind w:left="460"/>
              <w:spacing w:after="0"/>
              <w:rPr>
                <w:sz w:val="20"/>
                <w:szCs w:val="20"/>
                <w:color w:val="auto"/>
              </w:rPr>
            </w:pPr>
            <w:r>
              <w:rPr>
                <w:rFonts w:ascii="Arial" w:cs="Arial" w:eastAsia="Arial" w:hAnsi="Arial"/>
                <w:sz w:val="16"/>
                <w:szCs w:val="16"/>
                <w:color w:val="auto"/>
              </w:rPr>
              <w:t>Other-than-temporary impairment losses on equity method</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5"/>
        </w:trPr>
        <w:tc>
          <w:tcPr>
            <w:tcW w:w="5200" w:type="dxa"/>
            <w:vAlign w:val="bottom"/>
          </w:tcPr>
          <w:p>
            <w:pPr>
              <w:ind w:left="460"/>
              <w:spacing w:after="0"/>
              <w:rPr>
                <w:sz w:val="20"/>
                <w:szCs w:val="20"/>
                <w:color w:val="auto"/>
              </w:rPr>
            </w:pPr>
            <w:r>
              <w:rPr>
                <w:rFonts w:ascii="Arial" w:cs="Arial" w:eastAsia="Arial" w:hAnsi="Arial"/>
                <w:sz w:val="16"/>
                <w:szCs w:val="16"/>
                <w:color w:val="auto"/>
              </w:rPr>
              <w:t>investments</w:t>
            </w: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55,266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color w:val="auto"/>
              </w:rPr>
              <w:t>Other,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19,740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(12,501)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6,297</w:t>
            </w:r>
          </w:p>
        </w:tc>
      </w:tr>
      <w:tr>
        <w:trPr>
          <w:trHeight w:val="216"/>
        </w:trPr>
        <w:tc>
          <w:tcPr>
            <w:tcW w:w="5200" w:type="dxa"/>
            <w:vAlign w:val="bottom"/>
          </w:tcPr>
          <w:p>
            <w:pPr>
              <w:ind w:left="460"/>
              <w:spacing w:after="0"/>
              <w:rPr>
                <w:sz w:val="20"/>
                <w:szCs w:val="20"/>
                <w:color w:val="auto"/>
              </w:rPr>
            </w:pPr>
            <w:r>
              <w:rPr>
                <w:rFonts w:ascii="Arial" w:cs="Arial" w:eastAsia="Arial" w:hAnsi="Arial"/>
                <w:sz w:val="16"/>
                <w:szCs w:val="16"/>
                <w:b w:val="1"/>
                <w:bCs w:val="1"/>
                <w:color w:val="auto"/>
              </w:rPr>
              <w:t>Changes in assets and liabilities, net:</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200" w:type="dxa"/>
            <w:vAlign w:val="bottom"/>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8,289</w:t>
            </w:r>
          </w:p>
        </w:tc>
      </w:tr>
      <w:tr>
        <w:trPr>
          <w:trHeight w:val="216"/>
        </w:trPr>
        <w:tc>
          <w:tcPr>
            <w:tcW w:w="5200" w:type="dxa"/>
            <w:vAlign w:val="bottom"/>
          </w:tcPr>
          <w:p>
            <w:pPr>
              <w:ind w:left="660"/>
              <w:spacing w:after="0"/>
              <w:rPr>
                <w:sz w:val="20"/>
                <w:szCs w:val="20"/>
                <w:color w:val="auto"/>
              </w:rPr>
            </w:pPr>
            <w:r>
              <w:rPr>
                <w:rFonts w:ascii="Arial" w:cs="Arial" w:eastAsia="Arial" w:hAnsi="Arial"/>
                <w:sz w:val="16"/>
                <w:szCs w:val="16"/>
                <w:color w:val="auto"/>
              </w:rPr>
              <w:t>Other current assets, net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(12,984)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(39,190)</w:t>
            </w:r>
          </w:p>
        </w:tc>
      </w:tr>
      <w:tr>
        <w:trPr>
          <w:trHeight w:val="216"/>
        </w:trPr>
        <w:tc>
          <w:tcPr>
            <w:tcW w:w="5200" w:type="dxa"/>
            <w:vAlign w:val="bottom"/>
          </w:tcPr>
          <w:p>
            <w:pPr>
              <w:ind w:left="660"/>
              <w:spacing w:after="0"/>
              <w:rPr>
                <w:sz w:val="20"/>
                <w:szCs w:val="20"/>
                <w:color w:val="auto"/>
              </w:rPr>
            </w:pPr>
            <w:r>
              <w:rPr>
                <w:rFonts w:ascii="Arial" w:cs="Arial" w:eastAsia="Arial" w:hAnsi="Arial"/>
                <w:sz w:val="16"/>
                <w:szCs w:val="16"/>
                <w:color w:val="auto"/>
              </w:rPr>
              <w:t>Trade accounts payable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(15,599)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(12,339)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13,149</w:t>
            </w:r>
          </w:p>
        </w:tc>
      </w:tr>
      <w:tr>
        <w:trPr>
          <w:trHeight w:val="216"/>
        </w:trPr>
        <w:tc>
          <w:tcPr>
            <w:tcW w:w="5200" w:type="dxa"/>
            <w:vAlign w:val="bottom"/>
          </w:tcPr>
          <w:p>
            <w:pPr>
              <w:ind w:left="660"/>
              <w:spacing w:after="0"/>
              <w:rPr>
                <w:sz w:val="20"/>
                <w:szCs w:val="20"/>
                <w:color w:val="auto"/>
              </w:rPr>
            </w:pPr>
            <w:r>
              <w:rPr>
                <w:rFonts w:ascii="Arial" w:cs="Arial" w:eastAsia="Arial" w:hAnsi="Arial"/>
                <w:sz w:val="16"/>
                <w:szCs w:val="16"/>
                <w:color w:val="auto"/>
              </w:rPr>
              <w:t>Contract liabilities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36,774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26,376</w:t>
            </w:r>
          </w:p>
        </w:tc>
      </w:tr>
      <w:tr>
        <w:trPr>
          <w:trHeight w:val="216"/>
        </w:trPr>
        <w:tc>
          <w:tcPr>
            <w:tcW w:w="5200" w:type="dxa"/>
            <w:vAlign w:val="bottom"/>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(84,621)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42,822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66,352</w:t>
            </w:r>
          </w:p>
        </w:tc>
      </w:tr>
      <w:tr>
        <w:trPr>
          <w:trHeight w:val="216"/>
        </w:trPr>
        <w:tc>
          <w:tcPr>
            <w:tcW w:w="5200" w:type="dxa"/>
            <w:vAlign w:val="bottom"/>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80,012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13,166</w:t>
            </w:r>
          </w:p>
        </w:tc>
      </w:tr>
      <w:tr>
        <w:trPr>
          <w:trHeight w:val="209"/>
        </w:trPr>
        <w:tc>
          <w:tcPr>
            <w:tcW w:w="520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632,226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534,388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656,322</w:t>
            </w:r>
          </w:p>
        </w:tc>
      </w:tr>
      <w:tr>
        <w:trPr>
          <w:trHeight w:val="453"/>
        </w:trPr>
        <w:tc>
          <w:tcPr>
            <w:tcW w:w="52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(1,651,608)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(2,799,838)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(993,369)</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2,321,560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2,110,336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2,391,220</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(438,430)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(408,798)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(418,584)</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(33,543)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(38,655)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(29,310)</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(93,687)</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4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(2,149)</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Purchases of regulatory authorizations</w:t>
            </w:r>
          </w:p>
        </w:tc>
        <w:tc>
          <w:tcPr>
            <w:tcW w:w="4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(34,447)</w:t>
            </w: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4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2,284</w:t>
            </w:r>
          </w:p>
        </w:tc>
      </w:tr>
      <w:tr>
        <w:trPr>
          <w:trHeight w:val="213"/>
        </w:trPr>
        <w:tc>
          <w:tcPr>
            <w:tcW w:w="520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158,930</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(1,142,455)</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821,958</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40" w:top="684" w:right="3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52" w:lineRule="exact"/>
        <w:rPr>
          <w:sz w:val="20"/>
          <w:szCs w:val="20"/>
          <w:color w:val="auto"/>
        </w:rPr>
      </w:pPr>
    </w:p>
    <w:p>
      <w:pPr>
        <w:ind w:left="200" w:right="860"/>
        <w:spacing w:after="0" w:line="281" w:lineRule="auto"/>
        <w:rPr>
          <w:sz w:val="20"/>
          <w:szCs w:val="20"/>
          <w:color w:val="auto"/>
        </w:rPr>
      </w:pPr>
      <w:r>
        <w:rPr>
          <w:rFonts w:ascii="Arial" w:cs="Arial" w:eastAsia="Arial" w:hAnsi="Arial"/>
          <w:sz w:val="16"/>
          <w:szCs w:val="16"/>
          <w:color w:val="auto"/>
        </w:rPr>
        <w:t>Repurchase and maturity of the 2019 Senior Secured Notes Repurchase and maturity of the 2021 Senior Unsecured Notes Payment of finance lease obligations Payment of in-orbit incentive obligations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Proceeds from Class A common stock options exercised</w:t>
      </w:r>
    </w:p>
    <w:p>
      <w:pPr>
        <w:spacing w:after="0" w:line="32" w:lineRule="exact"/>
        <w:rPr>
          <w:sz w:val="20"/>
          <w:szCs w:val="20"/>
          <w:color w:val="auto"/>
        </w:rPr>
      </w:pPr>
    </w:p>
    <w:p>
      <w:pPr>
        <w:ind w:left="200" w:right="580"/>
        <w:spacing w:after="0" w:line="232" w:lineRule="auto"/>
        <w:rPr>
          <w:sz w:val="20"/>
          <w:szCs w:val="20"/>
          <w:color w:val="auto"/>
        </w:rPr>
      </w:pPr>
      <w:r>
        <w:rPr>
          <w:rFonts w:ascii="Arial" w:cs="Arial" w:eastAsia="Arial" w:hAnsi="Arial"/>
          <w:sz w:val="16"/>
          <w:szCs w:val="16"/>
          <w:color w:val="auto"/>
        </w:rPr>
        <w:t>Proceeds from Class A common stock issued under the Employee Stock Purchase Plan</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Treasury share repurchase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Contribution by non-controlling interest holder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 of non-controlling interest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12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period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period</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(920,923)</w:t>
            </w:r>
          </w:p>
        </w:tc>
      </w:tr>
      <w:tr>
        <w:trPr>
          <w:trHeight w:val="216"/>
        </w:trPr>
        <w:tc>
          <w:tcPr>
            <w:tcW w:w="980" w:type="dxa"/>
            <w:vAlign w:val="bottom"/>
          </w:tcPr>
          <w:p>
            <w:pPr>
              <w:jc w:val="right"/>
              <w:ind w:right="79"/>
              <w:spacing w:after="0"/>
              <w:rPr>
                <w:sz w:val="20"/>
                <w:szCs w:val="20"/>
                <w:color w:val="auto"/>
              </w:rPr>
            </w:pPr>
            <w:r>
              <w:rPr>
                <w:rFonts w:ascii="Arial" w:cs="Arial" w:eastAsia="Arial" w:hAnsi="Arial"/>
                <w:sz w:val="16"/>
                <w:szCs w:val="16"/>
                <w:color w:val="auto"/>
              </w:rPr>
              <w:t>(901,818)</w:t>
            </w:r>
          </w:p>
        </w:tc>
        <w:tc>
          <w:tcPr>
            <w:tcW w:w="6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ind w:right="79"/>
              <w:spacing w:after="0"/>
              <w:rPr>
                <w:sz w:val="20"/>
                <w:szCs w:val="20"/>
                <w:color w:val="auto"/>
              </w:rPr>
            </w:pPr>
            <w:r>
              <w:rPr>
                <w:rFonts w:ascii="Arial" w:cs="Arial" w:eastAsia="Arial" w:hAnsi="Arial"/>
                <w:sz w:val="16"/>
                <w:szCs w:val="16"/>
                <w:color w:val="auto"/>
              </w:rPr>
              <w:t>(670)</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(29,347)</w:t>
            </w:r>
          </w:p>
        </w:tc>
      </w:tr>
      <w:tr>
        <w:trPr>
          <w:trHeight w:val="216"/>
        </w:trPr>
        <w:tc>
          <w:tcPr>
            <w:tcW w:w="980" w:type="dxa"/>
            <w:vAlign w:val="bottom"/>
          </w:tcPr>
          <w:p>
            <w:pPr>
              <w:jc w:val="right"/>
              <w:ind w:right="79"/>
              <w:spacing w:after="0"/>
              <w:rPr>
                <w:sz w:val="20"/>
                <w:szCs w:val="20"/>
                <w:color w:val="auto"/>
              </w:rPr>
            </w:pPr>
            <w:r>
              <w:rPr>
                <w:rFonts w:ascii="Arial" w:cs="Arial" w:eastAsia="Arial" w:hAnsi="Arial"/>
                <w:sz w:val="16"/>
                <w:szCs w:val="16"/>
                <w:color w:val="auto"/>
              </w:rPr>
              <w:t>(2,214)</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(5,447)</w:t>
            </w:r>
          </w:p>
        </w:tc>
      </w:tr>
      <w:tr>
        <w:trPr>
          <w:trHeight w:val="216"/>
        </w:trPr>
        <w:tc>
          <w:tcPr>
            <w:tcW w:w="980" w:type="dxa"/>
            <w:vAlign w:val="bottom"/>
          </w:tcPr>
          <w:p>
            <w:pPr>
              <w:jc w:val="right"/>
              <w:ind w:right="119"/>
              <w:spacing w:after="0"/>
              <w:rPr>
                <w:sz w:val="20"/>
                <w:szCs w:val="20"/>
                <w:color w:val="auto"/>
              </w:rPr>
            </w:pPr>
            <w:r>
              <w:rPr>
                <w:rFonts w:ascii="Arial" w:cs="Arial" w:eastAsia="Arial" w:hAnsi="Arial"/>
                <w:sz w:val="16"/>
                <w:szCs w:val="16"/>
                <w:color w:val="auto"/>
              </w:rPr>
              <w:t>408</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67,337</w:t>
            </w:r>
          </w:p>
        </w:tc>
      </w:tr>
      <w:tr>
        <w:trPr>
          <w:trHeight w:val="378"/>
        </w:trPr>
        <w:tc>
          <w:tcPr>
            <w:tcW w:w="980" w:type="dxa"/>
            <w:vAlign w:val="bottom"/>
          </w:tcPr>
          <w:p>
            <w:pPr>
              <w:jc w:val="right"/>
              <w:ind w:right="119"/>
              <w:spacing w:after="0"/>
              <w:rPr>
                <w:sz w:val="20"/>
                <w:szCs w:val="20"/>
                <w:color w:val="auto"/>
              </w:rPr>
            </w:pPr>
            <w:r>
              <w:rPr>
                <w:rFonts w:ascii="Arial" w:cs="Arial" w:eastAsia="Arial" w:hAnsi="Arial"/>
                <w:sz w:val="16"/>
                <w:szCs w:val="16"/>
                <w:color w:val="auto"/>
              </w:rPr>
              <w:t>9,471</w:t>
            </w:r>
          </w:p>
        </w:tc>
        <w:tc>
          <w:tcPr>
            <w:tcW w:w="6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10,109</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9,779</w:t>
            </w:r>
          </w:p>
        </w:tc>
      </w:tr>
      <w:tr>
        <w:trPr>
          <w:trHeight w:val="216"/>
        </w:trPr>
        <w:tc>
          <w:tcPr>
            <w:tcW w:w="980" w:type="dxa"/>
            <w:vAlign w:val="bottom"/>
          </w:tcPr>
          <w:p>
            <w:pPr>
              <w:jc w:val="right"/>
              <w:ind w:right="79"/>
              <w:spacing w:after="0"/>
              <w:rPr>
                <w:sz w:val="20"/>
                <w:szCs w:val="20"/>
                <w:color w:val="auto"/>
              </w:rPr>
            </w:pPr>
            <w:r>
              <w:rPr>
                <w:rFonts w:ascii="Arial" w:cs="Arial" w:eastAsia="Arial" w:hAnsi="Arial"/>
                <w:sz w:val="16"/>
                <w:szCs w:val="16"/>
                <w:color w:val="auto"/>
              </w:rPr>
              <w:t>(261,436)</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(43,458)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ind w:right="119"/>
              <w:spacing w:after="0"/>
              <w:rPr>
                <w:sz w:val="20"/>
                <w:szCs w:val="20"/>
                <w:color w:val="auto"/>
              </w:rPr>
            </w:pPr>
            <w:r>
              <w:rPr>
                <w:rFonts w:ascii="Arial" w:cs="Arial" w:eastAsia="Arial" w:hAnsi="Arial"/>
                <w:sz w:val="16"/>
                <w:szCs w:val="16"/>
                <w:color w:val="auto"/>
              </w:rPr>
              <w:t>9,880</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18,241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(7,313)</w:t>
            </w:r>
          </w:p>
        </w:tc>
      </w:tr>
      <w:tr>
        <w:trPr>
          <w:trHeight w:val="219"/>
        </w:trPr>
        <w:tc>
          <w:tcPr>
            <w:tcW w:w="980" w:type="dxa"/>
            <w:vAlign w:val="bottom"/>
          </w:tcPr>
          <w:p>
            <w:pPr>
              <w:jc w:val="right"/>
              <w:ind w:right="79"/>
              <w:spacing w:after="0"/>
              <w:rPr>
                <w:sz w:val="20"/>
                <w:szCs w:val="20"/>
                <w:color w:val="auto"/>
              </w:rPr>
            </w:pPr>
            <w:r>
              <w:rPr>
                <w:rFonts w:ascii="Arial" w:cs="Arial" w:eastAsia="Arial" w:hAnsi="Arial"/>
                <w:sz w:val="16"/>
                <w:szCs w:val="16"/>
                <w:color w:val="auto"/>
              </w:rPr>
              <w:t>(966)</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r>
      <w:tr>
        <w:trPr>
          <w:trHeight w:val="209"/>
        </w:trPr>
        <w:tc>
          <w:tcPr>
            <w:tcW w:w="980" w:type="dxa"/>
            <w:vAlign w:val="bottom"/>
          </w:tcPr>
          <w:p>
            <w:pPr>
              <w:jc w:val="right"/>
              <w:ind w:right="79"/>
              <w:spacing w:after="0"/>
              <w:rPr>
                <w:sz w:val="20"/>
                <w:szCs w:val="20"/>
                <w:color w:val="auto"/>
              </w:rPr>
            </w:pPr>
            <w:r>
              <w:rPr>
                <w:rFonts w:ascii="Arial" w:cs="Arial" w:eastAsia="Arial" w:hAnsi="Arial"/>
                <w:sz w:val="16"/>
                <w:szCs w:val="16"/>
                <w:color w:val="auto"/>
                <w:w w:val="97"/>
              </w:rPr>
              <w:t>(1,147,345)</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(15,620)</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(885,311)</w:t>
            </w:r>
          </w:p>
        </w:tc>
      </w:tr>
      <w:tr>
        <w:trPr>
          <w:trHeight w:val="199"/>
        </w:trPr>
        <w:tc>
          <w:tcPr>
            <w:tcW w:w="9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7"/>
        </w:trPr>
        <w:tc>
          <w:tcPr>
            <w:tcW w:w="980" w:type="dxa"/>
            <w:vAlign w:val="bottom"/>
          </w:tcPr>
          <w:p>
            <w:pPr>
              <w:jc w:val="right"/>
              <w:ind w:right="79"/>
              <w:spacing w:after="0"/>
              <w:rPr>
                <w:sz w:val="20"/>
                <w:szCs w:val="20"/>
                <w:color w:val="auto"/>
              </w:rPr>
            </w:pPr>
            <w:r>
              <w:rPr>
                <w:rFonts w:ascii="Arial" w:cs="Arial" w:eastAsia="Arial" w:hAnsi="Arial"/>
                <w:sz w:val="16"/>
                <w:szCs w:val="16"/>
                <w:color w:val="auto"/>
              </w:rPr>
              <w:t>(3,749)</w:t>
            </w:r>
          </w:p>
        </w:tc>
        <w:tc>
          <w:tcPr>
            <w:tcW w:w="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r>
      <w:tr>
        <w:trPr>
          <w:trHeight w:val="207"/>
        </w:trPr>
        <w:tc>
          <w:tcPr>
            <w:tcW w:w="980" w:type="dxa"/>
            <w:vAlign w:val="bottom"/>
          </w:tcPr>
          <w:p>
            <w:pPr>
              <w:jc w:val="right"/>
              <w:ind w:right="79"/>
              <w:spacing w:after="0"/>
              <w:rPr>
                <w:sz w:val="20"/>
                <w:szCs w:val="20"/>
                <w:color w:val="auto"/>
              </w:rPr>
            </w:pPr>
            <w:r>
              <w:rPr>
                <w:rFonts w:ascii="Arial" w:cs="Arial" w:eastAsia="Arial" w:hAnsi="Arial"/>
                <w:sz w:val="16"/>
                <w:szCs w:val="16"/>
                <w:color w:val="auto"/>
              </w:rPr>
              <w:t>(359,938)</w:t>
            </w:r>
          </w:p>
        </w:tc>
        <w:tc>
          <w:tcPr>
            <w:tcW w:w="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(625,077)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592,394</w:t>
            </w:r>
          </w:p>
        </w:tc>
      </w:tr>
      <w:tr>
        <w:trPr>
          <w:trHeight w:val="381"/>
        </w:trPr>
        <w:tc>
          <w:tcPr>
            <w:tcW w:w="980" w:type="dxa"/>
            <w:vAlign w:val="bottom"/>
          </w:tcPr>
          <w:p>
            <w:pPr>
              <w:jc w:val="right"/>
              <w:ind w:right="119"/>
              <w:spacing w:after="0"/>
              <w:rPr>
                <w:sz w:val="20"/>
                <w:szCs w:val="20"/>
                <w:color w:val="auto"/>
              </w:rPr>
            </w:pPr>
            <w:r>
              <w:rPr>
                <w:rFonts w:ascii="Arial" w:cs="Arial" w:eastAsia="Arial" w:hAnsi="Arial"/>
                <w:sz w:val="16"/>
                <w:szCs w:val="16"/>
                <w:color w:val="auto"/>
              </w:rPr>
              <w:t>896,812</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929,495</w:t>
            </w:r>
          </w:p>
        </w:tc>
      </w:tr>
      <w:tr>
        <w:trPr>
          <w:trHeight w:val="331"/>
        </w:trPr>
        <w:tc>
          <w:tcPr>
            <w:tcW w:w="980" w:type="dxa"/>
            <w:vAlign w:val="bottom"/>
          </w:tcPr>
          <w:p>
            <w:pPr>
              <w:jc w:val="right"/>
              <w:ind w:right="119"/>
              <w:spacing w:after="0"/>
              <w:rPr>
                <w:sz w:val="20"/>
                <w:szCs w:val="20"/>
                <w:color w:val="auto"/>
              </w:rPr>
            </w:pPr>
            <w:r>
              <w:rPr>
                <w:rFonts w:ascii="Arial" w:cs="Arial" w:eastAsia="Arial" w:hAnsi="Arial"/>
                <w:sz w:val="16"/>
                <w:szCs w:val="16"/>
                <w:color w:val="auto"/>
              </w:rPr>
              <w:t>536,874</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23"/>
        </w:trPr>
        <w:tc>
          <w:tcPr>
            <w:tcW w:w="9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-33655</wp:posOffset>
            </wp:positionV>
            <wp:extent cx="12255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122555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-7620</wp:posOffset>
            </wp:positionV>
            <wp:extent cx="12255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-256540</wp:posOffset>
            </wp:positionV>
            <wp:extent cx="12255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-642620</wp:posOffset>
            </wp:positionV>
            <wp:extent cx="12255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-788035</wp:posOffset>
            </wp:positionV>
            <wp:extent cx="12255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-925195</wp:posOffset>
            </wp:positionV>
            <wp:extent cx="12255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-1071245</wp:posOffset>
            </wp:positionV>
            <wp:extent cx="12255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sectPr>
      <w:pgSz w:w="11900" w:h="16838" w:orient="portrait"/>
      <w:cols w:equalWidth="0" w:num="2">
        <w:col w:w="5540" w:space="720"/>
        <w:col w:w="4960"/>
      </w:cols>
      <w:pgMar w:left="340" w:top="7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decimal"/>
      <w:start w:val="303"/>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lowerRoman"/>
      <w:start w:val="2"/>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upperLetter"/>
      <w:start w:val="8"/>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lvl w:ilvl="1">
      <w:lvlJc w:val="left"/>
      <w:lvlText w:val="%2)"/>
      <w:numFmt w:val="lowerLetter"/>
      <w:start w:val="1"/>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lowerRoman"/>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lvl w:ilvl="1">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0" Type="http://schemas.openxmlformats.org/officeDocument/2006/relationships/image" Target="media/image65.png"/><Relationship Id="rId91" Type="http://schemas.openxmlformats.org/officeDocument/2006/relationships/image" Target="media/image66.png"/><Relationship Id="rId103" Type="http://schemas.openxmlformats.org/officeDocument/2006/relationships/image" Target="media/image67.png"/><Relationship Id="rId115" Type="http://schemas.openxmlformats.org/officeDocument/2006/relationships/image" Target="media/image68.png"/><Relationship Id="rId126" Type="http://schemas.openxmlformats.org/officeDocument/2006/relationships/image" Target="media/image69.png"/><Relationship Id="rId127" Type="http://schemas.openxmlformats.org/officeDocument/2006/relationships/image" Target="media/image70.png"/><Relationship Id="rId128" Type="http://schemas.openxmlformats.org/officeDocument/2006/relationships/image" Target="media/image71.png"/><Relationship Id="rId129" Type="http://schemas.openxmlformats.org/officeDocument/2006/relationships/image" Target="media/image72.png"/><Relationship Id="rId130" Type="http://schemas.openxmlformats.org/officeDocument/2006/relationships/image" Target="media/image73.png"/><Relationship Id="rId131" Type="http://schemas.openxmlformats.org/officeDocument/2006/relationships/image" Target="media/image74.png"/><Relationship Id="rId132"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72" Type="http://schemas.openxmlformats.org/officeDocument/2006/relationships/hyperlink" Target="http://www.sec.gov/Archives/edgar/data/1415404/000103570407000816/d50150a1exv2w1.htm" TargetMode="External"/><Relationship Id="rId73" Type="http://schemas.openxmlformats.org/officeDocument/2006/relationships/hyperlink" Target="http://www.sec.gov/Archives/edgar/data/1345840/000119312511036322/dex21.htm" TargetMode="External"/><Relationship Id="rId74" Type="http://schemas.openxmlformats.org/officeDocument/2006/relationships/hyperlink" Target="http://www.sec.gov/Archives/edgar/data/1415404/000141540419000033/sats063019ex-21.htm" TargetMode="External"/><Relationship Id="rId75" Type="http://schemas.openxmlformats.org/officeDocument/2006/relationships/hyperlink" Target="http://www.sec.gov/Archives/edgar/data/1415404/000103570407000816/d50150a1exv3w1.htm" TargetMode="External"/><Relationship Id="rId76" Type="http://schemas.openxmlformats.org/officeDocument/2006/relationships/hyperlink" Target="http://www.sec.gov/Archives/edgar/data/1415404/000103570408000039/d53368exv3w1.htm" TargetMode="External"/><Relationship Id="rId77" Type="http://schemas.openxmlformats.org/officeDocument/2006/relationships/hyperlink" Target="http://www.sec.gov/Archives/edgar/data/1415404/000141540416000008/exhibit31echostarcorpora.htm" TargetMode="External"/><Relationship Id="rId78" Type="http://schemas.openxmlformats.org/officeDocument/2006/relationships/hyperlink" Target="http://www.sec.gov/Archives/edgar/data/1415404/000141540417000016/ex31certofwithdrawal.htm" TargetMode="External"/><Relationship Id="rId79" Type="http://schemas.openxmlformats.org/officeDocument/2006/relationships/hyperlink" Target="http://www.sec.gov/Archives/edgar/data/1415404/000103570407000816/d50150a1exv3w2.htm" TargetMode="External"/><Relationship Id="rId81" Type="http://schemas.openxmlformats.org/officeDocument/2006/relationships/hyperlink" Target="http://www.sec.gov/Archives/edgar/data/1415404/000103570407000816/d50150a1exv4w1.htm" TargetMode="External"/><Relationship Id="rId82" Type="http://schemas.openxmlformats.org/officeDocument/2006/relationships/hyperlink" Target="http://www.sec.gov/Archives/edgar/data/1415404/000110465911033872/a11-14479_1ex4d1.htm" TargetMode="External"/><Relationship Id="rId83" Type="http://schemas.openxmlformats.org/officeDocument/2006/relationships/hyperlink" Target="http://www.sec.gov/Archives/edgar/data/1415404/000110465916134602/a16-15573_1ex4d1.htm" TargetMode="External"/><Relationship Id="rId84" Type="http://schemas.openxmlformats.org/officeDocument/2006/relationships/hyperlink" Target="http://www.sec.gov/Archives/edgar/data/1415404/000110465916134602/a16-15573_1ex4d2.htm" TargetMode="External"/><Relationship Id="rId85" Type="http://schemas.openxmlformats.org/officeDocument/2006/relationships/hyperlink" Target="http://www.sec.gov/Archives/edgar/data/1415404/000110465916134602/a16-15573_1ex4d3.htm" TargetMode="External"/><Relationship Id="rId86" Type="http://schemas.openxmlformats.org/officeDocument/2006/relationships/hyperlink" Target="http://www.sec.gov/Archives/edgar/data/1415404/000110465916134602/a16-15573_1ex4d4.htm" TargetMode="External"/><Relationship Id="rId87" Type="http://schemas.openxmlformats.org/officeDocument/2006/relationships/hyperlink" Target="http://www.sec.gov/Archives/edgar/data/1345840/000153375817000023/hssc_2017exchexhibit4d19.htm" TargetMode="External"/><Relationship Id="rId88" Type="http://schemas.openxmlformats.org/officeDocument/2006/relationships/hyperlink" Target="http://www.sec.gov/Archives/edgar/data/1345840/000153375817000023/hssc_2017exchexhibitx4d20.htm" TargetMode="External"/><Relationship Id="rId89" Type="http://schemas.openxmlformats.org/officeDocument/2006/relationships/hyperlink" Target="http://www.sec.gov/Archives/edgar/data/1415404/000141540418000005/exhibit424-xjoinderagr.htm" TargetMode="External"/><Relationship Id="rId90" Type="http://schemas.openxmlformats.org/officeDocument/2006/relationships/hyperlink" Target="http://www.sec.gov/Archives/edgar/data/1415404/000141540418000005/exhibit425-xhsscxsecon.htm" TargetMode="External"/><Relationship Id="rId92" Type="http://schemas.openxmlformats.org/officeDocument/2006/relationships/hyperlink" Target="http://www.sec.gov/Archives/edgar/data/1415404/000141540418000005/exhibit426-xhsscxsecon.htm" TargetMode="External"/><Relationship Id="rId93" Type="http://schemas.openxmlformats.org/officeDocument/2006/relationships/hyperlink" Target="http://www.sec.gov/Archives/edgar/data/1415404/000141540419000033/ex41-joinderagreement.htm" TargetMode="External"/><Relationship Id="rId94" Type="http://schemas.openxmlformats.org/officeDocument/2006/relationships/hyperlink" Target="http://www.sec.gov/Archives/edgar/data/1415404/000141540419000033/ex42-thirdsupplemental.htm" TargetMode="External"/><Relationship Id="rId95" Type="http://schemas.openxmlformats.org/officeDocument/2006/relationships/hyperlink" Target="http://www.sec.gov/Archives/edgar/data/1415404/000141540419000033/ex43-thirdsupplemental.htm" TargetMode="External"/><Relationship Id="rId96" Type="http://schemas.openxmlformats.org/officeDocument/2006/relationships/hyperlink" Target="https://www.sec.gov/Archives/edgar/data/1415404/000141540420000005/ex425descriptionofourc.htm" TargetMode="External"/><Relationship Id="rId97" Type="http://schemas.openxmlformats.org/officeDocument/2006/relationships/hyperlink" Target="http://www.sec.gov/Archives/edgar/data/1415404/000103570407000816/d50150a1exv10w2.htm" TargetMode="External"/><Relationship Id="rId98" Type="http://schemas.openxmlformats.org/officeDocument/2006/relationships/hyperlink" Target="http://www.sec.gov/Archives/edgar/data/1415404/000103570407000816/d50150a1exv10w25.htm" TargetMode="External"/><Relationship Id="rId99" Type="http://schemas.openxmlformats.org/officeDocument/2006/relationships/hyperlink" Target="http://www.sec.gov/Archives/edgar/data/1415404/000110465914067061/a14-20006_2def14a.htm#Appendix1_041118" TargetMode="External"/><Relationship Id="rId100" Type="http://schemas.openxmlformats.org/officeDocument/2006/relationships/hyperlink" Target="http://www.sec.gov/Archives/edgar/data/1415404/000103570409000020/d67044ddef14a.htm#018" TargetMode="External"/><Relationship Id="rId101" Type="http://schemas.openxmlformats.org/officeDocument/2006/relationships/hyperlink" Target="http://www.sec.gov/Archives/edgar/data/1415404/000104746909009775/a2195329zex-10_4.htm" TargetMode="External"/><Relationship Id="rId102" Type="http://schemas.openxmlformats.org/officeDocument/2006/relationships/hyperlink" Target="http://www.sec.gov/Archives/edgar/data/1415404/000110465915076360/a15-17922_1ex10d1.htm" TargetMode="External"/><Relationship Id="rId104" Type="http://schemas.openxmlformats.org/officeDocument/2006/relationships/hyperlink" Target="http://www.sec.gov/Archives/edgar/data/1415404/000110465916099355/a15-23459_3ex10d39.htm" TargetMode="External"/><Relationship Id="rId105" Type="http://schemas.openxmlformats.org/officeDocument/2006/relationships/hyperlink" Target="http://www.sec.gov/Archives/edgar/data/1415404/000110465916099355/a15-23459_3ex10d40.htm" TargetMode="External"/><Relationship Id="rId106" Type="http://schemas.openxmlformats.org/officeDocument/2006/relationships/hyperlink" Target="http://www.sec.gov/Archives/edgar/data/1415404/000110465916099355/a15-23459_3ex10d41.htm" TargetMode="External"/><Relationship Id="rId107" Type="http://schemas.openxmlformats.org/officeDocument/2006/relationships/hyperlink" Target="http://www.sec.gov/Archives/edgar/data/1415404/000110465916099355/a15-23459_3ex10d42.htm" TargetMode="External"/><Relationship Id="rId108" Type="http://schemas.openxmlformats.org/officeDocument/2006/relationships/hyperlink" Target="http://www.sec.gov/Archives/edgar/data/1415404/000110465916099355/a15-23459_3ex10d43.htm" TargetMode="External"/><Relationship Id="rId109" Type="http://schemas.openxmlformats.org/officeDocument/2006/relationships/hyperlink" Target="http://www.sec.gov/Archives/edgar/data/1415404/000110465916099355/a15-23459_3ex10d44.htm" TargetMode="External"/><Relationship Id="rId110" Type="http://schemas.openxmlformats.org/officeDocument/2006/relationships/hyperlink" Target="http://www.sec.gov/Archives/edgar/data/1415404/000110465916099355/a15-23459_3ex10d45.htm" TargetMode="External"/><Relationship Id="rId111" Type="http://schemas.openxmlformats.org/officeDocument/2006/relationships/hyperlink" Target="http://www.sec.gov/Archives/edgar/data/1415404/000141540417000029/shareexchangeagreementreda.htm" TargetMode="External"/><Relationship Id="rId112" Type="http://schemas.openxmlformats.org/officeDocument/2006/relationships/hyperlink" Target="http://www.sec.gov/Archives/edgar/data/1415404/000141540417000022/sats2017proxystatement.htm" TargetMode="External"/><Relationship Id="rId113" Type="http://schemas.openxmlformats.org/officeDocument/2006/relationships/hyperlink" Target="http://www.sec.gov/Archives/edgar/data/1415404/000141540417000045/a101echostarnon-qualifiedp.htm" TargetMode="External"/><Relationship Id="rId114" Type="http://schemas.openxmlformats.org/officeDocument/2006/relationships/hyperlink" Target="http://www.sec.gov/Archives/edgar/data/1415404/000141540417000045/ex102-formofstockoptionagr.htm" TargetMode="External"/><Relationship Id="rId116" Type="http://schemas.openxmlformats.org/officeDocument/2006/relationships/hyperlink" Target="http://www.sec.gov/Archives/edgar/data/1415404/000141540417000045/ex103-formofstockoptionagr.htm" TargetMode="External"/><Relationship Id="rId117" Type="http://schemas.openxmlformats.org/officeDocument/2006/relationships/hyperlink" Target="http://www.sec.gov/Archives/edgar/data/1415404/000141540417000045/ex104formofnon-employeedir.htm" TargetMode="External"/><Relationship Id="rId118" Type="http://schemas.openxmlformats.org/officeDocument/2006/relationships/hyperlink" Target="http://www.sec.gov/Archives/edgar/data/1415404/000141540417000045/ex105formofrsuagreementfor.htm" TargetMode="External"/><Relationship Id="rId119" Type="http://schemas.openxmlformats.org/officeDocument/2006/relationships/hyperlink" Target="http://www.sec.gov/Archives/edgar/data/1415404/000141540418000034/ex-101htaxsharingagree.htm" TargetMode="External"/><Relationship Id="rId120" Type="http://schemas.openxmlformats.org/officeDocument/2006/relationships/hyperlink" Target="http://www.sec.gov/Archives/edgar/data/1415404/000141540419000003/ex1035amendmenttonon-q.htm" TargetMode="External"/><Relationship Id="rId121" Type="http://schemas.openxmlformats.org/officeDocument/2006/relationships/hyperlink" Target="http://www.sec.gov/Archives/edgar/data/1415404/000141540419000033/sats063019ex-101.htm" TargetMode="External"/><Relationship Id="rId122" Type="http://schemas.openxmlformats.org/officeDocument/2006/relationships/hyperlink" Target="https://www.sec.gov/Archives/edgar/data/1415404/000141540420000005/ex123120191030echostar.htm" TargetMode="External"/><Relationship Id="rId123" Type="http://schemas.openxmlformats.org/officeDocument/2006/relationships/hyperlink" Target="https://www.sec.gov/Archives/edgar/data/1415404/000141540420000033/ex-101xadoptionagreeme.htm" TargetMode="External"/><Relationship Id="rId124" Type="http://schemas.openxmlformats.org/officeDocument/2006/relationships/hyperlink" Target="https://www.sec.gov/Archives/edgar/data/1415404/000141540420000033/ex-102xamdt1tosslxecho.htm" TargetMode="External"/><Relationship Id="rId125" Type="http://schemas.openxmlformats.org/officeDocument/2006/relationships/hyperlink" Target="https://www.sec.gov/Archives/edgar/data/1415404/000141540421000011/a2021satsproxystatement.htm#i6d1879bc289540a3ba8fc082b625c96b_12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2022-02-24T05:23:54Z</dcterms:created>
  <dcterms:modified xsi:type="dcterms:W3CDTF">2022-02-24T05:23:54Z</dcterms:modified>
</cp:coreProperties>
</file>