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sats-20261030xdef14a.htm"/>
        <w:bookmarkStart w:id="1" w:name="kssats20261030xdef14a"/>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2" w:name="_8000dcc5_31fb_44b1_85cd_239a8ca03bfd"/>
      <w:bookmarkEnd w:id="2"/>
      <w:r>
        <w:rPr/>
        <w:t>​</w:t>
      </w:r>
    </w:p>
    <w:p>
      <w:pPr>
        <w:pStyle w:val="Normal"/>
        <w:bidi w:val="0"/>
        <w:spacing w:before="0" w:after="0"/>
        <w:jc w:val="left"/>
        <w:rPr>
          <w:sz w:val="4"/>
          <w:szCs w:val="4"/>
        </w:rPr>
      </w:pPr>
      <w:r>
        <w:rPr>
          <w:sz w:val="4"/>
          <w:szCs w:val="4"/>
        </w:rPr>
      </w:r>
      <w:bookmarkStart w:id="3" w:name="Tc_1KwQ2Kc-tkanTs5oyqV1Iw_29_1"/>
      <w:bookmarkStart w:id="4" w:name="Tc_tpTw_81gbEiBl3ecoQ4tFQ_29_0"/>
      <w:bookmarkStart w:id="5" w:name="Tc_3Ey_PdcdAUeUj4Ob6nRhYw_28_1"/>
      <w:bookmarkStart w:id="6" w:name="Tc_23bOyzdu5UyzljTvgHqHMg_28_0"/>
      <w:bookmarkStart w:id="7" w:name="Tc_2v-yN4K4qESMsnEmqecAWw_27_1"/>
      <w:bookmarkStart w:id="8" w:name="Tc_cE_JvxoaW0q_HdwhGVktdQ_27_0"/>
      <w:bookmarkStart w:id="9" w:name="Tc_oiPKUKsepEmg5lYa2dUTCg_26_0"/>
      <w:bookmarkStart w:id="10" w:name="Tc_efrtHaMmP0urhU2sNTPVbg_24_0"/>
      <w:bookmarkStart w:id="11" w:name="Tc_1IYoQT2tsUqv1_T4kmwXjg_21_0"/>
      <w:bookmarkStart w:id="12" w:name="Tc_PbtWqf5kQ0u4a-jKHR9knw_18_1"/>
      <w:bookmarkStart w:id="13" w:name="Tc_oQfDy0y4Q027rhZTGVAEbA_18_0"/>
      <w:bookmarkStart w:id="14" w:name="Tc_adCetrnDy0SQRB8Hpdr9NQ_17_1"/>
      <w:bookmarkStart w:id="15" w:name="Tc_5WRHVko3VkimIRJAVDIcvA_17_0"/>
      <w:bookmarkStart w:id="16" w:name="Tc_BaQv66EriEun9uqB_imr6g_16_1"/>
      <w:bookmarkStart w:id="17" w:name="Tc_44DNFed8wEKSYHPTsLPAKg_16_0"/>
      <w:bookmarkStart w:id="18" w:name="Tc_R0QqbtZEtUeiDjTNAa5jyg_15_1"/>
      <w:bookmarkStart w:id="19" w:name="Tc__aLp8J4lUUuF5kc7fe2D0g_15_0"/>
      <w:bookmarkStart w:id="20" w:name="Tc_IS8_n4iKjEatAhjM22M4Xw_14_1"/>
      <w:bookmarkStart w:id="21" w:name="Tc_U1snQ6PLkka7u21pPefSgw_14_0"/>
      <w:bookmarkStart w:id="22" w:name="Tc_AM0n_4XiNU6snaNmBR4qBA_13_0"/>
      <w:bookmarkStart w:id="23" w:name="Tc_sNBucCxhdkiOUvmwt45EyA_11_0"/>
      <w:bookmarkStart w:id="24" w:name="Tc_srhZIVlkU0WUj3HrlsuR6Q_9_0"/>
      <w:bookmarkStart w:id="25" w:name="Tc_XR1zCEwcnU65xsxoK2uh9A_7_0"/>
      <w:bookmarkStart w:id="26" w:name="Tc_4rNwOIm0l0OYtVzfiBeQ0Q_3_0"/>
      <w:bookmarkStart w:id="27" w:name="Tc_eMnSS7nlO0SBqUuwMiGFmg_2_0"/>
      <w:bookmarkStart w:id="28" w:name="Tc_evqLTpErKEW0yy_Qz96J8w_1_0"/>
      <w:bookmarkStart w:id="29" w:name="_e05047bb_30c2_44a7_8cd9_1e5d93613c64"/>
      <w:bookmarkStart w:id="30" w:name="Tc_1KwQ2Kc-tkanTs5oyqV1Iw_29_1"/>
      <w:bookmarkStart w:id="31" w:name="Tc_tpTw_81gbEiBl3ecoQ4tFQ_29_0"/>
      <w:bookmarkStart w:id="32" w:name="Tc_3Ey_PdcdAUeUj4Ob6nRhYw_28_1"/>
      <w:bookmarkStart w:id="33" w:name="Tc_23bOyzdu5UyzljTvgHqHMg_28_0"/>
      <w:bookmarkStart w:id="34" w:name="Tc_2v-yN4K4qESMsnEmqecAWw_27_1"/>
      <w:bookmarkStart w:id="35" w:name="Tc_cE_JvxoaW0q_HdwhGVktdQ_27_0"/>
      <w:bookmarkStart w:id="36" w:name="Tc_oiPKUKsepEmg5lYa2dUTCg_26_0"/>
      <w:bookmarkStart w:id="37" w:name="Tc_efrtHaMmP0urhU2sNTPVbg_24_0"/>
      <w:bookmarkStart w:id="38" w:name="Tc_1IYoQT2tsUqv1_T4kmwXjg_21_0"/>
      <w:bookmarkStart w:id="39" w:name="Tc_PbtWqf5kQ0u4a-jKHR9knw_18_1"/>
      <w:bookmarkStart w:id="40" w:name="Tc_oQfDy0y4Q027rhZTGVAEbA_18_0"/>
      <w:bookmarkStart w:id="41" w:name="Tc_adCetrnDy0SQRB8Hpdr9NQ_17_1"/>
      <w:bookmarkStart w:id="42" w:name="Tc_5WRHVko3VkimIRJAVDIcvA_17_0"/>
      <w:bookmarkStart w:id="43" w:name="Tc_BaQv66EriEun9uqB_imr6g_16_1"/>
      <w:bookmarkStart w:id="44" w:name="Tc_44DNFed8wEKSYHPTsLPAKg_16_0"/>
      <w:bookmarkStart w:id="45" w:name="Tc_R0QqbtZEtUeiDjTNAa5jyg_15_1"/>
      <w:bookmarkStart w:id="46" w:name="Tc__aLp8J4lUUuF5kc7fe2D0g_15_0"/>
      <w:bookmarkStart w:id="47" w:name="Tc_IS8_n4iKjEatAhjM22M4Xw_14_1"/>
      <w:bookmarkStart w:id="48" w:name="Tc_U1snQ6PLkka7u21pPefSgw_14_0"/>
      <w:bookmarkStart w:id="49" w:name="Tc_AM0n_4XiNU6snaNmBR4qBA_13_0"/>
      <w:bookmarkStart w:id="50" w:name="Tc_sNBucCxhdkiOUvmwt45EyA_11_0"/>
      <w:bookmarkStart w:id="51" w:name="Tc_srhZIVlkU0WUj3HrlsuR6Q_9_0"/>
      <w:bookmarkStart w:id="52" w:name="Tc_XR1zCEwcnU65xsxoK2uh9A_7_0"/>
      <w:bookmarkStart w:id="53" w:name="Tc_4rNwOIm0l0OYtVzfiBeQ0Q_3_0"/>
      <w:bookmarkStart w:id="54" w:name="Tc_eMnSS7nlO0SBqUuwMiGFmg_2_0"/>
      <w:bookmarkStart w:id="55" w:name="Tc_evqLTpErKEW0yy_Qz96J8w_1_0"/>
      <w:bookmarkStart w:id="56" w:name="_e05047bb_30c2_44a7_8cd9_1e5d93613c64"/>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tbl>
      <w:tblPr>
        <w:tblW w:w="8747" w:type="dxa"/>
        <w:jc w:val="left"/>
        <w:tblInd w:w="0" w:type="dxa"/>
        <w:tblLayout w:type="fixed"/>
        <w:tblCellMar>
          <w:top w:w="0" w:type="dxa"/>
          <w:left w:w="0" w:type="dxa"/>
          <w:bottom w:w="0" w:type="dxa"/>
          <w:right w:w="0" w:type="dxa"/>
        </w:tblCellMar>
      </w:tblPr>
      <w:tblGrid>
        <w:gridCol w:w="331"/>
        <w:gridCol w:w="8416"/>
      </w:tblGrid>
      <w:tr>
        <w:trP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0185" cy="175260"/>
                      <wp:effectExtent l="0" t="0" r="0" b="0"/>
                      <wp:wrapNone/>
                      <wp:docPr id="1" name="Frame1"/>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6" w:type="dxa"/>
            <w:tcBorders/>
            <w:vAlign w:val="center"/>
          </w:tcPr>
          <w:p>
            <w:pPr>
              <w:pStyle w:val="TableContents"/>
              <w:bidi w:val="0"/>
              <w:spacing w:before="0" w:after="0"/>
              <w:ind w:left="0" w:right="0" w:hanging="0"/>
              <w:jc w:val="left"/>
              <w:rPr/>
            </w:pPr>
            <w:r>
              <w:rPr/>
              <w:t>​</w:t>
            </w:r>
          </w:p>
        </w:tc>
      </w:tr>
      <w:tr>
        <w:trPr/>
        <w:tc>
          <w:tcPr>
            <w:tcW w:w="87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tc>
      </w:tr>
      <w:tr>
        <w:trPr/>
        <w:tc>
          <w:tcPr>
            <w:tcW w:w="8747" w:type="dxa"/>
            <w:gridSpan w:val="2"/>
            <w:tcBorders/>
            <w:vAlign w:val="center"/>
          </w:tcPr>
          <w:p>
            <w:pPr>
              <w:pStyle w:val="TableContents"/>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tc>
      </w:tr>
      <w:tr>
        <w:trPr/>
        <w:tc>
          <w:tcPr>
            <w:tcW w:w="8747" w:type="dxa"/>
            <w:gridSpan w:val="2"/>
            <w:tcBorders/>
            <w:vAlign w:val="center"/>
          </w:tcPr>
          <w:p>
            <w:pPr>
              <w:pStyle w:val="TableContents"/>
              <w:bidi w:val="0"/>
              <w:spacing w:before="0" w:after="20"/>
              <w:ind w:left="0" w:right="0" w:hanging="0"/>
              <w:jc w:val="center"/>
              <w:rPr>
                <w:rFonts w:ascii="Times New Roman;Times;serif" w:hAnsi="Times New Roman;Times;serif"/>
                <w:b/>
                <w:sz w:val="20"/>
              </w:rPr>
            </w:pPr>
            <w:r>
              <w:rPr>
                <w:rFonts w:ascii="Times New Roman;Times;serif" w:hAnsi="Times New Roman;Times;serif"/>
                <w:b/>
                <w:sz w:val="20"/>
              </w:rPr>
              <w:t>Washington, D.C. 20549</w:t>
            </w:r>
          </w:p>
        </w:tc>
      </w:tr>
      <w:tr>
        <w:trPr/>
        <w:tc>
          <w:tcPr>
            <w:tcW w:w="8747" w:type="dxa"/>
            <w:gridSpan w:val="2"/>
            <w:tcBorders/>
            <w:vAlign w:val="center"/>
          </w:tcPr>
          <w:p>
            <w:pPr>
              <w:pStyle w:val="TableContents"/>
              <w:bidi w:val="0"/>
              <w:spacing w:before="0" w:after="0"/>
              <w:ind w:left="0" w:right="0" w:hanging="0"/>
              <w:jc w:val="left"/>
              <w:rPr/>
            </w:pPr>
            <w:r>
              <w:rPr/>
              <w:t>​</w:t>
            </w:r>
          </w:p>
        </w:tc>
      </w:tr>
      <w:tr>
        <w:trPr/>
        <w:tc>
          <w:tcPr>
            <w:tcW w:w="8747" w:type="dxa"/>
            <w:gridSpan w:val="2"/>
            <w:tcBorders/>
            <w:vAlign w:val="center"/>
          </w:tcPr>
          <w:p>
            <w:pPr>
              <w:pStyle w:val="TableContents"/>
              <w:bidi w:val="0"/>
              <w:spacing w:before="0" w:after="2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w:t>
            </w:r>
          </w:p>
        </w:tc>
      </w:tr>
      <w:tr>
        <w:trPr/>
        <w:tc>
          <w:tcPr>
            <w:tcW w:w="8747" w:type="dxa"/>
            <w:gridSpan w:val="2"/>
            <w:tcBorders/>
            <w:vAlign w:val="center"/>
          </w:tcPr>
          <w:p>
            <w:pPr>
              <w:pStyle w:val="TableContents"/>
              <w:bidi w:val="0"/>
              <w:spacing w:before="0" w:after="0"/>
              <w:ind w:left="0" w:right="0" w:hanging="0"/>
              <w:jc w:val="left"/>
              <w:rPr/>
            </w:pPr>
            <w:r>
              <w:rPr/>
              <w:t>​</w:t>
            </w:r>
          </w:p>
        </w:tc>
      </w:tr>
      <w:tr>
        <w:trPr/>
        <w:tc>
          <w:tcPr>
            <w:tcW w:w="8747"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Proxy Statement Pursuant to Section 14(a) of</w:t>
              <w:br/>
              <w:t>the Securities Exchange Act of 1934</w:t>
            </w:r>
          </w:p>
        </w:tc>
      </w:tr>
      <w:tr>
        <w:trPr/>
        <w:tc>
          <w:tcPr>
            <w:tcW w:w="8747" w:type="dxa"/>
            <w:gridSpan w:val="2"/>
            <w:tcBorders/>
            <w:vAlign w:val="center"/>
          </w:tcPr>
          <w:p>
            <w:pPr>
              <w:pStyle w:val="TableContents"/>
              <w:bidi w:val="0"/>
              <w:spacing w:before="0" w:after="0"/>
              <w:ind w:left="0" w:right="0" w:hanging="0"/>
              <w:jc w:val="left"/>
              <w:rPr/>
            </w:pPr>
            <w:r>
              <w:rPr/>
              <w:t>​</w:t>
            </w:r>
          </w:p>
        </w:tc>
      </w:tr>
      <w:tr>
        <w:trPr/>
        <w:tc>
          <w:tcPr>
            <w:tcW w:w="8747" w:type="dxa"/>
            <w:gridSpan w:val="2"/>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Filed by the Registrant ☒</w:t>
            </w:r>
          </w:p>
        </w:tc>
      </w:tr>
      <w:tr>
        <w:trPr/>
        <w:tc>
          <w:tcPr>
            <w:tcW w:w="8747" w:type="dxa"/>
            <w:gridSpan w:val="2"/>
            <w:tcBorders/>
            <w:vAlign w:val="center"/>
          </w:tcPr>
          <w:p>
            <w:pPr>
              <w:pStyle w:val="TableContents"/>
              <w:bidi w:val="0"/>
              <w:spacing w:before="0" w:after="0"/>
              <w:ind w:left="0" w:right="0" w:hanging="0"/>
              <w:jc w:val="left"/>
              <w:rPr/>
            </w:pPr>
            <w:r>
              <w:rPr/>
              <w:t>​</w:t>
            </w:r>
          </w:p>
        </w:tc>
      </w:tr>
      <w:tr>
        <w:trPr/>
        <w:tc>
          <w:tcPr>
            <w:tcW w:w="8747" w:type="dxa"/>
            <w:gridSpan w:val="2"/>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Filed by a Party other than the Registrant ☐</w:t>
            </w:r>
          </w:p>
        </w:tc>
      </w:tr>
      <w:tr>
        <w:trPr/>
        <w:tc>
          <w:tcPr>
            <w:tcW w:w="8747" w:type="dxa"/>
            <w:gridSpan w:val="2"/>
            <w:tcBorders/>
            <w:vAlign w:val="center"/>
          </w:tcPr>
          <w:p>
            <w:pPr>
              <w:pStyle w:val="TableContents"/>
              <w:bidi w:val="0"/>
              <w:spacing w:before="0" w:after="0"/>
              <w:ind w:left="0" w:right="0" w:hanging="0"/>
              <w:jc w:val="left"/>
              <w:rPr/>
            </w:pPr>
            <w:r>
              <w:rPr/>
              <w:t>​</w:t>
            </w:r>
          </w:p>
        </w:tc>
      </w:tr>
      <w:tr>
        <w:trPr/>
        <w:tc>
          <w:tcPr>
            <w:tcW w:w="8747" w:type="dxa"/>
            <w:gridSpan w:val="2"/>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Check the appropriate box:</w:t>
            </w:r>
          </w:p>
        </w:tc>
      </w:tr>
      <w:tr>
        <w:trPr/>
        <w:tc>
          <w:tcPr>
            <w:tcW w:w="331" w:type="dxa"/>
            <w:tcBorders/>
            <w:vAlign w:val="center"/>
          </w:tcPr>
          <w:p>
            <w:pPr>
              <w:pStyle w:val="TableContents"/>
              <w:bidi w:val="0"/>
              <w:spacing w:before="0" w:after="20"/>
              <w:ind w:left="0" w:right="0" w:hanging="0"/>
              <w:jc w:val="left"/>
              <w:rPr/>
            </w:pPr>
            <w:r>
              <w:rPr/>
              <w:t>☐</w:t>
            </w:r>
          </w:p>
        </w:tc>
        <w:tc>
          <w:tcPr>
            <w:tcW w:w="841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331" w:type="dxa"/>
            <w:tcBorders/>
            <w:vAlign w:val="center"/>
          </w:tcPr>
          <w:p>
            <w:pPr>
              <w:pStyle w:val="TableContents"/>
              <w:bidi w:val="0"/>
              <w:spacing w:before="0" w:after="20"/>
              <w:ind w:left="0" w:right="0" w:hanging="0"/>
              <w:jc w:val="left"/>
              <w:rPr/>
            </w:pPr>
            <w:r>
              <w:rPr/>
              <w:t>☐</w:t>
            </w:r>
          </w:p>
        </w:tc>
        <w:tc>
          <w:tcPr>
            <w:tcW w:w="8416" w:type="dxa"/>
            <w:tcBorders/>
            <w:vAlign w:val="center"/>
          </w:tcPr>
          <w:p>
            <w:pPr>
              <w:pStyle w:val="TableContents"/>
              <w:bidi w:val="0"/>
              <w:spacing w:before="0" w:after="20"/>
              <w:ind w:left="0" w:right="0" w:hanging="0"/>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331" w:type="dxa"/>
            <w:tcBorders/>
            <w:vAlign w:val="center"/>
          </w:tcPr>
          <w:p>
            <w:pPr>
              <w:pStyle w:val="TableContents"/>
              <w:bidi w:val="0"/>
              <w:spacing w:before="0" w:after="20"/>
              <w:ind w:left="0" w:right="0" w:hanging="0"/>
              <w:jc w:val="left"/>
              <w:rPr/>
            </w:pPr>
            <w:r>
              <w:rPr/>
              <w:t>☒</w:t>
            </w:r>
          </w:p>
        </w:tc>
        <w:tc>
          <w:tcPr>
            <w:tcW w:w="841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331" w:type="dxa"/>
            <w:tcBorders/>
            <w:vAlign w:val="center"/>
          </w:tcPr>
          <w:p>
            <w:pPr>
              <w:pStyle w:val="TableContents"/>
              <w:bidi w:val="0"/>
              <w:spacing w:before="0" w:after="20"/>
              <w:ind w:left="0" w:right="0" w:hanging="0"/>
              <w:jc w:val="left"/>
              <w:rPr/>
            </w:pPr>
            <w:r>
              <w:rPr/>
              <w:t>☐</w:t>
            </w:r>
          </w:p>
        </w:tc>
        <w:tc>
          <w:tcPr>
            <w:tcW w:w="841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331" w:type="dxa"/>
            <w:tcBorders/>
            <w:vAlign w:val="center"/>
          </w:tcPr>
          <w:p>
            <w:pPr>
              <w:pStyle w:val="TableContents"/>
              <w:bidi w:val="0"/>
              <w:spacing w:before="0" w:after="20"/>
              <w:ind w:left="0" w:right="0" w:hanging="0"/>
              <w:jc w:val="left"/>
              <w:rPr/>
            </w:pPr>
            <w:r>
              <w:rPr/>
              <w:t>☐</w:t>
            </w:r>
          </w:p>
        </w:tc>
        <w:tc>
          <w:tcPr>
            <w:tcW w:w="841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Soliciting Material under §240.14a-12</w:t>
            </w:r>
          </w:p>
        </w:tc>
      </w:tr>
      <w:tr>
        <w:trPr/>
        <w:tc>
          <w:tcPr>
            <w:tcW w:w="8747" w:type="dxa"/>
            <w:gridSpan w:val="2"/>
            <w:tcBorders/>
            <w:vAlign w:val="center"/>
          </w:tcPr>
          <w:p>
            <w:pPr>
              <w:pStyle w:val="TableContents"/>
              <w:bidi w:val="0"/>
              <w:spacing w:before="0" w:after="0"/>
              <w:ind w:left="0" w:right="0" w:hanging="0"/>
              <w:jc w:val="left"/>
              <w:rPr/>
            </w:pPr>
            <w:r>
              <w:rPr/>
              <w:t>​</w:t>
            </w:r>
          </w:p>
        </w:tc>
      </w:tr>
      <w:tr>
        <w:trPr/>
        <w:tc>
          <w:tcPr>
            <w:tcW w:w="8747" w:type="dxa"/>
            <w:gridSpan w:val="2"/>
            <w:tcBorders>
              <w:bottom w:val="single" w:sz="2" w:space="0" w:color="000000"/>
            </w:tcBorders>
            <w:tcMar>
              <w:bottom w:w="28" w:type="dxa"/>
            </w:tcMar>
            <w:vAlign w:val="center"/>
          </w:tcPr>
          <w:p>
            <w:pPr>
              <w:pStyle w:val="TableContents"/>
              <w:bidi w:val="0"/>
              <w:spacing w:before="0" w:after="20"/>
              <w:ind w:left="0" w:right="0" w:hanging="0"/>
              <w:jc w:val="center"/>
              <w:rPr>
                <w:rFonts w:ascii="Times New Roman;Times;serif" w:hAnsi="Times New Roman;Times;serif"/>
                <w:b/>
                <w:sz w:val="28"/>
              </w:rPr>
            </w:pPr>
            <w:r>
              <w:rPr>
                <w:rFonts w:ascii="Times New Roman;Times;serif" w:hAnsi="Times New Roman;Times;serif"/>
                <w:b/>
                <w:sz w:val="28"/>
              </w:rPr>
              <w:t>EchoStar Corporation</w:t>
            </w:r>
          </w:p>
        </w:tc>
      </w:tr>
      <w:tr>
        <w:trPr/>
        <w:tc>
          <w:tcPr>
            <w:tcW w:w="8747" w:type="dxa"/>
            <w:gridSpan w:val="2"/>
            <w:tcBorders>
              <w:top w:val="single" w:sz="2" w:space="0" w:color="000000"/>
            </w:tcBorders>
            <w:tcMar>
              <w:top w:w="28"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(Name of Registrant as Specified In Its Charter)</w:t>
            </w:r>
          </w:p>
        </w:tc>
      </w:tr>
      <w:tr>
        <w:trPr/>
        <w:tc>
          <w:tcPr>
            <w:tcW w:w="8747" w:type="dxa"/>
            <w:gridSpan w:val="2"/>
            <w:tcBorders/>
            <w:vAlign w:val="center"/>
          </w:tcPr>
          <w:p>
            <w:pPr>
              <w:pStyle w:val="TableContents"/>
              <w:bidi w:val="0"/>
              <w:spacing w:before="0" w:after="0"/>
              <w:ind w:left="0" w:right="0" w:hanging="0"/>
              <w:jc w:val="left"/>
              <w:rPr/>
            </w:pPr>
            <w:r>
              <w:rPr/>
              <w:t>​</w:t>
            </w:r>
          </w:p>
        </w:tc>
      </w:tr>
      <w:tr>
        <w:trPr/>
        <w:tc>
          <w:tcPr>
            <w:tcW w:w="8747"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8747" w:type="dxa"/>
            <w:gridSpan w:val="2"/>
            <w:tcBorders>
              <w:top w:val="single" w:sz="2" w:space="0" w:color="000000"/>
            </w:tcBorders>
            <w:tcMar>
              <w:top w:w="28" w:type="dxa"/>
            </w:tcMar>
            <w:vAlign w:val="center"/>
          </w:tcPr>
          <w:p>
            <w:pPr>
              <w:pStyle w:val="TableContents"/>
              <w:bidi w:val="0"/>
              <w:spacing w:before="0" w:after="20"/>
              <w:ind w:left="0" w:right="0" w:hanging="0"/>
              <w:jc w:val="center"/>
              <w:rPr>
                <w:rFonts w:ascii="Times New Roman;Times;serif" w:hAnsi="Times New Roman;Times;serif"/>
                <w:sz w:val="20"/>
              </w:rPr>
            </w:pPr>
            <w:r>
              <w:rPr>
                <w:rFonts w:ascii="Times New Roman;Times;serif" w:hAnsi="Times New Roman;Times;serif"/>
                <w:sz w:val="20"/>
              </w:rPr>
              <w:t>(Name of Person(s) Filing Proxy Statement, if other than the Registrant)</w:t>
            </w:r>
          </w:p>
        </w:tc>
      </w:tr>
      <w:tr>
        <w:trPr/>
        <w:tc>
          <w:tcPr>
            <w:tcW w:w="8747" w:type="dxa"/>
            <w:gridSpan w:val="2"/>
            <w:tcBorders/>
            <w:vAlign w:val="center"/>
          </w:tcPr>
          <w:p>
            <w:pPr>
              <w:pStyle w:val="TableContents"/>
              <w:bidi w:val="0"/>
              <w:spacing w:before="0" w:after="0"/>
              <w:ind w:left="0" w:right="0" w:hanging="0"/>
              <w:jc w:val="left"/>
              <w:rPr/>
            </w:pPr>
            <w:r>
              <w:rPr/>
              <w:t>​</w:t>
            </w:r>
          </w:p>
        </w:tc>
      </w:tr>
      <w:tr>
        <w:trPr/>
        <w:tc>
          <w:tcPr>
            <w:tcW w:w="8747" w:type="dxa"/>
            <w:gridSpan w:val="2"/>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Payment of Filing Fee (Check all boxes that apply):</w:t>
            </w:r>
          </w:p>
        </w:tc>
      </w:tr>
      <w:tr>
        <w:trPr/>
        <w:tc>
          <w:tcPr>
            <w:tcW w:w="331" w:type="dxa"/>
            <w:tcBorders/>
            <w:vAlign w:val="center"/>
          </w:tcPr>
          <w:p>
            <w:pPr>
              <w:pStyle w:val="TableContents"/>
              <w:bidi w:val="0"/>
              <w:spacing w:before="0" w:after="20"/>
              <w:ind w:left="0" w:right="0" w:hanging="0"/>
              <w:jc w:val="left"/>
              <w:rPr/>
            </w:pPr>
            <w:r>
              <w:rPr/>
              <w:t>☒</w:t>
            </w:r>
          </w:p>
        </w:tc>
        <w:tc>
          <w:tcPr>
            <w:tcW w:w="841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No fee required.</w:t>
            </w:r>
          </w:p>
        </w:tc>
      </w:tr>
      <w:tr>
        <w:trPr/>
        <w:tc>
          <w:tcPr>
            <w:tcW w:w="331" w:type="dxa"/>
            <w:tcBorders/>
            <w:vAlign w:val="center"/>
          </w:tcPr>
          <w:p>
            <w:pPr>
              <w:pStyle w:val="TableContents"/>
              <w:bidi w:val="0"/>
              <w:spacing w:before="0" w:after="20"/>
              <w:ind w:left="0" w:right="0" w:hanging="0"/>
              <w:jc w:val="left"/>
              <w:rPr/>
            </w:pPr>
            <w:r>
              <w:rPr/>
              <w:t>☐</w:t>
            </w:r>
          </w:p>
        </w:tc>
        <w:tc>
          <w:tcPr>
            <w:tcW w:w="841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331" w:type="dxa"/>
            <w:tcBorders/>
            <w:vAlign w:val="center"/>
          </w:tcPr>
          <w:p>
            <w:pPr>
              <w:pStyle w:val="TableContents"/>
              <w:bidi w:val="0"/>
              <w:spacing w:before="0" w:after="20"/>
              <w:ind w:left="0" w:right="0" w:hanging="0"/>
              <w:jc w:val="left"/>
              <w:rPr/>
            </w:pPr>
            <w:r>
              <w:rPr/>
              <w:t>☐</w:t>
            </w:r>
          </w:p>
        </w:tc>
        <w:tc>
          <w:tcPr>
            <w:tcW w:w="8416" w:type="dxa"/>
            <w:tcBorders/>
            <w:vAlign w:val="center"/>
          </w:tcPr>
          <w:p>
            <w:pPr>
              <w:pStyle w:val="TableContents"/>
              <w:bidi w:val="0"/>
              <w:spacing w:before="0" w:after="20"/>
              <w:ind w:left="0" w:right="0" w:hanging="0"/>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bookmarkStart w:id="57" w:name="_6297b8ec_55bf_4b6e_96f4_cee753187960"/>
      <w:bookmarkEnd w:id="57"/>
      <w:r>
        <w:rPr/>
        <w:drawing>
          <wp:inline distT="0" distB="0" distL="0" distR="0">
            <wp:extent cx="2743200" cy="5651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743200" cy="565150"/>
                    </a:xfrm>
                    <a:prstGeom prst="rect">
                      <a:avLst/>
                    </a:prstGeom>
                  </pic:spPr>
                </pic:pic>
              </a:graphicData>
            </a:graphic>
          </wp:inline>
        </w:drawing>
      </w:r>
    </w:p>
    <w:p>
      <w:pPr>
        <w:pStyle w:val="TextBody"/>
        <w:pBdr/>
        <w:bidi w:val="0"/>
        <w:spacing w:before="0" w:after="240"/>
        <w:ind w:left="0" w:right="0" w:hanging="720"/>
        <w:jc w:val="left"/>
        <w:rPr>
          <w:rFonts w:ascii="Times New Roman;Times;serif" w:hAnsi="Times New Roman;Times;serif"/>
          <w:sz w:val="20"/>
        </w:rPr>
      </w:pPr>
      <w:r>
        <w:rPr>
          <w:rFonts w:ascii="Times New Roman;Times;serif" w:hAnsi="Times New Roman;Times;serif"/>
          <w:sz w:val="20"/>
        </w:rPr>
        <w:t>September 18,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DEAR SHAREHOLDER: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It is my pleasure to invite you to attend the 2026 Annual Meeting of Shareholders (the “Annual Meeting”) of EchoStar Corporation (“EchoStar”). The Annual Meeting will be held on October 30, 2026, at 9:00 a.m., Mountain Time. The Annual Meeting will be conducted online via live audio webcast at www.virtualshareholdermeeting.com/ECHO2026. We are pleased to use the virtual meeting format to facilitate shareholder attendance, voting and questions by leveraging technology to communicate more effectively and efficiently with our shareholders. This format allows stockholders to participate fully from any location, without the cost of travel. You will be able to participate, submit questions and vote your shares electronically.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enclosed Notice of the Annual Meeting and Proxy Statement describe the proposals to be considered and voted upon at the Annual Meeting. During the Annual Meeting, we will also review EchoStar’s operations and other items of general interest regarding the corporation.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shareholders are invited to attend the Annual Meeting. Whether or not you plan to attend the Annual Meeting online, it is important that you be represented. To ensure that your vote is received and counted, please follow the instructions included with your proxy card to vote online, by mail or by telephone.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behalf of the Board of Directors and senior management, I would like to express our appreciation for your support and interest in EchoStar.</w:t>
      </w:r>
    </w:p>
    <w:p>
      <w:pPr>
        <w:pStyle w:val="TextBody"/>
        <w:bidi w:val="0"/>
        <w:spacing w:before="0" w:after="240"/>
        <w:ind w:left="0" w:right="0" w:hanging="0"/>
        <w:jc w:val="both"/>
        <w:rPr/>
      </w:pPr>
      <w:r>
        <w:rPr/>
        <w:drawing>
          <wp:inline distT="0" distB="0" distL="0" distR="0">
            <wp:extent cx="914400" cy="6223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914400" cy="622300"/>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CHARLES W. ERGEN</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Chairman of the Board of Directors</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drawing>
          <wp:inline distT="0" distB="0" distL="0" distR="0">
            <wp:extent cx="2743200" cy="565150"/>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2743200" cy="565150"/>
                    </a:xfrm>
                    <a:prstGeom prst="rect">
                      <a:avLst/>
                    </a:prstGeom>
                  </pic:spPr>
                </pic:pic>
              </a:graphicData>
            </a:graphic>
          </wp:inline>
        </w:drawing>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NOTICE OF 2026 ANNUAL MEETING OF SHAREHOLDERS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SHAREHOLDERS OF ECHOSTAR CORPORATION: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2026 Annual Meeting of Shareholders (the “Annual Meeting”) of EchoStar Corporation will be held on October 30, 2026, at 9:00 a.m., Mountain Time, via the Internet through a virtual Web conference at www.virtualshareholdermeeting.com/ECHO2026. We are pleased to use the virtual meeting format to facilitate shareholder attendance, voting and questions by leveraging technology to communicate more effectively and efficiently with our shareholders. This format allows shareholders to participate fully from any location, without the cost of travel.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Annual Meeting is being held for the following purposes:</w:t>
      </w:r>
    </w:p>
    <w:tbl>
      <w:tblPr>
        <w:tblW w:w="4521" w:type="dxa"/>
        <w:jc w:val="left"/>
        <w:tblInd w:w="0" w:type="dxa"/>
        <w:tblLayout w:type="fixed"/>
        <w:tblCellMar>
          <w:top w:w="28" w:type="dxa"/>
          <w:left w:w="28" w:type="dxa"/>
          <w:bottom w:w="28" w:type="dxa"/>
          <w:right w:w="28" w:type="dxa"/>
        </w:tblCellMar>
      </w:tblPr>
      <w:tblGrid>
        <w:gridCol w:w="124"/>
        <w:gridCol w:w="256"/>
        <w:gridCol w:w="41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elect eight directors to our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48"/>
        <w:gridCol w:w="9833"/>
      </w:tblGrid>
      <w:tr>
        <w:trPr/>
        <w:tc>
          <w:tcPr>
            <w:tcW w:w="124" w:type="dxa"/>
            <w:tcBorders/>
            <w:vAlign w:val="center"/>
          </w:tcPr>
          <w:p>
            <w:pPr>
              <w:pStyle w:val="TableContents"/>
              <w:bidi w:val="0"/>
              <w:spacing w:before="0" w:after="283"/>
              <w:jc w:val="left"/>
              <w:rPr>
                <w:sz w:val="4"/>
                <w:szCs w:val="4"/>
              </w:rPr>
            </w:pPr>
            <w:r>
              <w:rPr>
                <w:sz w:val="4"/>
                <w:szCs w:val="4"/>
              </w:rPr>
            </w:r>
          </w:p>
        </w:tc>
        <w:tc>
          <w:tcPr>
            <w:tcW w:w="24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3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of KPMG LLP as our independent registered public accounting firm for the fiscal year ending December 31, 2026;</w:t>
            </w:r>
          </w:p>
        </w:tc>
      </w:tr>
    </w:tbl>
    <w:tbl>
      <w:tblPr>
        <w:tblW w:w="8271" w:type="dxa"/>
        <w:jc w:val="left"/>
        <w:tblInd w:w="0" w:type="dxa"/>
        <w:tblLayout w:type="fixed"/>
        <w:tblCellMar>
          <w:top w:w="28" w:type="dxa"/>
          <w:left w:w="28" w:type="dxa"/>
          <w:bottom w:w="28" w:type="dxa"/>
          <w:right w:w="28" w:type="dxa"/>
        </w:tblCellMar>
      </w:tblPr>
      <w:tblGrid>
        <w:gridCol w:w="124"/>
        <w:gridCol w:w="25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hold a non-binding advisory vote on the compensation of our named executive officers; and</w:t>
            </w:r>
          </w:p>
        </w:tc>
      </w:tr>
    </w:tbl>
    <w:tbl>
      <w:tblPr>
        <w:tblW w:w="10205" w:type="dxa"/>
        <w:jc w:val="left"/>
        <w:tblInd w:w="0" w:type="dxa"/>
        <w:tblLayout w:type="fixed"/>
        <w:tblCellMar>
          <w:top w:w="28" w:type="dxa"/>
          <w:left w:w="28" w:type="dxa"/>
          <w:bottom w:w="28" w:type="dxa"/>
          <w:right w:w="28" w:type="dxa"/>
        </w:tblCellMar>
      </w:tblPr>
      <w:tblGrid>
        <w:gridCol w:w="124"/>
        <w:gridCol w:w="244"/>
        <w:gridCol w:w="9837"/>
      </w:tblGrid>
      <w:tr>
        <w:trPr/>
        <w:tc>
          <w:tcPr>
            <w:tcW w:w="124" w:type="dxa"/>
            <w:tcBorders/>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3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consider and act upon any other business that may properly come before the Annual Meeting or any adjournment or postponement of the Annual Meeting.</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You may vote on these matters in person or by proxy. Whether or not you plan to attend the Annual Meeting, we ask that you vote using one of the following methods to ensure that your shares will be represented at the meeting in accordance with your wishes:</w:t>
      </w:r>
    </w:p>
    <w:tbl>
      <w:tblPr>
        <w:tblW w:w="8031" w:type="dxa"/>
        <w:jc w:val="left"/>
        <w:tblInd w:w="0" w:type="dxa"/>
        <w:tblLayout w:type="fixed"/>
        <w:tblCellMar>
          <w:top w:w="28" w:type="dxa"/>
          <w:left w:w="28" w:type="dxa"/>
          <w:bottom w:w="28" w:type="dxa"/>
          <w:right w:w="28" w:type="dxa"/>
        </w:tblCellMar>
      </w:tblPr>
      <w:tblGrid>
        <w:gridCol w:w="124"/>
        <w:gridCol w:w="256"/>
        <w:gridCol w:w="76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 online or by telephone, by following the instructions included with your proxy card; or</w:t>
            </w:r>
          </w:p>
        </w:tc>
      </w:tr>
    </w:tbl>
    <w:tbl>
      <w:tblPr>
        <w:tblW w:w="9651" w:type="dxa"/>
        <w:jc w:val="left"/>
        <w:tblInd w:w="0" w:type="dxa"/>
        <w:tblLayout w:type="fixed"/>
        <w:tblCellMar>
          <w:top w:w="28" w:type="dxa"/>
          <w:left w:w="28" w:type="dxa"/>
          <w:bottom w:w="28" w:type="dxa"/>
          <w:right w:w="28" w:type="dxa"/>
        </w:tblCellMar>
      </w:tblPr>
      <w:tblGrid>
        <w:gridCol w:w="124"/>
        <w:gridCol w:w="256"/>
        <w:gridCol w:w="9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 by mail, by completing and returning the enclosed proxy card in the enclosed addressed stamped envelope.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Only shareholders of record at the close of business on September 4, 2026 are entitled to notice of, and to vote at, the Annual Meeting or any adjournment or postponement of the Annual Meeting. This Proxy Statement and proxy card were either made available to you on the Internet or mailed to you beginning on or about September 18,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Order of the Board of Directors</w:t>
      </w:r>
    </w:p>
    <w:p>
      <w:pPr>
        <w:pStyle w:val="TextBody"/>
        <w:bidi w:val="0"/>
        <w:spacing w:before="0" w:after="240"/>
        <w:ind w:left="0" w:right="0" w:hanging="0"/>
        <w:jc w:val="left"/>
        <w:rPr/>
      </w:pPr>
      <w:r>
        <w:rPr/>
        <w:drawing>
          <wp:inline distT="0" distB="0" distL="0" distR="0">
            <wp:extent cx="1007110" cy="457200"/>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1007110" cy="457200"/>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H. Blum</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Acting Chief Legal Officer and Secretary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September 18,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Important Notice Regarding the Availability of Proxy Materials for the</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Annual Meeting of Shareholders to be held October 30, 2026: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Our Annual Report, Proxy Statement and Notice of Internet Availability 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Proxy Materials are available at proxyvote.com.</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9601 South Meridian Boulevard, Englewood, Colorado  80112  ||  Tel: (303) 723-1000</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8" w:name="_bb54615d_9df5_45d0_9f6d_60c5d37ceb4c"/>
      <w:bookmarkEnd w:id="58"/>
      <w:r>
        <w:rPr>
          <w:rFonts w:ascii="Times New Roman;Times;serif" w:hAnsi="Times New Roman;Times;serif"/>
          <w:b/>
          <w:sz w:val="20"/>
        </w:rPr>
        <w:t>PROXY STATEMENT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ECHOSTAR CORPORATION</w:t>
      </w:r>
    </w:p>
    <w:p>
      <w:pPr>
        <w:pStyle w:val="TextBody"/>
        <w:bidi w:val="0"/>
        <w:spacing w:before="0" w:after="0"/>
        <w:ind w:left="0" w:right="0" w:hanging="0"/>
        <w:jc w:val="center"/>
        <w:rPr>
          <w:rFonts w:ascii="Times New Roman;Times;serif" w:hAnsi="Times New Roman;Times;serif"/>
          <w:b/>
          <w:sz w:val="20"/>
        </w:rPr>
      </w:pPr>
      <w:bookmarkStart w:id="59" w:name="TOC"/>
      <w:bookmarkEnd w:id="59"/>
      <w:r>
        <w:rPr>
          <w:rFonts w:ascii="Times New Roman;Times;serif" w:hAnsi="Times New Roman;Times;serif"/>
          <w:b/>
          <w:sz w:val="20"/>
        </w:rPr>
        <w:t>TABLE OF CONTENTS</w:t>
      </w:r>
    </w:p>
    <w:p>
      <w:pPr>
        <w:pStyle w:val="TextBody"/>
        <w:bidi w:val="0"/>
        <w:spacing w:before="0" w:after="240"/>
        <w:ind w:left="0" w:right="0" w:hanging="0"/>
        <w:jc w:val="both"/>
        <w:rPr/>
      </w:pPr>
      <w:r>
        <w:rPr/>
        <w:t>​</w:t>
      </w:r>
    </w:p>
    <w:tbl>
      <w:tblPr>
        <w:tblW w:w="9603" w:type="dxa"/>
        <w:jc w:val="left"/>
        <w:tblInd w:w="0" w:type="dxa"/>
        <w:tblLayout w:type="fixed"/>
        <w:tblCellMar>
          <w:top w:w="0" w:type="dxa"/>
          <w:left w:w="0" w:type="dxa"/>
          <w:bottom w:w="0" w:type="dxa"/>
          <w:right w:w="0" w:type="dxa"/>
        </w:tblCellMar>
      </w:tblPr>
      <w:tblGrid>
        <w:gridCol w:w="8836"/>
        <w:gridCol w:w="346"/>
        <w:gridCol w:w="421"/>
      </w:tblGrid>
      <w:tr>
        <w:trPr/>
        <w:tc>
          <w:tcPr>
            <w:tcW w:w="8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610860" cy="175260"/>
                      <wp:effectExtent l="0" t="0" r="0" b="0"/>
                      <wp:wrapNone/>
                      <wp:docPr id="6" name="Frame2"/>
                      <a:graphic xmlns:a="http://schemas.openxmlformats.org/drawingml/2006/main">
                        <a:graphicData uri="http://schemas.microsoft.com/office/word/2010/wordprocessingShape">
                          <wps:wsp>
                            <wps:cNvSpPr txBox="1"/>
                            <wps:spPr>
                              <a:xfrm>
                                <a:off x="0" y="0"/>
                                <a:ext cx="561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7" name="Frame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67335" cy="175260"/>
                      <wp:effectExtent l="0" t="0" r="0" b="0"/>
                      <wp:wrapNone/>
                      <wp:docPr id="8" name="Frame4"/>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836" w:type="dxa"/>
            <w:tcBorders/>
            <w:vAlign w:val="center"/>
          </w:tcPr>
          <w:p>
            <w:pPr>
              <w:pStyle w:val="TableContents"/>
              <w:bidi w:val="0"/>
              <w:spacing w:before="0" w:after="0"/>
              <w:ind w:left="0" w:right="0" w:hanging="0"/>
              <w:jc w:val="left"/>
              <w:rPr/>
            </w:pPr>
            <w:hyperlink w:anchor="GENERALINFORMATION_179943">
              <w:r>
                <w:rPr>
                  <w:rStyle w:val="InternetLink"/>
                  <w:rFonts w:ascii="Times New Roman;Times;serif" w:hAnsi="Times New Roman;Times;serif"/>
                  <w:b/>
                  <w:i w:val="false"/>
                  <w:caps w:val="false"/>
                  <w:smallCaps w:val="false"/>
                  <w:sz w:val="20"/>
                </w:rPr>
                <w:t>GENERAL INFORMATION</w:t>
              </w:r>
            </w:hyperlink>
          </w:p>
        </w:tc>
        <w:tc>
          <w:tcPr>
            <w:tcW w:w="346" w:type="dxa"/>
            <w:tcBorders/>
            <w:vAlign w:val="center"/>
          </w:tcPr>
          <w:p>
            <w:pPr>
              <w:pStyle w:val="TableContents"/>
              <w:bidi w:val="0"/>
              <w:spacing w:before="0" w:after="0"/>
              <w:ind w:left="0" w:right="0" w:hanging="0"/>
              <w:jc w:val="left"/>
              <w:rPr/>
            </w:pPr>
            <w:r>
              <w:rPr/>
              <w:t>  ​ ​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836" w:type="dxa"/>
            <w:tcBorders/>
            <w:vAlign w:val="center"/>
          </w:tcPr>
          <w:p>
            <w:pPr>
              <w:pStyle w:val="TableContents"/>
              <w:pBdr/>
              <w:bidi w:val="0"/>
              <w:spacing w:before="0" w:after="0"/>
              <w:ind w:left="0" w:right="0" w:hanging="0"/>
              <w:jc w:val="left"/>
              <w:rPr/>
            </w:pPr>
            <w:hyperlink w:anchor="DateTimeandPlace_82358">
              <w:r>
                <w:rPr>
                  <w:rStyle w:val="InternetLink"/>
                  <w:rFonts w:ascii="Times New Roman;Times;serif" w:hAnsi="Times New Roman;Times;serif"/>
                  <w:b w:val="false"/>
                  <w:i w:val="false"/>
                  <w:caps w:val="false"/>
                  <w:smallCaps w:val="false"/>
                  <w:sz w:val="20"/>
                </w:rPr>
                <w:t>Date, Time and Place</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836" w:type="dxa"/>
            <w:tcBorders/>
            <w:vAlign w:val="center"/>
          </w:tcPr>
          <w:p>
            <w:pPr>
              <w:pStyle w:val="TableContents"/>
              <w:pBdr/>
              <w:bidi w:val="0"/>
              <w:spacing w:before="0" w:after="0"/>
              <w:ind w:left="0" w:right="0" w:hanging="0"/>
              <w:jc w:val="left"/>
              <w:rPr/>
            </w:pPr>
            <w:hyperlink w:anchor="SecuritiesEntitledtoVote_1698">
              <w:r>
                <w:rPr>
                  <w:rStyle w:val="InternetLink"/>
                  <w:rFonts w:ascii="Times New Roman;Times;serif" w:hAnsi="Times New Roman;Times;serif"/>
                  <w:b w:val="false"/>
                  <w:i w:val="false"/>
                  <w:caps w:val="false"/>
                  <w:smallCaps w:val="false"/>
                  <w:sz w:val="20"/>
                </w:rPr>
                <w:t>Securities Entitled to Vote</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8836" w:type="dxa"/>
            <w:tcBorders/>
            <w:vAlign w:val="center"/>
          </w:tcPr>
          <w:p>
            <w:pPr>
              <w:pStyle w:val="TableContents"/>
              <w:pBdr/>
              <w:bidi w:val="0"/>
              <w:spacing w:before="0" w:after="0"/>
              <w:ind w:left="0" w:right="0" w:hanging="0"/>
              <w:jc w:val="left"/>
              <w:rPr/>
            </w:pPr>
            <w:hyperlink w:anchor="VotingofProxies_887127">
              <w:r>
                <w:rPr>
                  <w:rStyle w:val="InternetLink"/>
                  <w:rFonts w:ascii="Times New Roman;Times;serif" w:hAnsi="Times New Roman;Times;serif"/>
                  <w:b w:val="false"/>
                  <w:i w:val="false"/>
                  <w:caps w:val="false"/>
                  <w:smallCaps w:val="false"/>
                  <w:sz w:val="20"/>
                </w:rPr>
                <w:t>Voting of Proxies</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836" w:type="dxa"/>
            <w:tcBorders/>
            <w:vAlign w:val="center"/>
          </w:tcPr>
          <w:p>
            <w:pPr>
              <w:pStyle w:val="TableContents"/>
              <w:pBdr/>
              <w:bidi w:val="0"/>
              <w:spacing w:before="0" w:after="0"/>
              <w:ind w:left="0" w:right="0" w:hanging="0"/>
              <w:jc w:val="left"/>
              <w:rPr/>
            </w:pPr>
            <w:hyperlink w:anchor="AccesstotheAudioWebcastoftheAnnualMeetin">
              <w:r>
                <w:rPr>
                  <w:rStyle w:val="InternetLink"/>
                  <w:rFonts w:ascii="Times New Roman;Times;serif" w:hAnsi="Times New Roman;Times;serif"/>
                  <w:b w:val="false"/>
                  <w:i w:val="false"/>
                  <w:caps w:val="false"/>
                  <w:smallCaps w:val="false"/>
                  <w:sz w:val="20"/>
                </w:rPr>
                <w:t>Access to the Audio Webcast of the Annual Meeting</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836" w:type="dxa"/>
            <w:tcBorders/>
            <w:vAlign w:val="center"/>
          </w:tcPr>
          <w:p>
            <w:pPr>
              <w:pStyle w:val="TableContents"/>
              <w:pBdr/>
              <w:bidi w:val="0"/>
              <w:spacing w:before="0" w:after="0"/>
              <w:ind w:left="0" w:right="0" w:hanging="0"/>
              <w:jc w:val="left"/>
              <w:rPr/>
            </w:pPr>
            <w:hyperlink w:anchor="Quorum_463353">
              <w:r>
                <w:rPr>
                  <w:rStyle w:val="InternetLink"/>
                  <w:rFonts w:ascii="Times New Roman;Times;serif" w:hAnsi="Times New Roman;Times;serif"/>
                  <w:b w:val="false"/>
                  <w:i w:val="false"/>
                  <w:caps w:val="false"/>
                  <w:smallCaps w:val="false"/>
                  <w:sz w:val="20"/>
                </w:rPr>
                <w:t>Quorum</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836" w:type="dxa"/>
            <w:tcBorders/>
            <w:vAlign w:val="center"/>
          </w:tcPr>
          <w:p>
            <w:pPr>
              <w:pStyle w:val="TableContents"/>
              <w:pBdr/>
              <w:bidi w:val="0"/>
              <w:spacing w:before="0" w:after="0"/>
              <w:ind w:left="0" w:right="0" w:hanging="0"/>
              <w:jc w:val="left"/>
              <w:rPr/>
            </w:pPr>
            <w:hyperlink w:anchor="VoteRequired_889780">
              <w:r>
                <w:rPr>
                  <w:rStyle w:val="InternetLink"/>
                  <w:rFonts w:ascii="Times New Roman;Times;serif" w:hAnsi="Times New Roman;Times;serif"/>
                  <w:b w:val="false"/>
                  <w:i w:val="false"/>
                  <w:caps w:val="false"/>
                  <w:smallCaps w:val="false"/>
                  <w:sz w:val="20"/>
                </w:rPr>
                <w:t>Vote Required</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836" w:type="dxa"/>
            <w:tcBorders/>
            <w:vAlign w:val="center"/>
          </w:tcPr>
          <w:p>
            <w:pPr>
              <w:pStyle w:val="TableContents"/>
              <w:pBdr/>
              <w:bidi w:val="0"/>
              <w:spacing w:before="0" w:after="0"/>
              <w:ind w:left="0" w:right="0" w:hanging="0"/>
              <w:jc w:val="left"/>
              <w:rPr/>
            </w:pPr>
            <w:hyperlink w:anchor="SubmittingQuestionsRulesofConduct_122494">
              <w:r>
                <w:rPr>
                  <w:rStyle w:val="InternetLink"/>
                  <w:rFonts w:ascii="Times New Roman;Times;serif" w:hAnsi="Times New Roman;Times;serif"/>
                  <w:b w:val="false"/>
                  <w:i w:val="false"/>
                  <w:caps w:val="false"/>
                  <w:smallCaps w:val="false"/>
                  <w:sz w:val="20"/>
                </w:rPr>
                <w:t>Submitting Questions; Rules of Conduct</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836" w:type="dxa"/>
            <w:tcBorders/>
            <w:vAlign w:val="center"/>
          </w:tcPr>
          <w:p>
            <w:pPr>
              <w:pStyle w:val="TableContents"/>
              <w:pBdr/>
              <w:bidi w:val="0"/>
              <w:spacing w:before="0" w:after="0"/>
              <w:ind w:left="0" w:right="0" w:hanging="0"/>
              <w:jc w:val="left"/>
              <w:rPr/>
            </w:pPr>
            <w:hyperlink w:anchor="Householding_178976">
              <w:r>
                <w:rPr>
                  <w:rStyle w:val="InternetLink"/>
                  <w:rFonts w:ascii="Times New Roman;Times;serif" w:hAnsi="Times New Roman;Times;serif"/>
                  <w:b w:val="false"/>
                  <w:i w:val="false"/>
                  <w:caps w:val="false"/>
                  <w:smallCaps w:val="false"/>
                  <w:sz w:val="20"/>
                </w:rPr>
                <w:t>Householding</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836" w:type="dxa"/>
            <w:tcBorders/>
            <w:vAlign w:val="center"/>
          </w:tcPr>
          <w:p>
            <w:pPr>
              <w:pStyle w:val="TableContents"/>
              <w:pBdr/>
              <w:bidi w:val="0"/>
              <w:spacing w:before="0" w:after="0"/>
              <w:ind w:left="0" w:right="0" w:hanging="0"/>
              <w:jc w:val="left"/>
              <w:rPr/>
            </w:pPr>
            <w:hyperlink w:anchor="PROPOSAL1ELECTIONOFDIRECTORS_540306">
              <w:r>
                <w:rPr>
                  <w:rStyle w:val="InternetLink"/>
                  <w:rFonts w:ascii="Times New Roman;Times;serif" w:hAnsi="Times New Roman;Times;serif"/>
                  <w:b/>
                  <w:i w:val="false"/>
                  <w:caps w:val="false"/>
                  <w:smallCaps w:val="false"/>
                  <w:sz w:val="20"/>
                </w:rPr>
                <w:t>PROPOSAL 1 — ELECTION OF DIRECTORS</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836" w:type="dxa"/>
            <w:tcBorders/>
            <w:vAlign w:val="center"/>
          </w:tcPr>
          <w:p>
            <w:pPr>
              <w:pStyle w:val="TableContents"/>
              <w:pBdr/>
              <w:bidi w:val="0"/>
              <w:spacing w:before="0" w:after="0"/>
              <w:ind w:left="0" w:right="0" w:hanging="0"/>
              <w:jc w:val="left"/>
              <w:rPr/>
            </w:pPr>
            <w:hyperlink w:anchor="Nominees_437717">
              <w:r>
                <w:rPr>
                  <w:rStyle w:val="InternetLink"/>
                  <w:rFonts w:ascii="Times New Roman;Times;serif" w:hAnsi="Times New Roman;Times;serif"/>
                  <w:b w:val="false"/>
                  <w:i w:val="false"/>
                  <w:caps w:val="false"/>
                  <w:smallCaps w:val="false"/>
                  <w:sz w:val="20"/>
                </w:rPr>
                <w:t>Nominees</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836" w:type="dxa"/>
            <w:tcBorders/>
            <w:vAlign w:val="center"/>
          </w:tcPr>
          <w:p>
            <w:pPr>
              <w:pStyle w:val="TableContents"/>
              <w:pBdr/>
              <w:bidi w:val="0"/>
              <w:spacing w:before="0" w:after="0"/>
              <w:ind w:left="0" w:right="0" w:hanging="0"/>
              <w:jc w:val="left"/>
              <w:rPr/>
            </w:pPr>
            <w:hyperlink w:anchor="DirectorCompensationandNonEmployeeDirect">
              <w:r>
                <w:rPr>
                  <w:rStyle w:val="InternetLink"/>
                  <w:rFonts w:ascii="Times New Roman;Times;serif" w:hAnsi="Times New Roman;Times;serif"/>
                  <w:b w:val="false"/>
                  <w:i w:val="false"/>
                  <w:caps w:val="false"/>
                  <w:smallCaps w:val="false"/>
                  <w:sz w:val="20"/>
                </w:rPr>
                <w:t>Director Compensation and Non-Employee Director Option Plan</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836" w:type="dxa"/>
            <w:tcBorders/>
            <w:vAlign w:val="center"/>
          </w:tcPr>
          <w:p>
            <w:pPr>
              <w:pStyle w:val="TableContents"/>
              <w:pBdr/>
              <w:bidi w:val="0"/>
              <w:spacing w:before="0" w:after="0"/>
              <w:ind w:left="0" w:right="0" w:hanging="0"/>
              <w:jc w:val="left"/>
              <w:rPr/>
            </w:pPr>
            <w:hyperlink w:anchor="CORPORATEGOVERNANCE_971342">
              <w:r>
                <w:rPr>
                  <w:rStyle w:val="InternetLink"/>
                  <w:rFonts w:ascii="Times New Roman;Times;serif" w:hAnsi="Times New Roman;Times;serif"/>
                  <w:b/>
                  <w:i w:val="false"/>
                  <w:caps w:val="false"/>
                  <w:smallCaps w:val="false"/>
                  <w:sz w:val="20"/>
                </w:rPr>
                <w:t>CORPORATE GOVERNANCE</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8836" w:type="dxa"/>
            <w:tcBorders/>
            <w:vAlign w:val="center"/>
          </w:tcPr>
          <w:p>
            <w:pPr>
              <w:pStyle w:val="TableContents"/>
              <w:pBdr/>
              <w:bidi w:val="0"/>
              <w:spacing w:before="0" w:after="0"/>
              <w:ind w:left="0" w:right="0" w:hanging="0"/>
              <w:jc w:val="left"/>
              <w:rPr/>
            </w:pPr>
            <w:hyperlink w:anchor="BoardofDirectorsInformation_850946">
              <w:r>
                <w:rPr>
                  <w:rStyle w:val="InternetLink"/>
                  <w:rFonts w:ascii="Times New Roman;Times;serif" w:hAnsi="Times New Roman;Times;serif"/>
                  <w:b w:val="false"/>
                  <w:i w:val="false"/>
                  <w:caps w:val="false"/>
                  <w:smallCaps w:val="false"/>
                  <w:sz w:val="20"/>
                </w:rPr>
                <w:t>Board of Directors Information</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8836" w:type="dxa"/>
            <w:tcBorders/>
            <w:vAlign w:val="center"/>
          </w:tcPr>
          <w:p>
            <w:pPr>
              <w:pStyle w:val="TableContents"/>
              <w:pBdr/>
              <w:bidi w:val="0"/>
              <w:spacing w:before="0" w:after="0"/>
              <w:ind w:left="0" w:right="0" w:hanging="0"/>
              <w:jc w:val="left"/>
              <w:rPr/>
            </w:pPr>
            <w:hyperlink w:anchor="CommitteeInformation_599976">
              <w:r>
                <w:rPr>
                  <w:rStyle w:val="InternetLink"/>
                  <w:rFonts w:ascii="Times New Roman;Times;serif" w:hAnsi="Times New Roman;Times;serif"/>
                  <w:b w:val="false"/>
                  <w:i w:val="false"/>
                  <w:caps w:val="false"/>
                  <w:smallCaps w:val="false"/>
                  <w:sz w:val="20"/>
                </w:rPr>
                <w:t>Committee Information</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8836" w:type="dxa"/>
            <w:tcBorders/>
            <w:vAlign w:val="center"/>
          </w:tcPr>
          <w:p>
            <w:pPr>
              <w:pStyle w:val="TableContents"/>
              <w:pBdr/>
              <w:bidi w:val="0"/>
              <w:spacing w:before="0" w:after="0"/>
              <w:ind w:left="0" w:right="0" w:hanging="0"/>
              <w:jc w:val="left"/>
              <w:rPr/>
            </w:pPr>
            <w:hyperlink w:anchor="BoardCriteriaandBoardSelectionProcess_42">
              <w:r>
                <w:rPr>
                  <w:rStyle w:val="InternetLink"/>
                  <w:rFonts w:ascii="Times New Roman;Times;serif" w:hAnsi="Times New Roman;Times;serif"/>
                  <w:b w:val="false"/>
                  <w:i w:val="false"/>
                  <w:caps w:val="false"/>
                  <w:smallCaps w:val="false"/>
                  <w:sz w:val="20"/>
                </w:rPr>
                <w:t>Board Criteria and Board Selection Process</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8836" w:type="dxa"/>
            <w:tcBorders/>
            <w:vAlign w:val="center"/>
          </w:tcPr>
          <w:p>
            <w:pPr>
              <w:pStyle w:val="TableContents"/>
              <w:pBdr/>
              <w:bidi w:val="0"/>
              <w:spacing w:before="0" w:after="0"/>
              <w:ind w:left="0" w:right="0" w:hanging="0"/>
              <w:jc w:val="left"/>
              <w:rPr/>
            </w:pPr>
            <w:hyperlink w:anchor="BoardLeadershipStructure_130189">
              <w:r>
                <w:rPr>
                  <w:rStyle w:val="InternetLink"/>
                  <w:rFonts w:ascii="Times New Roman;Times;serif" w:hAnsi="Times New Roman;Times;serif"/>
                  <w:b w:val="false"/>
                  <w:i w:val="false"/>
                  <w:caps w:val="false"/>
                  <w:smallCaps w:val="false"/>
                  <w:sz w:val="20"/>
                </w:rPr>
                <w:t>Board Leadership Structure</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8836" w:type="dxa"/>
            <w:tcBorders/>
            <w:vAlign w:val="center"/>
          </w:tcPr>
          <w:p>
            <w:pPr>
              <w:pStyle w:val="TableContents"/>
              <w:pBdr/>
              <w:bidi w:val="0"/>
              <w:spacing w:before="0" w:after="0"/>
              <w:ind w:left="0" w:right="0" w:hanging="0"/>
              <w:jc w:val="left"/>
              <w:rPr/>
            </w:pPr>
            <w:hyperlink w:anchor="CodeofEthics_113991">
              <w:r>
                <w:rPr>
                  <w:rStyle w:val="InternetLink"/>
                  <w:rFonts w:ascii="Times New Roman;Times;serif" w:hAnsi="Times New Roman;Times;serif"/>
                  <w:b w:val="false"/>
                  <w:i w:val="false"/>
                  <w:caps w:val="false"/>
                  <w:smallCaps w:val="false"/>
                  <w:sz w:val="20"/>
                </w:rPr>
                <w:t>Code of Ethics</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8836" w:type="dxa"/>
            <w:tcBorders/>
            <w:vAlign w:val="center"/>
          </w:tcPr>
          <w:p>
            <w:pPr>
              <w:pStyle w:val="TableContents"/>
              <w:pBdr/>
              <w:bidi w:val="0"/>
              <w:spacing w:before="0" w:after="0"/>
              <w:ind w:left="0" w:right="0" w:hanging="0"/>
              <w:jc w:val="left"/>
              <w:rPr/>
            </w:pPr>
            <w:hyperlink w:anchor="InsiderTradingPolicyandHedging">
              <w:r>
                <w:rPr>
                  <w:rStyle w:val="InternetLink"/>
                  <w:rFonts w:ascii="Times New Roman;Times;serif" w:hAnsi="Times New Roman;Times;serif"/>
                  <w:b w:val="false"/>
                  <w:i w:val="false"/>
                  <w:caps w:val="false"/>
                  <w:smallCaps w:val="false"/>
                  <w:sz w:val="20"/>
                </w:rPr>
                <w:t>Insider Trading Policy &amp; Hedging and Pledging Policies</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8836" w:type="dxa"/>
            <w:tcBorders/>
            <w:vAlign w:val="center"/>
          </w:tcPr>
          <w:p>
            <w:pPr>
              <w:pStyle w:val="TableContents"/>
              <w:pBdr/>
              <w:bidi w:val="0"/>
              <w:spacing w:before="0" w:after="0"/>
              <w:ind w:left="0" w:right="0" w:hanging="0"/>
              <w:jc w:val="left"/>
              <w:rPr/>
            </w:pPr>
            <w:hyperlink w:anchor="PoliciesandPracticesforEquityGrants">
              <w:r>
                <w:rPr>
                  <w:rStyle w:val="InternetLink"/>
                  <w:rFonts w:ascii="Times New Roman;Times;serif" w:hAnsi="Times New Roman;Times;serif"/>
                  <w:b w:val="false"/>
                  <w:i w:val="false"/>
                  <w:caps w:val="false"/>
                  <w:smallCaps w:val="false"/>
                  <w:sz w:val="20"/>
                </w:rPr>
                <w:t>Policies and Practices Related to the Grant of Certain Equity Awards</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8836" w:type="dxa"/>
            <w:tcBorders/>
            <w:vAlign w:val="center"/>
          </w:tcPr>
          <w:p>
            <w:pPr>
              <w:pStyle w:val="TableContents"/>
              <w:pBdr/>
              <w:bidi w:val="0"/>
              <w:spacing w:before="0" w:after="0"/>
              <w:ind w:left="0" w:right="0" w:hanging="0"/>
              <w:jc w:val="left"/>
              <w:rPr/>
            </w:pPr>
            <w:hyperlink w:anchor="TheBoardsRoleinRiskOversight_616136">
              <w:r>
                <w:rPr>
                  <w:rStyle w:val="InternetLink"/>
                  <w:rFonts w:ascii="Times New Roman;Times;serif" w:hAnsi="Times New Roman;Times;serif"/>
                  <w:b w:val="false"/>
                  <w:i w:val="false"/>
                  <w:caps w:val="false"/>
                  <w:smallCaps w:val="false"/>
                  <w:sz w:val="20"/>
                </w:rPr>
                <w:t>The Board’s Role in Risk Oversight</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8836" w:type="dxa"/>
            <w:tcBorders/>
            <w:vAlign w:val="center"/>
          </w:tcPr>
          <w:p>
            <w:pPr>
              <w:pStyle w:val="TableContents"/>
              <w:pBdr/>
              <w:bidi w:val="0"/>
              <w:spacing w:before="0" w:after="0"/>
              <w:ind w:left="0" w:right="0" w:hanging="0"/>
              <w:jc w:val="left"/>
              <w:rPr/>
            </w:pPr>
            <w:hyperlink w:anchor="TheBoardsRoleinCybersecurityRiskOversigh">
              <w:r>
                <w:rPr>
                  <w:rStyle w:val="InternetLink"/>
                  <w:rFonts w:ascii="Times New Roman;Times;serif" w:hAnsi="Times New Roman;Times;serif"/>
                  <w:b w:val="false"/>
                  <w:i w:val="false"/>
                  <w:caps w:val="false"/>
                  <w:smallCaps w:val="false"/>
                  <w:sz w:val="20"/>
                </w:rPr>
                <w:t>The Board’s Role in Cybersecurity Risk Oversight</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8836" w:type="dxa"/>
            <w:tcBorders/>
            <w:vAlign w:val="center"/>
          </w:tcPr>
          <w:p>
            <w:pPr>
              <w:pStyle w:val="TableContents"/>
              <w:pBdr/>
              <w:bidi w:val="0"/>
              <w:spacing w:before="0" w:after="0"/>
              <w:ind w:left="0" w:right="0" w:hanging="0"/>
              <w:jc w:val="left"/>
              <w:rPr/>
            </w:pPr>
            <w:hyperlink w:anchor="OtherInformationaboutOurBoardofDirectors">
              <w:r>
                <w:rPr>
                  <w:rStyle w:val="InternetLink"/>
                  <w:rFonts w:ascii="Times New Roman;Times;serif" w:hAnsi="Times New Roman;Times;serif"/>
                  <w:b w:val="false"/>
                  <w:i w:val="false"/>
                  <w:caps w:val="false"/>
                  <w:smallCaps w:val="false"/>
                  <w:sz w:val="20"/>
                </w:rPr>
                <w:t>Other Information about Our Board of Directors</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8836" w:type="dxa"/>
            <w:tcBorders/>
            <w:vAlign w:val="center"/>
          </w:tcPr>
          <w:p>
            <w:pPr>
              <w:pStyle w:val="TableContents"/>
              <w:pBdr/>
              <w:bidi w:val="0"/>
              <w:spacing w:before="0" w:after="0"/>
              <w:ind w:left="0" w:right="0" w:hanging="0"/>
              <w:jc w:val="left"/>
              <w:rPr/>
            </w:pPr>
            <w:hyperlink w:anchor="INFORMATIONREGARDINGCEOPAYRATIO_874548">
              <w:r>
                <w:rPr>
                  <w:rStyle w:val="InternetLink"/>
                  <w:rFonts w:ascii="Times New Roman;Times;serif" w:hAnsi="Times New Roman;Times;serif"/>
                  <w:b/>
                  <w:i w:val="false"/>
                  <w:caps w:val="false"/>
                  <w:smallCaps w:val="false"/>
                  <w:sz w:val="20"/>
                </w:rPr>
                <w:t>INFORMATION REGARDING CHIEF EXECUTIVE OFFICER PAY RATIO</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8836" w:type="dxa"/>
            <w:tcBorders/>
            <w:vAlign w:val="center"/>
          </w:tcPr>
          <w:p>
            <w:pPr>
              <w:pStyle w:val="TableContents"/>
              <w:pBdr/>
              <w:bidi w:val="0"/>
              <w:spacing w:before="0" w:after="0"/>
              <w:ind w:left="0" w:right="0" w:hanging="0"/>
              <w:jc w:val="left"/>
              <w:rPr/>
            </w:pPr>
            <w:hyperlink w:anchor="PAYVERSUSPERFORMANCE_882834">
              <w:r>
                <w:rPr>
                  <w:rStyle w:val="InternetLink"/>
                  <w:rFonts w:ascii="Times New Roman;Times;serif" w:hAnsi="Times New Roman;Times;serif"/>
                  <w:b/>
                  <w:i w:val="false"/>
                  <w:caps w:val="false"/>
                  <w:smallCaps w:val="false"/>
                  <w:sz w:val="20"/>
                </w:rPr>
                <w:t>PAY VERSUS PERFORMANCE</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8836" w:type="dxa"/>
            <w:tcBorders/>
            <w:vAlign w:val="center"/>
          </w:tcPr>
          <w:p>
            <w:pPr>
              <w:pStyle w:val="TableContents"/>
              <w:pBdr/>
              <w:bidi w:val="0"/>
              <w:spacing w:before="0" w:after="0"/>
              <w:ind w:left="0" w:right="0" w:hanging="0"/>
              <w:jc w:val="left"/>
              <w:rPr/>
            </w:pPr>
            <w:hyperlink w:anchor="RelationshipBetweenCompensationActuallyP">
              <w:r>
                <w:rPr>
                  <w:rStyle w:val="InternetLink"/>
                  <w:rFonts w:ascii="Times New Roman;Times;serif" w:hAnsi="Times New Roman;Times;serif"/>
                  <w:b w:val="false"/>
                  <w:i w:val="false"/>
                  <w:caps w:val="false"/>
                  <w:smallCaps w:val="false"/>
                  <w:sz w:val="20"/>
                </w:rPr>
                <w:t>Relationship Between “Compensation Actually Paid” and Performance</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8836" w:type="dxa"/>
            <w:tcBorders/>
            <w:vAlign w:val="center"/>
          </w:tcPr>
          <w:p>
            <w:pPr>
              <w:pStyle w:val="TableContents"/>
              <w:pBdr/>
              <w:bidi w:val="0"/>
              <w:spacing w:before="0" w:after="0"/>
              <w:ind w:left="0" w:right="0" w:hanging="0"/>
              <w:jc w:val="left"/>
              <w:rPr/>
            </w:pPr>
            <w:hyperlink w:anchor="EQUITYSECURITYOWNERSHIPANDRELATEDMATTERS">
              <w:r>
                <w:rPr>
                  <w:rStyle w:val="InternetLink"/>
                  <w:rFonts w:ascii="Times New Roman;Times;serif" w:hAnsi="Times New Roman;Times;serif"/>
                  <w:b/>
                  <w:i w:val="false"/>
                  <w:caps w:val="false"/>
                  <w:smallCaps w:val="false"/>
                  <w:sz w:val="20"/>
                </w:rPr>
                <w:t>EQUITY SECURITY OWNERSHIP AND RELATED MATTERS</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8836" w:type="dxa"/>
            <w:tcBorders/>
            <w:vAlign w:val="center"/>
          </w:tcPr>
          <w:p>
            <w:pPr>
              <w:pStyle w:val="TableContents"/>
              <w:pBdr/>
              <w:bidi w:val="0"/>
              <w:spacing w:before="0" w:after="0"/>
              <w:ind w:left="0" w:right="0" w:hanging="0"/>
              <w:jc w:val="left"/>
              <w:rPr/>
            </w:pPr>
            <w:hyperlink w:anchor="EquitySecurityOwnershipofCertainBenefici">
              <w:r>
                <w:rPr>
                  <w:rStyle w:val="InternetLink"/>
                  <w:rFonts w:ascii="Times New Roman;Times;serif" w:hAnsi="Times New Roman;Times;serif"/>
                  <w:b w:val="false"/>
                  <w:i w:val="false"/>
                  <w:caps w:val="false"/>
                  <w:smallCaps w:val="false"/>
                  <w:sz w:val="20"/>
                </w:rPr>
                <w:t>Equity Security Ownership of Certain Beneficial Owners and Management</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8836" w:type="dxa"/>
            <w:tcBorders/>
            <w:vAlign w:val="center"/>
          </w:tcPr>
          <w:p>
            <w:pPr>
              <w:pStyle w:val="TableContents"/>
              <w:pBdr/>
              <w:bidi w:val="0"/>
              <w:spacing w:before="0" w:after="0"/>
              <w:ind w:left="0" w:right="0" w:hanging="0"/>
              <w:jc w:val="left"/>
              <w:rPr/>
            </w:pPr>
            <w:hyperlink w:anchor="DelinquentSection16aReports_662064">
              <w:r>
                <w:rPr>
                  <w:rStyle w:val="InternetLink"/>
                  <w:rFonts w:ascii="Times New Roman;Times;serif" w:hAnsi="Times New Roman;Times;serif"/>
                  <w:b w:val="false"/>
                  <w:i w:val="false"/>
                  <w:caps w:val="false"/>
                  <w:smallCaps w:val="false"/>
                  <w:sz w:val="20"/>
                </w:rPr>
                <w:t>Delinquent Section 16(a) Reports</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8836" w:type="dxa"/>
            <w:tcBorders/>
            <w:vAlign w:val="center"/>
          </w:tcPr>
          <w:p>
            <w:pPr>
              <w:pStyle w:val="TableContents"/>
              <w:pBdr/>
              <w:bidi w:val="0"/>
              <w:spacing w:before="0" w:after="0"/>
              <w:ind w:left="0" w:right="0" w:hanging="0"/>
              <w:jc w:val="left"/>
              <w:rPr/>
            </w:pPr>
            <w:hyperlink w:anchor="EXECUTIVECOMPENSATIONANDOTHERINFORMATION">
              <w:r>
                <w:rPr>
                  <w:rStyle w:val="InternetLink"/>
                  <w:rFonts w:ascii="Times New Roman;Times;serif" w:hAnsi="Times New Roman;Times;serif"/>
                  <w:b/>
                  <w:i w:val="false"/>
                  <w:caps w:val="false"/>
                  <w:smallCaps w:val="false"/>
                  <w:sz w:val="20"/>
                </w:rPr>
                <w:t>EXECUTIVE COMPENSATION AND OTHER INFORMATION</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8836" w:type="dxa"/>
            <w:tcBorders/>
            <w:vAlign w:val="center"/>
          </w:tcPr>
          <w:p>
            <w:pPr>
              <w:pStyle w:val="TableContents"/>
              <w:pBdr/>
              <w:bidi w:val="0"/>
              <w:spacing w:before="0" w:after="0"/>
              <w:ind w:left="0" w:right="0" w:hanging="0"/>
              <w:jc w:val="left"/>
              <w:rPr/>
            </w:pPr>
            <w:hyperlink w:anchor="CompensationDiscussionandAnalysis_395506">
              <w:r>
                <w:rPr>
                  <w:rStyle w:val="InternetLink"/>
                  <w:rFonts w:ascii="Times New Roman;Times;serif" w:hAnsi="Times New Roman;Times;serif"/>
                  <w:b w:val="false"/>
                  <w:i w:val="false"/>
                  <w:caps w:val="false"/>
                  <w:smallCaps w:val="false"/>
                  <w:sz w:val="20"/>
                </w:rPr>
                <w:t>Compensation Discussion and Analysis</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8836" w:type="dxa"/>
            <w:tcBorders/>
            <w:vAlign w:val="center"/>
          </w:tcPr>
          <w:p>
            <w:pPr>
              <w:pStyle w:val="TableContents"/>
              <w:pBdr/>
              <w:bidi w:val="0"/>
              <w:spacing w:before="0" w:after="0"/>
              <w:ind w:left="0" w:right="0" w:hanging="0"/>
              <w:jc w:val="left"/>
              <w:rPr/>
            </w:pPr>
            <w:hyperlink w:anchor="RiskAssessment_575789">
              <w:r>
                <w:rPr>
                  <w:rStyle w:val="InternetLink"/>
                  <w:rFonts w:ascii="Times New Roman;Times;serif" w:hAnsi="Times New Roman;Times;serif"/>
                  <w:b w:val="false"/>
                  <w:i w:val="false"/>
                  <w:caps w:val="false"/>
                  <w:smallCaps w:val="false"/>
                  <w:sz w:val="20"/>
                </w:rPr>
                <w:t>Risk Assessment</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8836" w:type="dxa"/>
            <w:tcBorders/>
            <w:vAlign w:val="center"/>
          </w:tcPr>
          <w:p>
            <w:pPr>
              <w:pStyle w:val="TableContents"/>
              <w:pBdr/>
              <w:bidi w:val="0"/>
              <w:spacing w:before="0" w:after="0"/>
              <w:ind w:left="0" w:right="0" w:hanging="0"/>
              <w:jc w:val="left"/>
              <w:rPr/>
            </w:pPr>
            <w:hyperlink w:anchor="CompensationCommitteeReport_866056">
              <w:r>
                <w:rPr>
                  <w:rStyle w:val="InternetLink"/>
                  <w:rFonts w:ascii="Times New Roman;Times;serif" w:hAnsi="Times New Roman;Times;serif"/>
                  <w:b w:val="false"/>
                  <w:i w:val="false"/>
                  <w:caps w:val="false"/>
                  <w:smallCaps w:val="false"/>
                  <w:sz w:val="20"/>
                </w:rPr>
                <w:t>Compensation Committee Report</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836" w:type="dxa"/>
            <w:tcBorders/>
            <w:vAlign w:val="center"/>
          </w:tcPr>
          <w:p>
            <w:pPr>
              <w:pStyle w:val="TableContents"/>
              <w:pBdr/>
              <w:bidi w:val="0"/>
              <w:spacing w:before="0" w:after="0"/>
              <w:ind w:left="0" w:right="0" w:hanging="0"/>
              <w:jc w:val="left"/>
              <w:rPr/>
            </w:pPr>
            <w:hyperlink w:anchor="ExecutiveCompensationTables_917665">
              <w:r>
                <w:rPr>
                  <w:rStyle w:val="InternetLink"/>
                  <w:rFonts w:ascii="Times New Roman;Times;serif" w:hAnsi="Times New Roman;Times;serif"/>
                  <w:b w:val="false"/>
                  <w:i w:val="false"/>
                  <w:caps w:val="false"/>
                  <w:smallCaps w:val="false"/>
                  <w:sz w:val="20"/>
                </w:rPr>
                <w:t>Executive Compensation Tables</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8836" w:type="dxa"/>
            <w:tcBorders/>
            <w:vAlign w:val="center"/>
          </w:tcPr>
          <w:p>
            <w:pPr>
              <w:pStyle w:val="TableContents"/>
              <w:pBdr/>
              <w:bidi w:val="0"/>
              <w:spacing w:before="0" w:after="0"/>
              <w:ind w:left="0" w:right="0" w:hanging="0"/>
              <w:jc w:val="left"/>
              <w:rPr/>
            </w:pPr>
            <w:hyperlink w:anchor="EquityCompensationPlanInformation_356237">
              <w:r>
                <w:rPr>
                  <w:rStyle w:val="InternetLink"/>
                  <w:rFonts w:ascii="Times New Roman;Times;serif" w:hAnsi="Times New Roman;Times;serif"/>
                  <w:b w:val="false"/>
                  <w:i w:val="false"/>
                  <w:caps w:val="false"/>
                  <w:smallCaps w:val="false"/>
                  <w:sz w:val="20"/>
                </w:rPr>
                <w:t>Equity Compensation Plan Information</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8836" w:type="dxa"/>
            <w:tcBorders/>
            <w:vAlign w:val="center"/>
          </w:tcPr>
          <w:p>
            <w:pPr>
              <w:pStyle w:val="TableContents"/>
              <w:pBdr/>
              <w:bidi w:val="0"/>
              <w:spacing w:before="0" w:after="0"/>
              <w:ind w:left="0" w:right="0" w:hanging="0"/>
              <w:jc w:val="left"/>
              <w:rPr/>
            </w:pPr>
            <w:hyperlink w:anchor="CERTAINRELATIONSHIPSANDRELATEDPARTYTRANS">
              <w:r>
                <w:rPr>
                  <w:rStyle w:val="InternetLink"/>
                  <w:rFonts w:ascii="Times New Roman;Times;serif" w:hAnsi="Times New Roman;Times;serif"/>
                  <w:b/>
                  <w:i w:val="false"/>
                  <w:caps w:val="false"/>
                  <w:smallCaps w:val="false"/>
                  <w:sz w:val="20"/>
                </w:rPr>
                <w:t>CERTAIN RELATIONSHIPS AND RELATED PARTY TRANSACTIONS</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8836" w:type="dxa"/>
            <w:tcBorders/>
            <w:vAlign w:val="center"/>
          </w:tcPr>
          <w:p>
            <w:pPr>
              <w:pStyle w:val="TableContents"/>
              <w:pBdr/>
              <w:bidi w:val="0"/>
              <w:spacing w:before="0" w:after="0"/>
              <w:ind w:left="0" w:right="0" w:hanging="0"/>
              <w:jc w:val="left"/>
              <w:rPr/>
            </w:pPr>
            <w:hyperlink w:anchor="PROPOSAL2RATIFICATIONOFINDEPENDENTREGIST">
              <w:r>
                <w:rPr>
                  <w:rStyle w:val="InternetLink"/>
                  <w:rFonts w:ascii="Times New Roman;Times;serif" w:hAnsi="Times New Roman;Times;serif"/>
                  <w:b/>
                  <w:i w:val="false"/>
                  <w:caps w:val="false"/>
                  <w:smallCaps w:val="false"/>
                  <w:sz w:val="20"/>
                </w:rPr>
                <w:t>PROPOSAL 2 — RATIFICATION OF INDEPENDENT REGISTERED PUBLIC ACCOUNTING FIRM</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836" w:type="dxa"/>
            <w:tcBorders/>
            <w:vAlign w:val="center"/>
          </w:tcPr>
          <w:p>
            <w:pPr>
              <w:pStyle w:val="TableContents"/>
              <w:pBdr/>
              <w:bidi w:val="0"/>
              <w:spacing w:before="0" w:after="0"/>
              <w:ind w:left="0" w:right="0" w:hanging="0"/>
              <w:jc w:val="left"/>
              <w:rPr/>
            </w:pPr>
            <w:hyperlink w:anchor="AppointmentofIndependentRegisteredPublic">
              <w:r>
                <w:rPr>
                  <w:rStyle w:val="InternetLink"/>
                  <w:rFonts w:ascii="Times New Roman;Times;serif" w:hAnsi="Times New Roman;Times;serif"/>
                  <w:b w:val="false"/>
                  <w:i w:val="false"/>
                  <w:caps w:val="false"/>
                  <w:smallCaps w:val="false"/>
                  <w:sz w:val="20"/>
                </w:rPr>
                <w:t>Appointment of Independent Registered Public Accounting Firm</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836" w:type="dxa"/>
            <w:tcBorders/>
            <w:vAlign w:val="center"/>
          </w:tcPr>
          <w:p>
            <w:pPr>
              <w:pStyle w:val="TableContents"/>
              <w:pBdr/>
              <w:bidi w:val="0"/>
              <w:spacing w:before="0" w:after="0"/>
              <w:ind w:left="0" w:right="0" w:hanging="0"/>
              <w:jc w:val="left"/>
              <w:rPr/>
            </w:pPr>
            <w:hyperlink w:anchor="PrincipalAccountantFeesandServices_96836">
              <w:r>
                <w:rPr>
                  <w:rStyle w:val="InternetLink"/>
                  <w:rFonts w:ascii="Times New Roman;Times;serif" w:hAnsi="Times New Roman;Times;serif"/>
                  <w:b w:val="false"/>
                  <w:i w:val="false"/>
                  <w:caps w:val="false"/>
                  <w:smallCaps w:val="false"/>
                  <w:sz w:val="20"/>
                </w:rPr>
                <w:t>Principal Accountant Fees and Services</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836" w:type="dxa"/>
            <w:tcBorders/>
            <w:vAlign w:val="center"/>
          </w:tcPr>
          <w:p>
            <w:pPr>
              <w:pStyle w:val="TableContents"/>
              <w:pBdr/>
              <w:bidi w:val="0"/>
              <w:spacing w:before="0" w:after="0"/>
              <w:ind w:left="0" w:right="0" w:hanging="0"/>
              <w:jc w:val="left"/>
              <w:rPr/>
            </w:pPr>
            <w:hyperlink w:anchor="AuditCommitteePreApprovalProcess_469805">
              <w:r>
                <w:rPr>
                  <w:rStyle w:val="InternetLink"/>
                  <w:rFonts w:ascii="Times New Roman;Times;serif" w:hAnsi="Times New Roman;Times;serif"/>
                  <w:b w:val="false"/>
                  <w:i w:val="false"/>
                  <w:caps w:val="false"/>
                  <w:smallCaps w:val="false"/>
                  <w:sz w:val="20"/>
                </w:rPr>
                <w:t>Audit Committee Pre-Approval Process</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836" w:type="dxa"/>
            <w:tcBorders/>
            <w:vAlign w:val="center"/>
          </w:tcPr>
          <w:p>
            <w:pPr>
              <w:pStyle w:val="TableContents"/>
              <w:pBdr/>
              <w:bidi w:val="0"/>
              <w:spacing w:before="0" w:after="0"/>
              <w:ind w:left="0" w:right="0" w:hanging="0"/>
              <w:jc w:val="left"/>
              <w:rPr/>
            </w:pPr>
            <w:hyperlink w:anchor="ReportoftheAuditCommittee_467923">
              <w:r>
                <w:rPr>
                  <w:rStyle w:val="InternetLink"/>
                  <w:rFonts w:ascii="Times New Roman;Times;serif" w:hAnsi="Times New Roman;Times;serif"/>
                  <w:b w:val="false"/>
                  <w:i w:val="false"/>
                  <w:caps w:val="false"/>
                  <w:smallCaps w:val="false"/>
                  <w:sz w:val="20"/>
                </w:rPr>
                <w:t>Report of the Audit Committee</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836" w:type="dxa"/>
            <w:tcBorders/>
            <w:vAlign w:val="center"/>
          </w:tcPr>
          <w:p>
            <w:pPr>
              <w:pStyle w:val="TableContents"/>
              <w:pBdr/>
              <w:bidi w:val="0"/>
              <w:spacing w:before="0" w:after="0"/>
              <w:ind w:left="0" w:right="0" w:hanging="0"/>
              <w:jc w:val="left"/>
              <w:rPr/>
            </w:pPr>
            <w:hyperlink w:anchor="PROPOSAL3ADVISORYVOTEONEXECCOMP">
              <w:r>
                <w:rPr>
                  <w:rStyle w:val="InternetLink"/>
                  <w:rFonts w:ascii="Times New Roman;Times;serif" w:hAnsi="Times New Roman;Times;serif"/>
                  <w:b/>
                  <w:i w:val="false"/>
                  <w:caps w:val="false"/>
                  <w:smallCaps w:val="false"/>
                  <w:sz w:val="20"/>
                </w:rPr>
                <w:t>PROPOSAL 3 — ADVISORY VOTE ON EXECUTIVE COMPENSATION</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8836" w:type="dxa"/>
            <w:tcBorders/>
            <w:vAlign w:val="center"/>
          </w:tcPr>
          <w:p>
            <w:pPr>
              <w:pStyle w:val="TableContents"/>
              <w:bidi w:val="0"/>
              <w:spacing w:before="0" w:after="0"/>
              <w:ind w:left="0" w:right="0" w:hanging="0"/>
              <w:jc w:val="left"/>
              <w:rPr/>
            </w:pPr>
            <w:hyperlink w:anchor="OTHERMATTERS_449325">
              <w:r>
                <w:rPr>
                  <w:rStyle w:val="InternetLink"/>
                  <w:rFonts w:ascii="Times New Roman;Times;serif" w:hAnsi="Times New Roman;Times;serif"/>
                  <w:b/>
                  <w:i w:val="false"/>
                  <w:caps w:val="false"/>
                  <w:smallCaps w:val="false"/>
                  <w:sz w:val="20"/>
                </w:rPr>
                <w:t>OTHER MATTERS</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836" w:type="dxa"/>
            <w:tcBorders/>
            <w:vAlign w:val="center"/>
          </w:tcPr>
          <w:p>
            <w:pPr>
              <w:pStyle w:val="TableContents"/>
              <w:pBdr/>
              <w:bidi w:val="0"/>
              <w:spacing w:before="0" w:after="0"/>
              <w:ind w:left="0" w:right="0" w:hanging="0"/>
              <w:jc w:val="left"/>
              <w:rPr/>
            </w:pPr>
            <w:hyperlink w:anchor="ADDITIONALINFORMATION_389301">
              <w:r>
                <w:rPr>
                  <w:rStyle w:val="InternetLink"/>
                  <w:rFonts w:ascii="Times New Roman;Times;serif" w:hAnsi="Times New Roman;Times;serif"/>
                  <w:b/>
                  <w:i w:val="false"/>
                  <w:caps w:val="false"/>
                  <w:smallCaps w:val="false"/>
                  <w:sz w:val="20"/>
                </w:rPr>
                <w:t>ADDITIONAL INFORMATION</w:t>
              </w:r>
            </w:hyperlink>
          </w:p>
        </w:tc>
        <w:tc>
          <w:tcPr>
            <w:tcW w:w="346" w:type="dxa"/>
            <w:tcBorders/>
            <w:vAlign w:val="center"/>
          </w:tcPr>
          <w:p>
            <w:pPr>
              <w:pStyle w:val="TableContents"/>
              <w:bidi w:val="0"/>
              <w:spacing w:before="0" w:after="0"/>
              <w:ind w:left="0" w:right="0" w:hanging="0"/>
              <w:jc w:val="left"/>
              <w:rPr/>
            </w:pPr>
            <w:r>
              <w:rPr/>
              <w:t>​</w:t>
            </w:r>
          </w:p>
        </w:tc>
        <w:tc>
          <w:tcPr>
            <w:tcW w:w="421" w:type="dxa"/>
            <w:tcBorders/>
            <w:shd w:fill="FFFF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0" w:name="GENERALINFORMATION_179943"/>
      <w:bookmarkStart w:id="61" w:name="_d9b5c8c0_0491_4952_b469_055b1d7f7862"/>
      <w:bookmarkEnd w:id="60"/>
      <w:bookmarkEnd w:id="61"/>
      <w:r>
        <w:rPr>
          <w:rFonts w:ascii="Times New Roman;Times;serif" w:hAnsi="Times New Roman;Times;serif"/>
          <w:b/>
          <w:sz w:val="20"/>
        </w:rPr>
        <w:t>GENERAL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Proxy Statement and the accompanying proxy card are being furnished to you in connection with the 2026 Annual Meeting of Shareholders (the “Annual Meeting”) of EchoStar Corporation (“EchoStar,” “we,” “us,” “our,” the “Corporation” or the “Company”). The purpose of the Annual Meeting is to:  (i) elect eight directors to our Board of Directors (the “Board” or “Board of Directors”); (ii) ratify KPMG LLP as our independent registered public accounting firm for the fiscal year ending December 31, 2026; and (iii) approve the compensation of our named executive officers on a non-binding advisory basis. Your proxy is being solicited by our Board of Directors. The Board is currently not aware of any other matters proposed to be presented at the Annual Meeting.</w:t>
      </w:r>
    </w:p>
    <w:p>
      <w:pPr>
        <w:pStyle w:val="TextBody"/>
        <w:bidi w:val="0"/>
        <w:spacing w:before="0" w:after="240"/>
        <w:ind w:left="0" w:right="0" w:hanging="0"/>
        <w:jc w:val="left"/>
        <w:rPr>
          <w:rFonts w:ascii="Times New Roman;Times;serif" w:hAnsi="Times New Roman;Times;serif"/>
          <w:b/>
          <w:sz w:val="20"/>
        </w:rPr>
      </w:pPr>
      <w:bookmarkStart w:id="62" w:name="DateTimeandPlace_82358"/>
      <w:bookmarkEnd w:id="62"/>
      <w:r>
        <w:rPr>
          <w:rFonts w:ascii="Times New Roman;Times;serif" w:hAnsi="Times New Roman;Times;serif"/>
          <w:b/>
          <w:sz w:val="20"/>
        </w:rPr>
        <w:t>Date, Time and Place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Annual Meeting will be held on October 30, 2026, at 9:00 a.m., Mountain Time, via the Internet through a virtual Web conference at www.virtualshareholdermeeting.com/ECHO2026. We are pleased to use the virtual meeting format to facilitate shareholder attendance, voting and questions by leveraging technology to communicate more effectively and efficiently with our shareholders. This format allows shareholders to participate fully from any location, without the cost of travel.</w:t>
      </w:r>
    </w:p>
    <w:p>
      <w:pPr>
        <w:pStyle w:val="TextBody"/>
        <w:bidi w:val="0"/>
        <w:spacing w:before="0" w:after="240"/>
        <w:ind w:left="0" w:right="0" w:hanging="0"/>
        <w:jc w:val="left"/>
        <w:rPr>
          <w:rFonts w:ascii="Times New Roman;Times;serif" w:hAnsi="Times New Roman;Times;serif"/>
          <w:b/>
          <w:sz w:val="20"/>
        </w:rPr>
      </w:pPr>
      <w:bookmarkStart w:id="63" w:name="SecuritiesEntitledtoVote_1698"/>
      <w:bookmarkEnd w:id="63"/>
      <w:r>
        <w:rPr>
          <w:rFonts w:ascii="Times New Roman;Times;serif" w:hAnsi="Times New Roman;Times;serif"/>
          <w:b/>
          <w:sz w:val="20"/>
        </w:rPr>
        <w:t>Securities Entitled to Vote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Proxy Statement is being sent or provided on or about September 18, 2026, to holders of record at the close of business on September 4, 2026 (the “Record Date”) of our Class A common stock, par value $0.001 per share (the “Class A Shares”), and our Class B common stock, par value $0.001 per share (the “Class B Shares”). Only shareholders of record at the close of business on the Record Date are entitled to notice of, and to vote at, the Annual Meeting or any adjournment or postponement of the Annual Meeting.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your shares are registered directly in your name with us or with our transfer agent, Computershare Trust Company, N.A., you are considered the “shareholder of record” with respect to those shares. Shareholders of record receive this Proxy Statement and the accompanying Annual Report and the proxy card directly from us. If your shares are held in a stock brokerage account or by a bank or other nominee, you are considered the “beneficial owner” with respect to those shares. Your broker, bank or other nominee, who is considered the shareholder of record for such shares, should have forwarded the Notice of Internet Availability of Proxy Materials to you. As the beneficial owner, you have the right to direct your broker, bank or other nominee on how to vote your shares by completing the voting instruction form.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the close of business on the Record Date, 159,467,376 Class A Shares and 131,348,468 Class B Shares were outstanding. Each of the Class A Shares is entitled to one vote per share on each proposal to be considered by our shareholders. Each of the Class B Shares is entitled to ten votes per share on each proposal to be considered by our shareholders.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complete record of the shareholders entitled to vote at the Annual Meeting will be available at our headquarters at 9601 South Meridian Boulevard, Englewood, Colorado 80112 for inspection by any shareholder for any purpose germane to the Annual Meeting for a period of at least ten days prior to the Annual Meeting during normal business hours, and at any time during the Annual Meeting. To inspect the list during the Annual Meeting, you will need the 16-digit control number included on your Notice of Internet Availability of Proxy Materials, proxy card or voting instruction form. Please refer to “Access to the Audio Webcast of the Annual Meeting” for more details about attending the Annual Meeting online. We are not holding an in-person meeting.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4" w:name="VotingofProxies_887127"/>
      <w:bookmarkEnd w:id="64"/>
      <w:r>
        <w:rPr>
          <w:rFonts w:ascii="Times New Roman;Times;serif" w:hAnsi="Times New Roman;Times;serif"/>
          <w:b/>
          <w:sz w:val="20"/>
        </w:rPr>
        <w:t>Voting of Proxies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vote online or by telephone, please refer to the instructions included with the accompanying proxy card. You will need your 16-digit control number to vote in this manner. To vote by mail, please complete the proxy card and return it to us as instructed in the proxy card. Votes submitted online, by telephone or by mail must be received by 11:59 p.m., Eastern Time, on Thursday, October 29, 2026. Submitting your vote online or by telephone or mail will not affect your right to vote at the Annual Meeting, if you choose to do so. Proxies that are properly delivered to us and not revoked before the closing of the polls during the Annual Meeting will be voted with respect to the proposals described in this Proxy Statement in accordance with the instructions set forth in those proxies. If any other matter is properly presented at the Annual Meeting, the persons named in the accompanying proxy card will have discretionary authority to vote on that matter. If your shares are held in a stock brokerage account or by a bank or other nominee, please follow the instructions you receive from your broker, bank or other nominee in order to vote your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Your proxy may be revoked by giving written notice of the revocation of your proxy to our Corporate Secretary, Jeffrey H. Blum, at our headquarters located at 9601 South Meridian Boulevard, Englewood, Colorado 80112 at any time prior to the Annual Meeting. You may also revoke your proxy by submitting a proxy with a later date than your original proxy or by voting at the Annual Meeting. Your presence at the Annual Meeting does not by itself revoke your proxy.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 online portal is available to shareholders at www.proxyvote.com where shareholders of record as of the Record Date can view and download our proxy materials and 2025 Annual Report and vote their shares in advance of the Annual Meeting. Shareholders of record as of the Record Date may vote their shares during the Annual Meeting (up until the closing of the polls) by following the instructions available at www.virtualshareholdermeeting.com/ECHO2026.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Whether or not you plan to attend the Annual Meeting, we urge shareholders of record as of the Record Date to vote and submit their proxy in advance of the Annual Meeting using one of the methods described above.</w:t>
      </w:r>
    </w:p>
    <w:p>
      <w:pPr>
        <w:pStyle w:val="TextBody"/>
        <w:bidi w:val="0"/>
        <w:spacing w:before="0" w:after="240"/>
        <w:ind w:left="0" w:right="0" w:hanging="0"/>
        <w:jc w:val="left"/>
        <w:rPr>
          <w:rFonts w:ascii="Times New Roman;Times;serif" w:hAnsi="Times New Roman;Times;serif"/>
          <w:b/>
          <w:sz w:val="20"/>
        </w:rPr>
      </w:pPr>
      <w:bookmarkStart w:id="65" w:name="AccesstotheAudioWebcastoftheAnnualMeetin"/>
      <w:bookmarkEnd w:id="65"/>
      <w:r>
        <w:rPr>
          <w:rFonts w:ascii="Times New Roman;Times;serif" w:hAnsi="Times New Roman;Times;serif"/>
          <w:b/>
          <w:sz w:val="20"/>
        </w:rPr>
        <w:t>Access to the Audio Webcast of the Annual Meeting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of our shareholders of record at the close of business on the Record Date, or their duly appointed proxies, may attend the Annual Meeting.  The live webcast of the Annual Meeting will begin promptly at 9:00 a.m., Mountain Time.  Online access to the webcast will open 15 minutes prior to the start of the Annual Meeting to allow time for everyone to log in and test their device’s audio system.  We encourage everyone to access the webcast in advance of the designated start time.</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Log-In Instructions: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Shareholders</w:t>
            </w:r>
            <w:r>
              <w:rPr>
                <w:rFonts w:ascii="Times New Roman;Times;serif" w:hAnsi="Times New Roman;Times;serif"/>
                <w:b w:val="false"/>
                <w:i w:val="false"/>
                <w:caps w:val="false"/>
                <w:smallCaps w:val="false"/>
                <w:sz w:val="20"/>
              </w:rPr>
              <w:t>:  To be admitted to the Annual Meeting, shareholders of record as of the Record Date will need to log in to www.virtualshareholdermeeting.com/ECHO2026</w:t>
            </w:r>
            <w:r>
              <w:rPr>
                <w:caps w:val="false"/>
                <w:smallCaps w:val="false"/>
              </w:rPr>
              <w:t xml:space="preserve"> </w:t>
            </w:r>
            <w:r>
              <w:rPr>
                <w:rFonts w:ascii="Times New Roman;Times;serif" w:hAnsi="Times New Roman;Times;serif"/>
                <w:b w:val="false"/>
                <w:i w:val="false"/>
                <w:caps w:val="false"/>
                <w:smallCaps w:val="false"/>
                <w:sz w:val="20"/>
              </w:rPr>
              <w:t>using the 16-digit control number found on the proxy card, voting instruction form or notice of Internet availability previously mailed or made available to shareholders entitled to vote at the Annual Meeting.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Non-Shareholders</w:t>
            </w:r>
            <w:r>
              <w:rPr>
                <w:rFonts w:ascii="Times New Roman;Times;serif" w:hAnsi="Times New Roman;Times;serif"/>
                <w:b w:val="false"/>
                <w:i w:val="false"/>
                <w:caps w:val="false"/>
                <w:smallCaps w:val="false"/>
                <w:sz w:val="20"/>
              </w:rPr>
              <w:t>:  Non-shareholders may attend the Annual Meeting but will not have the ability to vote or ask a question.  Non-Shareholders will log in to www.virtualshareholdermeeting.com/ECHO2026</w:t>
            </w:r>
            <w:r>
              <w:rPr>
                <w:caps w:val="false"/>
                <w:smallCaps w:val="false"/>
              </w:rPr>
              <w:t xml:space="preserve"> </w:t>
            </w:r>
            <w:r>
              <w:rPr>
                <w:rFonts w:ascii="Times New Roman;Times;serif" w:hAnsi="Times New Roman;Times;serif"/>
                <w:b w:val="false"/>
                <w:i w:val="false"/>
                <w:caps w:val="false"/>
                <w:smallCaps w:val="false"/>
                <w:sz w:val="20"/>
              </w:rPr>
              <w:t>providing the information listed on the Web portal.</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i/>
          <w:sz w:val="20"/>
        </w:rPr>
        <w:t>Technical Assistance</w:t>
      </w:r>
      <w:r>
        <w:rPr>
          <w:rFonts w:ascii="Times New Roman;Times;serif" w:hAnsi="Times New Roman;Times;serif"/>
          <w:sz w:val="20"/>
        </w:rPr>
        <w:t>: Beginning 15 minutes prior to, and during, the Annual Meeting, we will have support available to assist anyone with any technical difficulties they may have accessing or hearing the virtual meeting.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66" w:name="Quorum_463353"/>
      <w:bookmarkEnd w:id="66"/>
      <w:r>
        <w:rPr>
          <w:rFonts w:ascii="Times New Roman;Times;serif" w:hAnsi="Times New Roman;Times;serif"/>
          <w:b/>
          <w:sz w:val="20"/>
        </w:rPr>
        <w:t>Quorum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our Articles of Incorporation (as amended, our “Articles of Incorporation”), the presence at the Annual Meeting, in person or by proxy, of the holders of a majority of the total voting power of all classes of our voting stock taken together shall constitute a quorum for the transaction of business at the Annual Meeting. Abstentions from voting on a proposal by a shareholder at the Annual Meeting, as well as broker non-votes, will be considered for purposes of determining the number of total votes present at the Annual Meeting in order to determine whether a quorum is present.</w:t>
      </w:r>
    </w:p>
    <w:p>
      <w:pPr>
        <w:pStyle w:val="TextBody"/>
        <w:bidi w:val="0"/>
        <w:spacing w:before="0" w:after="240"/>
        <w:ind w:left="0" w:right="0" w:hanging="0"/>
        <w:jc w:val="left"/>
        <w:rPr>
          <w:rFonts w:ascii="Times New Roman;Times;serif" w:hAnsi="Times New Roman;Times;serif"/>
          <w:b/>
          <w:sz w:val="20"/>
        </w:rPr>
      </w:pPr>
      <w:bookmarkStart w:id="67" w:name="VoteRequired_889780"/>
      <w:bookmarkEnd w:id="67"/>
      <w:r>
        <w:rPr>
          <w:rFonts w:ascii="Times New Roman;Times;serif" w:hAnsi="Times New Roman;Times;serif"/>
          <w:b/>
          <w:sz w:val="20"/>
        </w:rPr>
        <w:t>Vote Required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affirmative vote of a plurality of the total votes cast for directors at the Annual Meeting is necessary to elect a director (Proposal 1). No cumulative voting is permitted. The eight nominees receiving the highest number of votes cast “for” the nominee will be elected. If you withhold your vote, it will have no effect on the election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affirmative vote of a majority of the voting power represented at the Annual Meeting and entitled to vote on the matter is necessary to (i) ratify the appointment of KPMG LLP as our independent registered public accounting firm for the fiscal year ended December 31, 2026 (Proposal 2) and (ii) approve the compensation of our named executive officers on a non-binding advisory basis (Proposal 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Treatment of Abstentions and Broker Non-Votes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Abstentions from voting on a proposal by a shareholder at the Annual Meeting, as well as broker non-votes, will be considered present at the Annual Meeting for determining whether a quorum exists at the Annual Meeting. Abstentions will have the same effect as votes “against” (i) the ratification of the appointment of KPMG LLP as our independent registered public accounting firm for the fiscal year ended December 31, 2026 (Proposal 2), and (ii) the approval of the compensation of our named executive officers on a non-binding advisory basis (Proposal 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broker non-vote occurs when shares held by a broker are not voted with respect to a particular proposal because the broker does not have discretionary authority to vote on the matter and has not received voting instructions from the beneficial owner. If a beneficial owner does not instruct a broker how to vote, the broker will only have discretion to vote such beneficial owner’s shares on “routine” matters. If a proposal is not “routine,” a broker who has not received instructions from the beneficial owner as to how to vote their shares does not have discretion to vote such shares on that proposal. At our Annual Meeting, only the ratification of the appointment of our independent registered public accounting firm (Proposal 2) is considered a “routine” matter. The other proposal is not considered “routine,” and brokers holding the shares of beneficial owners will not have discretion to vote on this proposal if they have not received voting instructions from such beneficial owners.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Broker non-votes are not considered shares entitled to vote and therefore will have no effect on (i) the election of directors (Proposal 1), and (ii) approval of the compensation of our named executive officers on a non-binding advisory basis (Proposal 3).</w:t>
      </w:r>
    </w:p>
    <w:p>
      <w:pPr>
        <w:pStyle w:val="TextBody"/>
        <w:bidi w:val="0"/>
        <w:spacing w:before="0" w:after="240"/>
        <w:ind w:left="0" w:right="0" w:hanging="0"/>
        <w:jc w:val="left"/>
        <w:rPr>
          <w:rFonts w:ascii="Times New Roman;Times;serif" w:hAnsi="Times New Roman;Times;serif"/>
          <w:b/>
          <w:sz w:val="20"/>
        </w:rPr>
      </w:pPr>
      <w:bookmarkStart w:id="68" w:name="SubmittingQuestionsRulesofConduct_122494"/>
      <w:bookmarkEnd w:id="68"/>
      <w:r>
        <w:rPr>
          <w:rFonts w:ascii="Times New Roman;Times;serif" w:hAnsi="Times New Roman;Times;serif"/>
          <w:b/>
          <w:sz w:val="20"/>
        </w:rPr>
        <w:t>Submitting Questions; Rules of Conduct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Beginning 15 minutes prior to, and during, the Annual Meeting, shareholders of record as of the Record Date can view our Agenda and the Rules of Conduct for the Annual Meeting, and submit questions at www.virtualshareholdermeeting.com/ECHO2026.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After the business portion of the Annual Meeting concludes and the meeting is adjourned, we will hold a question-and-answer session during which we intend to answer questions submitted during the Annual Meeting that are pertinent to the items being brought before the shareholder vote at the Annual Meeting, as time permits and in accordance with our Rules of Conduct for the Annual Meeting.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69" w:name="Householding_178976"/>
      <w:bookmarkEnd w:id="69"/>
      <w:r>
        <w:rPr>
          <w:rFonts w:ascii="Times New Roman;Times;serif" w:hAnsi="Times New Roman;Times;serif"/>
          <w:b/>
          <w:sz w:val="20"/>
        </w:rPr>
        <w:t>Householding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adopted a procedure approved by the Securities and Exchange Commission (the “SEC”) called “householding,” whereby multiple shareholders sharing the same address may receive a single copy of our Annual Report, Proxy Statement or Notice of Internet Availability of Proxy Materials, unless one or more of these shareholders notifies Broadridge Financial Solutions, Inc. at the address or telephone number below that they wish to continue receiving individual copies. In that case, we will deliver promptly a separate copy of our Annual Report, Proxy Statement or Notice of Internet Availability of Proxy Materials, as applicable, to each such shareholder. Shareholders who participate in householding will continue to receive separate proxy cards.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you are eligible for householding, but you and other shareholders with whom you share an address currently receive multiple copies of our Annual Report, Proxy Statement and/or Notice of Internet Availability of Proxy Materials, or if you hold stock in more than one account, and in either case you wish to receive only a single copy of our Annual Report, Proxy Statement, or Notice of Internet Availability of Proxy Materials for your household, please contact Broadridge Financial Solutions, Inc. at 51 Mercedes Way, Edgewood, NY 11717 or (800) 542-1061.</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70" w:name="PROPOSAL1ELECTIONOFDIRECTORS_540306"/>
      <w:bookmarkStart w:id="71" w:name="_5eb2e97b_bb34_400c_baa0_41a654f86eef"/>
      <w:bookmarkEnd w:id="70"/>
      <w:bookmarkEnd w:id="71"/>
      <w:r>
        <w:rPr>
          <w:rFonts w:ascii="Times New Roman;Times;serif" w:hAnsi="Times New Roman;Times;serif"/>
          <w:b/>
          <w:sz w:val="20"/>
        </w:rPr>
        <w:t>PROPOSAL 1 — ELECTION OF DIRECTORS</w:t>
      </w:r>
    </w:p>
    <w:p>
      <w:pPr>
        <w:pStyle w:val="TextBody"/>
        <w:bidi w:val="0"/>
        <w:spacing w:before="0" w:after="240"/>
        <w:ind w:left="0" w:right="0" w:hanging="0"/>
        <w:jc w:val="left"/>
        <w:rPr>
          <w:rFonts w:ascii="Times New Roman;Times;serif" w:hAnsi="Times New Roman;Times;serif"/>
          <w:b/>
          <w:sz w:val="20"/>
        </w:rPr>
      </w:pPr>
      <w:bookmarkStart w:id="72" w:name="Nominees_437717"/>
      <w:bookmarkEnd w:id="72"/>
      <w:r>
        <w:rPr>
          <w:rFonts w:ascii="Times New Roman;Times;serif" w:hAnsi="Times New Roman;Times;serif"/>
          <w:b/>
          <w:sz w:val="20"/>
        </w:rPr>
        <w:t>Nominees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shareholders will elect a Board of eight directors at the Annual Meeting. Each of the directors is expected to hold office until the next annual meeting of our shareholders or until his or her respective successor shall be duly elected and qualified or until his or her earlier resignation or removal. Each nominee has consented to his or her nomination and has advised us that he or she intends to serve if elected. If, at the time of the Annual Meeting, one or more of the nominees has become unable to serve:  (i) shares represented by proxies will be voted for the remaining nominees and for any substitute nominee or nominees selected and recommended by the Board of Directors to fill the vacancy, or (ii) the Board of Directors may, in accordance with our bylaws, reduce the size of the Board of Directors or may leave a vacancy until a nominee is identified.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nominees for director are as follows:</w:t>
      </w:r>
    </w:p>
    <w:p>
      <w:pPr>
        <w:pStyle w:val="TextBody"/>
        <w:bidi w:val="0"/>
        <w:spacing w:before="0" w:after="240"/>
        <w:ind w:left="0" w:right="0" w:hanging="0"/>
        <w:jc w:val="both"/>
        <w:rPr/>
      </w:pPr>
      <w:r>
        <w:rPr/>
        <w:t>​</w:t>
      </w:r>
    </w:p>
    <w:tbl>
      <w:tblPr>
        <w:tblW w:w="9472" w:type="dxa"/>
        <w:jc w:val="left"/>
        <w:tblInd w:w="0" w:type="dxa"/>
        <w:tblLayout w:type="fixed"/>
        <w:tblCellMar>
          <w:top w:w="0" w:type="dxa"/>
          <w:left w:w="0" w:type="dxa"/>
          <w:bottom w:w="0" w:type="dxa"/>
          <w:right w:w="0" w:type="dxa"/>
        </w:tblCellMar>
      </w:tblPr>
      <w:tblGrid>
        <w:gridCol w:w="1651"/>
        <w:gridCol w:w="346"/>
        <w:gridCol w:w="391"/>
        <w:gridCol w:w="346"/>
        <w:gridCol w:w="1711"/>
        <w:gridCol w:w="346"/>
        <w:gridCol w:w="4681"/>
      </w:tblGrid>
      <w:tr>
        <w:trPr/>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048385" cy="175260"/>
                      <wp:effectExtent l="0" t="0" r="0" b="0"/>
                      <wp:wrapNone/>
                      <wp:docPr id="9" name="Frame5"/>
                      <a:graphic xmlns:a="http://schemas.openxmlformats.org/drawingml/2006/main">
                        <a:graphicData uri="http://schemas.microsoft.com/office/word/2010/wordprocessingShape">
                          <wps:wsp>
                            <wps:cNvSpPr txBox="1"/>
                            <wps:spPr>
                              <a:xfrm>
                                <a:off x="0" y="0"/>
                                <a:ext cx="1048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0"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48285" cy="175260"/>
                      <wp:effectExtent l="0" t="0" r="0" b="0"/>
                      <wp:wrapNone/>
                      <wp:docPr id="11" name="Frame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2"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086485" cy="175260"/>
                      <wp:effectExtent l="0" t="0" r="0" b="0"/>
                      <wp:wrapNone/>
                      <wp:docPr id="13" name="Frame9"/>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14"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972435" cy="175260"/>
                      <wp:effectExtent l="0" t="0" r="0" b="0"/>
                      <wp:wrapNone/>
                      <wp:docPr id="15" name="Frame11"/>
                      <a:graphic xmlns:a="http://schemas.openxmlformats.org/drawingml/2006/main">
                        <a:graphicData uri="http://schemas.microsoft.com/office/word/2010/wordprocessingShape">
                          <wps:wsp>
                            <wps:cNvSpPr txBox="1"/>
                            <wps:spPr>
                              <a:xfrm>
                                <a:off x="0" y="0"/>
                                <a:ext cx="297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left"/>
              <w:rPr/>
            </w:pPr>
            <w:r>
              <w:rPr/>
              <w:t>  ​ ​ ​</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46" w:type="dxa"/>
            <w:tcBorders/>
            <w:vAlign w:val="center"/>
          </w:tcPr>
          <w:p>
            <w:pPr>
              <w:pStyle w:val="TableContents"/>
              <w:bidi w:val="0"/>
              <w:spacing w:before="0" w:after="0"/>
              <w:ind w:left="0" w:right="0" w:hanging="0"/>
              <w:jc w:val="left"/>
              <w:rPr/>
            </w:pPr>
            <w:r>
              <w:rPr/>
              <w:t>  ​ ​ ​</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First Became Director</w:t>
            </w:r>
          </w:p>
        </w:tc>
        <w:tc>
          <w:tcPr>
            <w:tcW w:w="346" w:type="dxa"/>
            <w:tcBorders/>
            <w:vAlign w:val="center"/>
          </w:tcPr>
          <w:p>
            <w:pPr>
              <w:pStyle w:val="TableContents"/>
              <w:bidi w:val="0"/>
              <w:spacing w:before="0" w:after="0"/>
              <w:ind w:left="0" w:right="0" w:hanging="0"/>
              <w:jc w:val="left"/>
              <w:rPr/>
            </w:pPr>
            <w:r>
              <w:rPr/>
              <w:t>  ​ ​ ​</w:t>
            </w:r>
          </w:p>
        </w:tc>
        <w:tc>
          <w:tcPr>
            <w:tcW w:w="46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Position with the Corporation</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Charles W. Ergen</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vAlign w:val="center"/>
          </w:tcPr>
          <w:p>
            <w:pPr>
              <w:pStyle w:val="TableContents"/>
              <w:bidi w:val="0"/>
              <w:spacing w:before="0" w:after="0"/>
              <w:ind w:left="0" w:right="0" w:hanging="0"/>
              <w:jc w:val="left"/>
              <w:rPr/>
            </w:pPr>
            <w:r>
              <w:rPr/>
              <w:t>​</w:t>
            </w:r>
          </w:p>
        </w:tc>
        <w:tc>
          <w:tcPr>
            <w:tcW w:w="17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2007</w:t>
            </w:r>
          </w:p>
        </w:tc>
        <w:tc>
          <w:tcPr>
            <w:tcW w:w="346" w:type="dxa"/>
            <w:tcBorders/>
            <w:shd w:fill="CCEEFF" w:val="clear"/>
            <w:vAlign w:val="center"/>
          </w:tcPr>
          <w:p>
            <w:pPr>
              <w:pStyle w:val="TableContents"/>
              <w:bidi w:val="0"/>
              <w:spacing w:before="0" w:after="0"/>
              <w:ind w:left="0" w:right="0" w:hanging="0"/>
              <w:jc w:val="left"/>
              <w:rPr/>
            </w:pPr>
            <w:r>
              <w:rPr/>
              <w:t>​</w:t>
            </w:r>
          </w:p>
        </w:tc>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President and Chief Executive Officer</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Cantey M. Ergen</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w: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46" w:type="dxa"/>
            <w:tcBorders/>
            <w:vAlign w:val="center"/>
          </w:tcPr>
          <w:p>
            <w:pPr>
              <w:pStyle w:val="TableContents"/>
              <w:bidi w:val="0"/>
              <w:spacing w:before="0" w:after="0"/>
              <w:ind w:left="0" w:right="0" w:hanging="0"/>
              <w:jc w:val="left"/>
              <w:rPr/>
            </w:pPr>
            <w:r>
              <w:rPr/>
              <w:t>​</w:t>
            </w:r>
          </w:p>
        </w:tc>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and Senior Advisor</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George R. Brokaw</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0"/>
              <w:ind w:left="0" w:right="0" w:hanging="0"/>
              <w:jc w:val="left"/>
              <w:rPr/>
            </w:pPr>
            <w:r>
              <w:rPr/>
              <w:t>​</w:t>
            </w:r>
          </w:p>
        </w:tc>
        <w:tc>
          <w:tcPr>
            <w:tcW w:w="17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46" w:type="dxa"/>
            <w:tcBorders/>
            <w:shd w:fill="CCEEFF" w:val="clear"/>
            <w:vAlign w:val="center"/>
          </w:tcPr>
          <w:p>
            <w:pPr>
              <w:pStyle w:val="TableContents"/>
              <w:bidi w:val="0"/>
              <w:spacing w:before="0" w:after="0"/>
              <w:ind w:left="0" w:right="0" w:hanging="0"/>
              <w:jc w:val="left"/>
              <w:rPr/>
            </w:pPr>
            <w:r>
              <w:rPr/>
              <w:t>​</w:t>
            </w:r>
          </w:p>
        </w:tc>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James DeFranco</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w: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46" w:type="dxa"/>
            <w:tcBorders/>
            <w:vAlign w:val="center"/>
          </w:tcPr>
          <w:p>
            <w:pPr>
              <w:pStyle w:val="TableContents"/>
              <w:bidi w:val="0"/>
              <w:spacing w:before="0" w:after="0"/>
              <w:ind w:left="0" w:right="0" w:hanging="0"/>
              <w:jc w:val="left"/>
              <w:rPr/>
            </w:pPr>
            <w:r>
              <w:rPr/>
              <w:t>​</w:t>
            </w:r>
          </w:p>
        </w:tc>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and Executive Vice President</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Stanton Dodge</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0"/>
              <w:ind w:left="0" w:right="0" w:hanging="0"/>
              <w:jc w:val="left"/>
              <w:rPr/>
            </w:pPr>
            <w:r>
              <w:rPr/>
              <w:t>​</w:t>
            </w:r>
          </w:p>
        </w:tc>
        <w:tc>
          <w:tcPr>
            <w:tcW w:w="17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2009</w:t>
            </w:r>
          </w:p>
        </w:tc>
        <w:tc>
          <w:tcPr>
            <w:tcW w:w="346" w:type="dxa"/>
            <w:tcBorders/>
            <w:shd w:fill="CCEEFF" w:val="clear"/>
            <w:vAlign w:val="center"/>
          </w:tcPr>
          <w:p>
            <w:pPr>
              <w:pStyle w:val="TableContents"/>
              <w:bidi w:val="0"/>
              <w:spacing w:before="0" w:after="0"/>
              <w:ind w:left="0" w:right="0" w:hanging="0"/>
              <w:jc w:val="left"/>
              <w:rPr/>
            </w:pPr>
            <w:r>
              <w:rPr/>
              <w:t>​</w:t>
            </w:r>
          </w:p>
        </w:tc>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Katherine E. Flynn</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0"/>
              <w:ind w:left="0" w:right="0" w:hanging="0"/>
              <w:jc w:val="left"/>
              <w:rPr/>
            </w:pPr>
            <w:r>
              <w:rPr/>
              <w:t>​</w:t>
            </w:r>
          </w:p>
        </w:tc>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Senior Vice President and Chief People Officer</w:t>
            </w:r>
          </w:p>
        </w:tc>
      </w:tr>
      <w:tr>
        <w:trPr/>
        <w:tc>
          <w:tcPr>
            <w:tcW w:w="16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Tom A. Ortolf</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w:t>
            </w:r>
          </w:p>
        </w:tc>
        <w:tc>
          <w:tcPr>
            <w:tcW w:w="346" w:type="dxa"/>
            <w:tcBorders/>
            <w:shd w:fill="CCEEFF" w:val="clear"/>
            <w:vAlign w:val="center"/>
          </w:tcPr>
          <w:p>
            <w:pPr>
              <w:pStyle w:val="TableContents"/>
              <w:bidi w:val="0"/>
              <w:spacing w:before="0" w:after="0"/>
              <w:ind w:left="0" w:right="0" w:hanging="0"/>
              <w:jc w:val="left"/>
              <w:rPr/>
            </w:pPr>
            <w:r>
              <w:rPr/>
              <w:t>​</w:t>
            </w:r>
          </w:p>
        </w:tc>
        <w:tc>
          <w:tcPr>
            <w:tcW w:w="17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46" w:type="dxa"/>
            <w:tcBorders/>
            <w:shd w:fill="CCEEFF" w:val="clear"/>
            <w:vAlign w:val="center"/>
          </w:tcPr>
          <w:p>
            <w:pPr>
              <w:pStyle w:val="TableContents"/>
              <w:bidi w:val="0"/>
              <w:spacing w:before="0" w:after="0"/>
              <w:ind w:left="0" w:right="0" w:hanging="0"/>
              <w:jc w:val="left"/>
              <w:rPr/>
            </w:pPr>
            <w:r>
              <w:rPr/>
              <w:t>​</w:t>
            </w:r>
          </w:p>
        </w:tc>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6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William P. Wall</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64</w:t>
            </w:r>
          </w:p>
        </w:tc>
        <w:tc>
          <w:tcPr>
            <w:tcW w:w="34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2026</w:t>
            </w:r>
          </w:p>
        </w:tc>
        <w:tc>
          <w:tcPr>
            <w:tcW w:w="346" w:type="dxa"/>
            <w:tcBorders/>
            <w:vAlign w:val="center"/>
          </w:tcPr>
          <w:p>
            <w:pPr>
              <w:pStyle w:val="TableContents"/>
              <w:bidi w:val="0"/>
              <w:spacing w:before="0" w:after="0"/>
              <w:ind w:left="0" w:right="0" w:hanging="0"/>
              <w:jc w:val="left"/>
              <w:rPr/>
            </w:pPr>
            <w:r>
              <w:rPr/>
              <w:t>​</w:t>
            </w:r>
          </w:p>
        </w:tc>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substantial majority of the voting power of the shares of EchoStar is owned beneficially by Charles W. Ergen, our Chairman, by Cantey M. Ergen, his spouse, and by certain entities established for the benefit of their family.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sets forth the business experience of each of the nominees over the last five years.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Charles W. Ergen</w:t>
      </w:r>
      <w:r>
        <w:rPr>
          <w:rFonts w:ascii="Times New Roman;Times;serif" w:hAnsi="Times New Roman;Times;serif"/>
          <w:sz w:val="20"/>
        </w:rPr>
        <w:t>. Effective November 6, 2025, Mr. Ergen serves as our Chairman, President and Chief Executive Officer. Mr. Ergen previously served as our executive Chairman since November 2009 and Chairman of the Board of Directors since our formation in 2007. Mr. Ergen was also Chairman of the Board of Directors of DISH Network Corporation (“DISH”) since its formation and, during the past five years, held executive officer and director positions with DISH and its subsidiaries, most recently serving as the Chief Executive Officer of DISH from March 2015 to December 2017. Mr. Ergen also serves as Chairman of the Board of CONX Corp., since August 2020. The Board of Directors concluded that Mr. Ergen should continue to serve as a member of the Board of Directors due to, among other things, his role as our and DISH’s co-founder and as our controlling shareholder and the expertise, leadership and strategic direction that he has contributed to us since our formation, in addition to his extensive experience in our industry.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Cantey M. Ergen</w:t>
      </w:r>
      <w:r>
        <w:rPr>
          <w:rFonts w:ascii="Times New Roman;Times;serif" w:hAnsi="Times New Roman;Times;serif"/>
          <w:sz w:val="20"/>
        </w:rPr>
        <w:t>. Mrs. Ergen has served as a Senior Advisor and a member of our Board of Directors since December 2023 effective with the merger of EchoStar and DISH (the “Merger”). Mrs. Ergen served as a member of the Board of Directors of DISH from May 2001 to December 2023, and served as a Senior Advisor to DISH and had a variety of operational responsibilities with DISH since its formation. Mrs. Ergen served as a member of the board of trustees of Children’s Hospital Colorado from 2001 to 2012, and is now an honorary lifetime member. Mrs. Ergen has also served on the board of trustees of Wake Forest University since 2009, twice as Vice Chair. During 1980, Mrs. Ergen co-founded DISH with her future spouse, Charles W. Ergen, and James DeFranco. Mrs. Ergen was appointed to the Board of Directors in connection with the Merger. The Board concluded that Mrs. Ergen should continue to serve on the EchoStar Board due to her knowledge of DISH as a co-founder and her service to DISH in a multitude of roles over the years.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George R. Brokaw</w:t>
      </w:r>
      <w:r>
        <w:rPr>
          <w:rFonts w:ascii="Times New Roman;Times;serif" w:hAnsi="Times New Roman;Times;serif"/>
          <w:sz w:val="20"/>
        </w:rPr>
        <w:t xml:space="preserve">. Mr. Brokaw joined the Board in December 2023 effective with the Merger. Mr. Brokaw is a member of our Audit Committee and Compensation Committee and serves as the Chair and financial expert of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Committee. Prior to the Merger, Mr. Brokaw served as a member of DISH’s Board of Directors, Audit and Nominating Committees and as Chairman of its Compensation Committee from October 2013 to December 2023. Since October 2013, Mr. Brokaw has served as a private investor through several private and public investment vehicles. Previously, Mr. Brokaw served as Managing Director of the Highbridge Growth Equity Fund at Highbridge Principal Strategies, LLC (“Highbridge”). Prior to joining Highbridge, Mr. Brokaw was a Managing Director and Head of Private Equity at Perry Capital, L.L.C. (“Perry”). Prior to joining Perry, Mr. Brokaw was Managing Director (Mergers &amp; Acquisitions) of Lazard Frères &amp; Co. LLC (“Lazard”). Mr. Brokaw currently serves as Chairman of the board of directors of Alico, Inc. and Vice Chairman of the board of directors of CTO Realty Growth, Inc. Mr. Brokaw previously served on several public and private company boards of directors. The Board has determined that Mr. Brokaw meets the independence requirements of NASDAQ and SEC rules and regulations. The Board concluded that Mr. Brokaw should continue to serve on the Board due, among other things, to his financial experience, acquired, in part, during his tenure with Highbridge, Perry and Lazard. Mr. Brokaw received a B.A. from Yale University and a J.D. and M.B.A. from the University of Virginia. Mr. Brokaw is a member of the New York Bar.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James DeFranco</w:t>
      </w:r>
      <w:r>
        <w:rPr>
          <w:rFonts w:ascii="Times New Roman;Times;serif" w:hAnsi="Times New Roman;Times;serif"/>
          <w:sz w:val="20"/>
        </w:rPr>
        <w:t>. Mr. DeFranco joined the Board in December 2023 effective with the Merger. Mr. DeFranco is one of our Executive Vice Presidents and has been one of DISH’s vice presidents and was a member of the DISH Board of Directors since its formation. During the past five years he has held various executive officer and director positions with DISH and its subsidiaries. During 1980, Mr. DeFranco co-founded DISH with Charles W. Ergen and Cantey M. Ergen. The Board concluded that Mr. DeFranco should continue to serve on the Board due, among other things, to his knowledge of DISH since its formation as a co-founder, particularly in sales and marketing.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 Stanton Dodge</w:t>
      </w:r>
      <w:r>
        <w:rPr>
          <w:rFonts w:ascii="Times New Roman;Times;serif" w:hAnsi="Times New Roman;Times;serif"/>
          <w:sz w:val="20"/>
        </w:rPr>
        <w:t>. Mr. Dodge has served as a member of our Board of Directors since 2009. Mr. Dodge is a member of our Executive Compensation Committee and Nominating and Governance Committee and serves as the Chair of our Nominating and Governance Committee. Mr. Dodge is currently the Chief Legal Officer and Secretary of DraftKings, Inc., where he oversees the legal, government affairs and corporate communications teams. From June 2007 until October 2017, Mr. Dodge was the Executive Vice President, General Counsel and Secretary of DISH and was responsible for all legal, government affairs and corporate communications for DISH and its subsidiaries. From October 2007 to November 2011, Mr. Dodge served as our Executive Vice President, General Counsel and Secretary pursuant to a management services agreement between DISH and EchoStar that was entered into in connection with the spin-off of EchoStar from DISH in 2008. Since November 1996 when Mr. Dodge joined DISH, he held various positions of increasing responsibility at DISH and its subsidiaries. The Board of Directors has determined that Mr. Dodge meets applicable independence requirements of Nasdaq and SEC rules and regulations. The Board of Directors concluded that Mr. Dodge should continue to serve as a member of the Board of Directors due to, among other things, his knowledge of our industry, particularly in light of his business, corporate governance and legal expertise obtained during his prior service as our General Counsel and his prior service as General Counsel and in other roles at DISH and its subsidiaries over the course of 20 years.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Katherine E. Flynn. </w:t>
      </w:r>
      <w:r>
        <w:rPr>
          <w:rFonts w:ascii="Times New Roman;Times;serif" w:hAnsi="Times New Roman;Times;serif"/>
          <w:sz w:val="20"/>
        </w:rPr>
        <w:t>Mrs. Flynn was nominated to join the Board in September 2026.  Mrs. Flynn currently serves as our Senior Vice President and Chief People Officer since 2025. Mrs. Flynn joined the Company full time in 2013 and has held key executive roles across marketing, product experience, and human resources, bringing a comprehensive business perspective to each position.  Mrs. Flynn is the daughter of Charles W. Ergen, who currently serves as the Company’s Chairman, President and Chief Executive Officer, and Cantey M. Ergen, who serves as a Board member and Senior Advisor.  There are no other family relationships between Mrs. Flynn and any other executive officer or director of the Company. The Board determined that Mrs. Flynn should be nominated to the Board of Directors due to, among other factors, her deep institutional knowledge of our operations and culture, her leadership across both corporate and customer-facing business units, and her expertise in talent strategy and organizational development.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Tom A. Ortolf</w:t>
      </w:r>
      <w:r>
        <w:rPr>
          <w:rFonts w:ascii="Times New Roman;Times;serif" w:hAnsi="Times New Roman;Times;serif"/>
          <w:sz w:val="20"/>
        </w:rPr>
        <w:t xml:space="preserve">. Mr. Ortolf has served as a member of our Board of Directors since December 2023 effective with the Merger and currently serves as a member of our Audit Committee and Nominating and Governance Committee. Mr. Ortolf served as a member of the Board of Directors of DISH from May 2005 to December 2023. Mr. Ortolf has been the President of CMC, a privately held investment management firm, for over twenty years. Mr. Ortolf also previously served as a member of the Board of Directors from October 2007 to April 2019. The Board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Directors has determined that Mr. Ortolf meets the independence requirements of Nasdaq and SEC rules and regulations. The Board of Directors concluded that Mr. Ortolf should continue to serve as a member of the Board of Directors due to, among other things, his knowledge of the DISH and EchoStar businesses resulting from his prior service on the Boards of both companies and his expertise in finance, business and risk management, in particular in light of his experience as an executive with CMC.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William P. Wall. </w:t>
      </w:r>
      <w:r>
        <w:rPr>
          <w:rFonts w:ascii="Times New Roman;Times;serif" w:hAnsi="Times New Roman;Times;serif"/>
          <w:sz w:val="20"/>
        </w:rPr>
        <w:t>Mr. Wall was nominated to join the Board in September 2026. Mr. Wall currently serves on the Board of Directors of various companies and organizations. From 2020 to 2026, Mr. Wall served as a Managing Director at Fidelity Investments, initially joining in 1996 through 2003, and then rejoining in 2020 to July 2026, where he was responsible for restructurings and workouts and serving as a portfolio manager in the High Income and Alternatives division. Prior to rejoining Fidelity, Mr. Wall was a partner at OQ Partners, investing in private companies from 2016 to 2020. From 2006 to 2015, Mr. Wall also served as General Counsel at Abrams Capital, a Boston-based investment firm focused on public and private investments. Previously, Mr. Wall was a founding partner at a hedge fund, Andover Capital, from 2003 to 2005. Mr. Wall also worked from 1992 to 1996 as an associate at Ropes &amp; Gray, providing legal advice on private equity and corporate finance deals. The Board of Directors concluded that Mr. Wall should serve as a member of the Board of Directors due to, among other things, his extensive experience in the financial and investment industries, including his leadership roles at Fidelity Investments and his legal background in corporate finance and private equity transactions. The Board of Directors has determined that Mr. Wall meets applicable independence requirements of Nasdaq and SEC rules and regulations.</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Board of Directors unanimously recommends a vote FOR the election of all of the nominees named herein.</w:t>
      </w:r>
    </w:p>
    <w:p>
      <w:pPr>
        <w:pStyle w:val="TextBody"/>
        <w:bidi w:val="0"/>
        <w:spacing w:before="0" w:after="240"/>
        <w:ind w:left="0" w:right="0" w:hanging="0"/>
        <w:jc w:val="left"/>
        <w:rPr>
          <w:rFonts w:ascii="Times New Roman;Times;serif" w:hAnsi="Times New Roman;Times;serif"/>
          <w:b/>
          <w:sz w:val="20"/>
        </w:rPr>
      </w:pPr>
      <w:bookmarkStart w:id="73" w:name="DirectorCompensationandNonEmployeeDirect"/>
      <w:bookmarkEnd w:id="73"/>
      <w:r>
        <w:rPr>
          <w:rFonts w:ascii="Times New Roman;Times;serif" w:hAnsi="Times New Roman;Times;serif"/>
          <w:b/>
          <w:sz w:val="20"/>
        </w:rPr>
        <w:t>Director Compensation and Non-Employee Director Option Plan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Mr. Ergen, Mrs. Ergen and Mr. DeFranco are employees of the Corporation and/or our subsidiaries. We refer to these directors as “employee directors.”  Our employee directors are not separately compensated for their services as directors. Each non-employee director receives an annual cash retainer of $60,000, which is paid in equal quarterly installments, provided such person is a member of the Board of Directors on the last day of the applicable calendar quarter. Our non-employee directors also receive a $1,000 cash payment for each meeting attended in person and a $500 cash payment for each meeting attended remotely, provided that, if there is more than one meeting of the Board of Directors or its committees on the same day, then the applicable non-employee director is only entitled to receive compensation for attendance at a single meeting. Additionally, any non-employee director who is the chair of a committee of the Board of Directors receives a $5,000 annual cash retainer, which is paid in equal quarterly installments, provided such person is the chair of the committee on the last day of the applicable calendar quarter.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non-employee directors also receive reimbursement, in full, of:  (i) reasonable travel expenses related to attendance at all meetings of the Board of Directors and its committees; and (ii) reasonable expenses related to educational activities undertaken in connection with service on the Board of Directors and its committees.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the cash and noncash compensation earned by each of our non-employee directors for the fiscal year ended December 31, 2025.</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954"/>
        <w:gridCol w:w="346"/>
        <w:gridCol w:w="207"/>
        <w:gridCol w:w="637"/>
        <w:gridCol w:w="346"/>
        <w:gridCol w:w="257"/>
        <w:gridCol w:w="454"/>
        <w:gridCol w:w="346"/>
        <w:gridCol w:w="207"/>
        <w:gridCol w:w="636"/>
        <w:gridCol w:w="346"/>
        <w:gridCol w:w="412"/>
        <w:gridCol w:w="729"/>
        <w:gridCol w:w="346"/>
        <w:gridCol w:w="488"/>
        <w:gridCol w:w="676"/>
        <w:gridCol w:w="346"/>
        <w:gridCol w:w="412"/>
        <w:gridCol w:w="729"/>
        <w:gridCol w:w="346"/>
        <w:gridCol w:w="196"/>
        <w:gridCol w:w="789"/>
      </w:tblGrid>
      <w:tr>
        <w:trPr/>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05790" cy="175260"/>
                      <wp:effectExtent l="0" t="0" r="0" b="0"/>
                      <wp:wrapNone/>
                      <wp:docPr id="16" name="Frame12"/>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17"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1445" cy="175260"/>
                      <wp:effectExtent l="0" t="0" r="0" b="0"/>
                      <wp:wrapNone/>
                      <wp:docPr id="18" name="Frame14"/>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04495" cy="175260"/>
                      <wp:effectExtent l="0" t="0" r="0" b="0"/>
                      <wp:wrapNone/>
                      <wp:docPr id="19" name="Frame15"/>
                      <a:graphic xmlns:a="http://schemas.openxmlformats.org/drawingml/2006/main">
                        <a:graphicData uri="http://schemas.microsoft.com/office/word/2010/wordprocessingShape">
                          <wps:wsp>
                            <wps:cNvSpPr txBox="1"/>
                            <wps:spPr>
                              <a:xfrm>
                                <a:off x="0" y="0"/>
                                <a:ext cx="404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0"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63195" cy="175260"/>
                      <wp:effectExtent l="0" t="0" r="0" b="0"/>
                      <wp:wrapNone/>
                      <wp:docPr id="21" name="Frame17"/>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88290" cy="175260"/>
                      <wp:effectExtent l="0" t="0" r="0" b="0"/>
                      <wp:wrapNone/>
                      <wp:docPr id="22" name="Frame18"/>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3"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1445" cy="175260"/>
                      <wp:effectExtent l="0" t="0" r="0" b="0"/>
                      <wp:wrapNone/>
                      <wp:docPr id="24" name="Frame20"/>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03860" cy="175260"/>
                      <wp:effectExtent l="0" t="0" r="0" b="0"/>
                      <wp:wrapNone/>
                      <wp:docPr id="25" name="Frame21"/>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26"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61620" cy="175260"/>
                      <wp:effectExtent l="0" t="0" r="0" b="0"/>
                      <wp:wrapNone/>
                      <wp:docPr id="27" name="Frame23"/>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62915" cy="175260"/>
                      <wp:effectExtent l="0" t="0" r="0" b="0"/>
                      <wp:wrapNone/>
                      <wp:docPr id="28" name="Frame24"/>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29"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09880" cy="175260"/>
                      <wp:effectExtent l="0" t="0" r="0" b="0"/>
                      <wp:wrapNone/>
                      <wp:docPr id="30" name="Frame26"/>
                      <a:graphic xmlns:a="http://schemas.openxmlformats.org/drawingml/2006/main">
                        <a:graphicData uri="http://schemas.microsoft.com/office/word/2010/wordprocessingShape">
                          <wps:wsp>
                            <wps:cNvSpPr txBox="1"/>
                            <wps:spPr>
                              <a:xfrm>
                                <a:off x="0" y="0"/>
                                <a:ext cx="309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29260" cy="175260"/>
                      <wp:effectExtent l="0" t="0" r="0" b="0"/>
                      <wp:wrapNone/>
                      <wp:docPr id="31" name="Frame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2"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61620" cy="175260"/>
                      <wp:effectExtent l="0" t="0" r="0" b="0"/>
                      <wp:wrapNone/>
                      <wp:docPr id="33" name="Frame29"/>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62915" cy="175260"/>
                      <wp:effectExtent l="0" t="0" r="0" b="0"/>
                      <wp:wrapNone/>
                      <wp:docPr id="34" name="Frame30"/>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35"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4460" cy="175260"/>
                      <wp:effectExtent l="0" t="0" r="0" b="0"/>
                      <wp:wrapNone/>
                      <wp:docPr id="36" name="Frame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01015" cy="175260"/>
                      <wp:effectExtent l="0" t="0" r="0" b="0"/>
                      <wp:wrapNone/>
                      <wp:docPr id="37" name="Frame33"/>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9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4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6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in</w:t>
            </w:r>
          </w:p>
        </w:tc>
        <w:tc>
          <w:tcPr>
            <w:tcW w:w="346"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left"/>
              <w:rPr/>
            </w:pPr>
            <w:r>
              <w:rPr/>
              <w:t>​</w:t>
            </w:r>
          </w:p>
        </w:tc>
      </w:tr>
      <w:tr>
        <w:trPr/>
        <w:tc>
          <w:tcPr>
            <w:tcW w:w="9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4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6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Pension Value </w:t>
            </w:r>
          </w:p>
        </w:tc>
        <w:tc>
          <w:tcPr>
            <w:tcW w:w="346"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left"/>
              <w:rPr/>
            </w:pPr>
            <w:r>
              <w:rPr/>
              <w:t>​</w:t>
            </w:r>
          </w:p>
        </w:tc>
      </w:tr>
      <w:tr>
        <w:trPr/>
        <w:tc>
          <w:tcPr>
            <w:tcW w:w="9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4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6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and Nonqualified</w:t>
            </w:r>
          </w:p>
        </w:tc>
        <w:tc>
          <w:tcPr>
            <w:tcW w:w="346"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left"/>
              <w:rPr/>
            </w:pPr>
            <w:r>
              <w:rPr/>
              <w:t>​</w:t>
            </w:r>
          </w:p>
        </w:tc>
      </w:tr>
      <w:tr>
        <w:trPr/>
        <w:tc>
          <w:tcPr>
            <w:tcW w:w="9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3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4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Non-Equity</w:t>
            </w:r>
          </w:p>
        </w:tc>
        <w:tc>
          <w:tcPr>
            <w:tcW w:w="346" w:type="dxa"/>
            <w:tcBorders/>
            <w:vAlign w:val="center"/>
          </w:tcPr>
          <w:p>
            <w:pPr>
              <w:pStyle w:val="TableContents"/>
              <w:bidi w:val="0"/>
              <w:spacing w:before="0" w:after="1"/>
              <w:ind w:left="0" w:right="0" w:hanging="0"/>
              <w:jc w:val="left"/>
              <w:rPr/>
            </w:pPr>
            <w:r>
              <w:rPr/>
              <w:t>​</w:t>
            </w:r>
          </w:p>
        </w:tc>
        <w:tc>
          <w:tcPr>
            <w:tcW w:w="116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Deferred</w:t>
            </w:r>
          </w:p>
        </w:tc>
        <w:tc>
          <w:tcPr>
            <w:tcW w:w="346"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pPr>
            <w:r>
              <w:rPr/>
              <w:t>​</w:t>
            </w:r>
          </w:p>
        </w:tc>
        <w:tc>
          <w:tcPr>
            <w:tcW w:w="72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left"/>
              <w:rPr/>
            </w:pPr>
            <w:r>
              <w:rPr/>
              <w:t>​</w:t>
            </w:r>
          </w:p>
        </w:tc>
      </w:tr>
      <w:tr>
        <w:trPr/>
        <w:tc>
          <w:tcPr>
            <w:tcW w:w="9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Fees Earned</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pPr>
            <w:r>
              <w:rPr/>
              <w:t>​</w:t>
            </w:r>
          </w:p>
        </w:tc>
        <w:tc>
          <w:tcPr>
            <w:tcW w:w="4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6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Incentive Plan</w:t>
            </w:r>
          </w:p>
        </w:tc>
        <w:tc>
          <w:tcPr>
            <w:tcW w:w="346" w:type="dxa"/>
            <w:tcBorders/>
            <w:vAlign w:val="center"/>
          </w:tcPr>
          <w:p>
            <w:pPr>
              <w:pStyle w:val="TableContents"/>
              <w:bidi w:val="0"/>
              <w:spacing w:before="0" w:after="1"/>
              <w:ind w:left="0" w:right="0" w:hanging="0"/>
              <w:jc w:val="left"/>
              <w:rPr/>
            </w:pPr>
            <w:r>
              <w:rPr/>
              <w:t>​</w:t>
            </w:r>
          </w:p>
        </w:tc>
        <w:tc>
          <w:tcPr>
            <w:tcW w:w="116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All Other</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left"/>
              <w:rPr/>
            </w:pPr>
            <w:r>
              <w:rPr/>
              <w:t>​</w:t>
            </w:r>
          </w:p>
        </w:tc>
      </w:tr>
      <w:tr>
        <w:trPr/>
        <w:tc>
          <w:tcPr>
            <w:tcW w:w="9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 Paid in Cash</w:t>
            </w:r>
          </w:p>
        </w:tc>
        <w:tc>
          <w:tcPr>
            <w:tcW w:w="346" w:type="dxa"/>
            <w:tcBorders/>
            <w:vAlign w:val="center"/>
          </w:tcPr>
          <w:p>
            <w:pPr>
              <w:pStyle w:val="TableContents"/>
              <w:bidi w:val="0"/>
              <w:spacing w:before="0" w:after="1"/>
              <w:ind w:left="0" w:right="0" w:hanging="0"/>
              <w:jc w:val="left"/>
              <w:rPr/>
            </w:pPr>
            <w:r>
              <w:rPr/>
              <w:t>​</w:t>
            </w:r>
          </w:p>
        </w:tc>
        <w:tc>
          <w:tcPr>
            <w:tcW w:w="71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 Awards</w:t>
            </w:r>
          </w:p>
        </w:tc>
        <w:tc>
          <w:tcPr>
            <w:tcW w:w="346" w:type="dxa"/>
            <w:tcBorders/>
            <w:vAlign w:val="center"/>
          </w:tcPr>
          <w:p>
            <w:pPr>
              <w:pStyle w:val="TableContents"/>
              <w:bidi w:val="0"/>
              <w:spacing w:before="0" w:after="1"/>
              <w:ind w:left="0" w:right="0" w:hanging="0"/>
              <w:jc w:val="left"/>
              <w:rPr/>
            </w:pPr>
            <w:r>
              <w:rPr/>
              <w:t>​</w:t>
            </w:r>
          </w:p>
        </w:tc>
        <w:tc>
          <w:tcPr>
            <w:tcW w:w="84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 Awards</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1"/>
              <w:ind w:left="0" w:right="0" w:hanging="0"/>
              <w:jc w:val="left"/>
              <w:rPr/>
            </w:pPr>
            <w:r>
              <w:rPr/>
              <w:t>​</w:t>
            </w:r>
          </w:p>
        </w:tc>
        <w:tc>
          <w:tcPr>
            <w:tcW w:w="116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46" w:type="dxa"/>
            <w:tcBorders/>
            <w:vAlign w:val="center"/>
          </w:tcPr>
          <w:p>
            <w:pPr>
              <w:pStyle w:val="TableContents"/>
              <w:bidi w:val="0"/>
              <w:spacing w:before="0" w:after="1"/>
              <w:ind w:left="0" w:right="0" w:hanging="0"/>
              <w:jc w:val="left"/>
              <w:rPr/>
            </w:pPr>
            <w:r>
              <w:rPr/>
              <w:t>​</w:t>
            </w:r>
          </w:p>
        </w:tc>
        <w:tc>
          <w:tcPr>
            <w:tcW w:w="114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Compensation</w:t>
            </w:r>
          </w:p>
        </w:tc>
        <w:tc>
          <w:tcPr>
            <w:tcW w:w="346" w:type="dxa"/>
            <w:tcBorders/>
            <w:vAlign w:val="center"/>
          </w:tcPr>
          <w:p>
            <w:pPr>
              <w:pStyle w:val="TableContents"/>
              <w:bidi w:val="0"/>
              <w:spacing w:before="0" w:after="1"/>
              <w:ind w:left="0" w:right="0" w:hanging="0"/>
              <w:jc w:val="left"/>
              <w:rPr/>
            </w:pPr>
            <w:r>
              <w:rPr/>
              <w:t>​</w:t>
            </w:r>
          </w:p>
        </w:tc>
        <w:tc>
          <w:tcPr>
            <w:tcW w:w="9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95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1"/>
              <w:ind w:left="0" w:right="0" w:hanging="0"/>
              <w:jc w:val="left"/>
              <w:rPr/>
            </w:pPr>
            <w:r>
              <w:rPr/>
              <w:t>  ​ ​ ​</w:t>
            </w:r>
          </w:p>
        </w:tc>
        <w:tc>
          <w:tcPr>
            <w:tcW w:w="8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7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8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(1)</w:t>
            </w:r>
          </w:p>
        </w:tc>
        <w:tc>
          <w:tcPr>
            <w:tcW w:w="346" w:type="dxa"/>
            <w:tcBorders/>
            <w:vAlign w:val="center"/>
          </w:tcPr>
          <w:p>
            <w:pPr>
              <w:pStyle w:val="TableContents"/>
              <w:bidi w:val="0"/>
              <w:spacing w:before="0" w:after="1"/>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116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11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9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95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Kathleen Q. Abernathy</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75,500</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5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56,448</w:t>
            </w:r>
          </w:p>
        </w:tc>
        <w:tc>
          <w:tcPr>
            <w:tcW w:w="346"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131,948</w:t>
            </w:r>
          </w:p>
        </w:tc>
      </w:tr>
      <w:tr>
        <w:trPr/>
        <w:tc>
          <w:tcPr>
            <w:tcW w:w="95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George R. Brokaw</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74,500</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5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56,448</w:t>
            </w:r>
          </w:p>
        </w:tc>
        <w:tc>
          <w:tcPr>
            <w:tcW w:w="346"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8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130,948</w:t>
            </w:r>
          </w:p>
        </w:tc>
      </w:tr>
      <w:tr>
        <w:trPr/>
        <w:tc>
          <w:tcPr>
            <w:tcW w:w="95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Stephen J. Bye</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69,000</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5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56,448</w:t>
            </w:r>
          </w:p>
        </w:tc>
        <w:tc>
          <w:tcPr>
            <w:tcW w:w="346"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125,448</w:t>
            </w:r>
          </w:p>
        </w:tc>
      </w:tr>
      <w:tr>
        <w:trPr/>
        <w:tc>
          <w:tcPr>
            <w:tcW w:w="95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 Stanton Dodge</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75,500</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5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56,448</w:t>
            </w:r>
          </w:p>
        </w:tc>
        <w:tc>
          <w:tcPr>
            <w:tcW w:w="346"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8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131,948</w:t>
            </w:r>
          </w:p>
        </w:tc>
      </w:tr>
      <w:tr>
        <w:trPr/>
        <w:tc>
          <w:tcPr>
            <w:tcW w:w="95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Lisa W. Hershman</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68,500</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5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56,448</w:t>
            </w:r>
          </w:p>
        </w:tc>
        <w:tc>
          <w:tcPr>
            <w:tcW w:w="346"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124,948</w:t>
            </w:r>
          </w:p>
        </w:tc>
      </w:tr>
      <w:tr>
        <w:trPr/>
        <w:tc>
          <w:tcPr>
            <w:tcW w:w="95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Tom A. Ortolf</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70,500</w:t>
            </w:r>
          </w:p>
        </w:tc>
        <w:tc>
          <w:tcPr>
            <w:tcW w:w="346" w:type="dxa"/>
            <w:tcBorders/>
            <w:vAlign w:val="center"/>
          </w:tcPr>
          <w:p>
            <w:pPr>
              <w:pStyle w:val="TableContents"/>
              <w:bidi w:val="0"/>
              <w:spacing w:before="0" w:after="1"/>
              <w:ind w:left="0" w:right="0" w:hanging="0"/>
              <w:jc w:val="left"/>
              <w:rPr/>
            </w:pPr>
            <w:r>
              <w:rPr/>
              <w:t>​</w:t>
            </w:r>
          </w:p>
        </w:tc>
        <w:tc>
          <w:tcPr>
            <w:tcW w:w="25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5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56,448</w:t>
            </w:r>
          </w:p>
        </w:tc>
        <w:tc>
          <w:tcPr>
            <w:tcW w:w="346"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88"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2"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126,948</w:t>
            </w:r>
          </w:p>
        </w:tc>
      </w:tr>
      <w:tr>
        <w:trPr/>
        <w:tc>
          <w:tcPr>
            <w:tcW w:w="95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William D. Wade</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71,500</w:t>
            </w:r>
          </w:p>
        </w:tc>
        <w:tc>
          <w:tcPr>
            <w:tcW w:w="346" w:type="dxa"/>
            <w:tcBorders/>
            <w:shd w:fill="CCEEFF" w:val="clear"/>
            <w:vAlign w:val="center"/>
          </w:tcPr>
          <w:p>
            <w:pPr>
              <w:pStyle w:val="TableContents"/>
              <w:bidi w:val="0"/>
              <w:spacing w:before="0" w:after="1"/>
              <w:ind w:left="0" w:right="0" w:hanging="0"/>
              <w:jc w:val="left"/>
              <w:rPr/>
            </w:pPr>
            <w:r>
              <w:rPr/>
              <w:t>​</w:t>
            </w:r>
          </w:p>
        </w:tc>
        <w:tc>
          <w:tcPr>
            <w:tcW w:w="25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5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3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56,448</w:t>
            </w:r>
          </w:p>
        </w:tc>
        <w:tc>
          <w:tcPr>
            <w:tcW w:w="346"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8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2"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2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89" w:type="dxa"/>
            <w:tcBorders/>
            <w:shd w:fill="CCEEFF" w:val="clear"/>
            <w:vAlign w:val="center"/>
          </w:tcPr>
          <w:p>
            <w:pPr>
              <w:pStyle w:val="TableContents"/>
              <w:bidi w:val="0"/>
              <w:spacing w:before="0" w:after="1"/>
              <w:ind w:left="0" w:right="48" w:hanging="0"/>
              <w:jc w:val="right"/>
              <w:rPr>
                <w:rFonts w:ascii="Times New Roman;Times;serif" w:hAnsi="Times New Roman;Times;serif"/>
                <w:sz w:val="16"/>
              </w:rPr>
            </w:pPr>
            <w:r>
              <w:rPr>
                <w:rFonts w:ascii="Times New Roman;Times;serif" w:hAnsi="Times New Roman;Times;serif"/>
                <w:sz w:val="16"/>
              </w:rPr>
              <w:t>127,948</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91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amounts reported in the “Option Awards” column reflect the aggregate grant date fair values in accordance with FASB ASC Topic 718. Assumptions used in the calculation of these amounts are included in Note 14 to the Corporation’s audited financial statements for the fiscal year ended December 31, 2025, included in the Corporation’s Annual Report on Form 10-K filed with the SEC on March 2, 2026 (the “2025 Form 10-K”). Pursuant to our Director Plans (as defined below), each of our non-employee directors were granted an option to acquire 5,000 Class A Shares on April 1, 2025 at an exercise price of $25.19. All of these options were 100% vested upon issuance.</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Incentive Compensation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Non-Employee Director Stock Option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2008, we adopted our Amended and Restated 2008 Non-Employee Director Stock Option Plan (the “2008 Director Plan”), pursuant to which we have granted options to our non-employee directors. In 2017, we adopted our 2017 Non-Employee Director Stock Incentive Plan, and amended it in 2021 to increase the amount of shares of our common stock available for issuance (as amended, the “2017 Director Plan”), pursuant to which we have granted and continue to grant options and other equity awards to our non-employee directors. We have not granted any options under the 2008 Director Plan after May 2, 2017. In connection with the closing of the Merger, we assumed the existing Amended and Restated DISH Network Corporation 2001 Nonemployee Director Stock Option Plan (the “DISH Director Plan”) and reserved additional shares of our common stock in connection with future issuances under that plan. We refer to our 2008 Director Plan and 2017 Director Plan, and the DISH Director Plan, as the “Director Plans.”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purpose of the Director Plans, among other things, is to advance our interests through the motivation, attraction and retention of highly-qualified non-employee directors. Upon initial election or appointment to our Board of Directors as a non-employee director, our non-employee directors are granted a fully vested option to acquire 10,000 Class A Shares with a grant date on the first day of the calendar quarter following the quarter in which such person initially is elected or appointed to the Board of Directors. In our discretion, we may also grant non-employee directors further options to acquire our Class A Shares or other equity awards. Options we have granted under our Director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Plans are 100% vested upon issuance and have a term of five years. As of December 31, 2025, a total of 599,662 Class A Shares were available for issuance under our Director Plans.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options were granted to our non-employee directors pursuant to the Director Plans and were outstanding as of December 31, 2025:</w:t>
      </w:r>
    </w:p>
    <w:p>
      <w:pPr>
        <w:pStyle w:val="TextBody"/>
        <w:bidi w:val="0"/>
        <w:spacing w:before="0" w:after="240"/>
        <w:ind w:left="0" w:right="0" w:hanging="0"/>
        <w:jc w:val="both"/>
        <w:rPr/>
      </w:pPr>
      <w:r>
        <w:rPr/>
        <w:t>​</w:t>
      </w:r>
    </w:p>
    <w:tbl>
      <w:tblPr>
        <w:tblW w:w="7236" w:type="dxa"/>
        <w:jc w:val="left"/>
        <w:tblInd w:w="0" w:type="dxa"/>
        <w:tblLayout w:type="fixed"/>
        <w:tblCellMar>
          <w:top w:w="0" w:type="dxa"/>
          <w:left w:w="0" w:type="dxa"/>
          <w:bottom w:w="0" w:type="dxa"/>
          <w:right w:w="0" w:type="dxa"/>
        </w:tblCellMar>
      </w:tblPr>
      <w:tblGrid>
        <w:gridCol w:w="3556"/>
        <w:gridCol w:w="346"/>
        <w:gridCol w:w="976"/>
        <w:gridCol w:w="346"/>
        <w:gridCol w:w="204"/>
        <w:gridCol w:w="531"/>
        <w:gridCol w:w="346"/>
        <w:gridCol w:w="931"/>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258060" cy="175260"/>
                      <wp:effectExtent l="0" t="0" r="0" b="0"/>
                      <wp:wrapNone/>
                      <wp:docPr id="38" name="Frame34"/>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39"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19760" cy="175260"/>
                      <wp:effectExtent l="0" t="0" r="0" b="0"/>
                      <wp:wrapNone/>
                      <wp:docPr id="40" name="Frame3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1"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9540" cy="175260"/>
                      <wp:effectExtent l="0" t="0" r="0" b="0"/>
                      <wp:wrapNone/>
                      <wp:docPr id="42" name="Frame38"/>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37185" cy="175260"/>
                      <wp:effectExtent l="0" t="0" r="0" b="0"/>
                      <wp:wrapNone/>
                      <wp:docPr id="43" name="Frame39"/>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44"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91185" cy="175260"/>
                      <wp:effectExtent l="0" t="0" r="0" b="0"/>
                      <wp:wrapNone/>
                      <wp:docPr id="45" name="Frame4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334" w:type="dxa"/>
            <w:gridSpan w:val="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 Awards</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Number of </w:t>
            </w:r>
          </w:p>
        </w:tc>
        <w:tc>
          <w:tcPr>
            <w:tcW w:w="346" w:type="dxa"/>
            <w:tcBorders/>
            <w:vAlign w:val="center"/>
          </w:tcPr>
          <w:p>
            <w:pPr>
              <w:pStyle w:val="TableContents"/>
              <w:bidi w:val="0"/>
              <w:spacing w:before="0" w:after="1"/>
              <w:ind w:left="0" w:right="0" w:hanging="0"/>
              <w:jc w:val="center"/>
              <w:rPr/>
            </w:pPr>
            <w:r>
              <w:rPr/>
              <w:t>​</w:t>
            </w:r>
          </w:p>
        </w:tc>
        <w:tc>
          <w:tcPr>
            <w:tcW w:w="204" w:type="dxa"/>
            <w:tcBorders/>
            <w:vAlign w:val="center"/>
          </w:tcPr>
          <w:p>
            <w:pPr>
              <w:pStyle w:val="TableContents"/>
              <w:bidi w:val="0"/>
              <w:spacing w:before="0" w:after="1"/>
              <w:ind w:left="0" w:right="0" w:hanging="0"/>
              <w:jc w:val="center"/>
              <w:rPr/>
            </w:pPr>
            <w:r>
              <w:rPr/>
              <w:t>​</w:t>
            </w:r>
          </w:p>
        </w:tc>
        <w:tc>
          <w:tcPr>
            <w:tcW w:w="5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Securities</w:t>
            </w:r>
          </w:p>
        </w:tc>
        <w:tc>
          <w:tcPr>
            <w:tcW w:w="346" w:type="dxa"/>
            <w:tcBorders/>
            <w:vAlign w:val="center"/>
          </w:tcPr>
          <w:p>
            <w:pPr>
              <w:pStyle w:val="TableContents"/>
              <w:bidi w:val="0"/>
              <w:spacing w:before="0" w:after="1"/>
              <w:ind w:left="0" w:right="0" w:hanging="0"/>
              <w:jc w:val="center"/>
              <w:rPr/>
            </w:pPr>
            <w:r>
              <w:rPr/>
              <w:t>​</w:t>
            </w:r>
          </w:p>
        </w:tc>
        <w:tc>
          <w:tcPr>
            <w:tcW w:w="204" w:type="dxa"/>
            <w:tcBorders/>
            <w:vAlign w:val="center"/>
          </w:tcPr>
          <w:p>
            <w:pPr>
              <w:pStyle w:val="TableContents"/>
              <w:bidi w:val="0"/>
              <w:spacing w:before="0" w:after="1"/>
              <w:ind w:left="0" w:right="0" w:hanging="0"/>
              <w:jc w:val="center"/>
              <w:rPr/>
            </w:pPr>
            <w:r>
              <w:rPr/>
              <w:t>​</w:t>
            </w:r>
          </w:p>
        </w:tc>
        <w:tc>
          <w:tcPr>
            <w:tcW w:w="5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Underlying </w:t>
            </w:r>
          </w:p>
        </w:tc>
        <w:tc>
          <w:tcPr>
            <w:tcW w:w="346" w:type="dxa"/>
            <w:tcBorders/>
            <w:vAlign w:val="center"/>
          </w:tcPr>
          <w:p>
            <w:pPr>
              <w:pStyle w:val="TableContents"/>
              <w:bidi w:val="0"/>
              <w:spacing w:before="0" w:after="1"/>
              <w:ind w:left="0" w:right="0" w:hanging="0"/>
              <w:jc w:val="center"/>
              <w:rPr/>
            </w:pPr>
            <w:r>
              <w:rPr/>
              <w:t>​</w:t>
            </w:r>
          </w:p>
        </w:tc>
        <w:tc>
          <w:tcPr>
            <w:tcW w:w="204" w:type="dxa"/>
            <w:tcBorders/>
            <w:vAlign w:val="center"/>
          </w:tcPr>
          <w:p>
            <w:pPr>
              <w:pStyle w:val="TableContents"/>
              <w:bidi w:val="0"/>
              <w:spacing w:before="0" w:after="1"/>
              <w:ind w:left="0" w:right="0" w:hanging="0"/>
              <w:jc w:val="center"/>
              <w:rPr/>
            </w:pPr>
            <w:r>
              <w:rPr/>
              <w:t>​</w:t>
            </w:r>
          </w:p>
        </w:tc>
        <w:tc>
          <w:tcPr>
            <w:tcW w:w="5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Unexercised</w:t>
            </w:r>
          </w:p>
        </w:tc>
        <w:tc>
          <w:tcPr>
            <w:tcW w:w="346" w:type="dxa"/>
            <w:tcBorders/>
            <w:vAlign w:val="center"/>
          </w:tcPr>
          <w:p>
            <w:pPr>
              <w:pStyle w:val="TableContents"/>
              <w:bidi w:val="0"/>
              <w:spacing w:before="0" w:after="1"/>
              <w:ind w:left="0" w:right="0" w:hanging="0"/>
              <w:jc w:val="center"/>
              <w:rPr/>
            </w:pPr>
            <w:r>
              <w:rPr/>
              <w:t>​</w:t>
            </w:r>
          </w:p>
        </w:tc>
        <w:tc>
          <w:tcPr>
            <w:tcW w:w="204" w:type="dxa"/>
            <w:tcBorders/>
            <w:vAlign w:val="center"/>
          </w:tcPr>
          <w:p>
            <w:pPr>
              <w:pStyle w:val="TableContents"/>
              <w:bidi w:val="0"/>
              <w:spacing w:before="0" w:after="1"/>
              <w:ind w:left="0" w:right="0" w:hanging="0"/>
              <w:jc w:val="center"/>
              <w:rPr/>
            </w:pPr>
            <w:r>
              <w:rPr/>
              <w:t>​</w:t>
            </w:r>
          </w:p>
        </w:tc>
        <w:tc>
          <w:tcPr>
            <w:tcW w:w="5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before="0" w:after="1"/>
              <w:ind w:left="0" w:right="0" w:hanging="0"/>
              <w:jc w:val="center"/>
              <w:rPr/>
            </w:pPr>
            <w:r>
              <w:rPr/>
              <w:t>​</w:t>
            </w:r>
          </w:p>
        </w:tc>
        <w:tc>
          <w:tcPr>
            <w:tcW w:w="7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Exercisable</w:t>
            </w:r>
          </w:p>
        </w:tc>
        <w:tc>
          <w:tcPr>
            <w:tcW w:w="346" w:type="dxa"/>
            <w:tcBorders/>
            <w:vAlign w:val="center"/>
          </w:tcPr>
          <w:p>
            <w:pPr>
              <w:pStyle w:val="TableContents"/>
              <w:bidi w:val="0"/>
              <w:spacing w:before="0" w:after="1"/>
              <w:ind w:left="0" w:right="0" w:hanging="0"/>
              <w:jc w:val="center"/>
              <w:rPr/>
            </w:pPr>
            <w:r>
              <w:rPr/>
              <w:t>​</w:t>
            </w:r>
          </w:p>
        </w:tc>
        <w:tc>
          <w:tcPr>
            <w:tcW w:w="73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Expiration</w:t>
            </w:r>
          </w:p>
        </w:tc>
      </w:tr>
      <w:tr>
        <w:trPr/>
        <w:tc>
          <w:tcPr>
            <w:tcW w:w="35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1"/>
              <w:ind w:left="0" w:right="0" w:hanging="0"/>
              <w:jc w:val="left"/>
              <w:rPr/>
            </w:pPr>
            <w:r>
              <w:rPr/>
              <w:t>  ​ ​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(1)</w:t>
            </w:r>
          </w:p>
        </w:tc>
        <w:tc>
          <w:tcPr>
            <w:tcW w:w="346" w:type="dxa"/>
            <w:tcBorders/>
            <w:vAlign w:val="center"/>
          </w:tcPr>
          <w:p>
            <w:pPr>
              <w:pStyle w:val="TableContents"/>
              <w:bidi w:val="0"/>
              <w:spacing w:before="0" w:after="1"/>
              <w:ind w:left="0" w:right="0" w:hanging="0"/>
              <w:jc w:val="left"/>
              <w:rPr/>
            </w:pPr>
            <w:r>
              <w:rPr/>
              <w:t>  ​ ​ ​</w:t>
            </w:r>
          </w:p>
        </w:tc>
        <w:tc>
          <w:tcPr>
            <w:tcW w:w="7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 ($)</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Kathleen Q. Abernathy</w:t>
            </w:r>
          </w:p>
        </w:tc>
        <w:tc>
          <w:tcPr>
            <w:tcW w:w="346" w:type="dxa"/>
            <w:tcBorders/>
            <w:shd w:fill="CCEEFF" w:val="clear"/>
            <w:vAlign w:val="center"/>
          </w:tcPr>
          <w:p>
            <w:pPr>
              <w:pStyle w:val="TableContents"/>
              <w:bidi w:val="0"/>
              <w:spacing w:before="0" w:after="1"/>
              <w:ind w:left="0" w:right="0" w:hanging="0"/>
              <w:jc w:val="center"/>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1,754</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92.46</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01/01/27</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Total Options Outstanding at December 31, 2025</w:t>
            </w:r>
          </w:p>
        </w:tc>
        <w:tc>
          <w:tcPr>
            <w:tcW w:w="346" w:type="dxa"/>
            <w:tcBorders/>
            <w:vAlign w:val="center"/>
          </w:tcPr>
          <w:p>
            <w:pPr>
              <w:pStyle w:val="TableContents"/>
              <w:bidi w:val="0"/>
              <w:spacing w:before="0" w:after="1"/>
              <w:ind w:left="0" w:right="0" w:hanging="0"/>
              <w:jc w:val="right"/>
              <w:rPr/>
            </w:pPr>
            <w:r>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1,754</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35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9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931" w:type="dxa"/>
            <w:tcBorders/>
            <w:shd w:fill="CCEEFF" w:val="clear"/>
            <w:vAlign w:val="center"/>
          </w:tcPr>
          <w:p>
            <w:pPr>
              <w:pStyle w:val="TableContents"/>
              <w:bidi w:val="0"/>
              <w:spacing w:before="0" w:after="1"/>
              <w:ind w:left="0" w:right="0" w:hanging="0"/>
              <w:jc w:val="center"/>
              <w:rPr/>
            </w:pPr>
            <w:r>
              <w:rPr/>
              <w:t>​</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George R.Brokaw</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1,754</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92.46</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01/01/27</w:t>
            </w:r>
          </w:p>
        </w:tc>
      </w:tr>
      <w:tr>
        <w:trPr/>
        <w:tc>
          <w:tcPr>
            <w:tcW w:w="35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1,754</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40.02</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01/01/28</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14.04</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04/01/29</w:t>
            </w:r>
          </w:p>
        </w:tc>
      </w:tr>
      <w:tr>
        <w:trPr/>
        <w:tc>
          <w:tcPr>
            <w:tcW w:w="35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25.19</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04/01/30</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Total Options Outstanding at December 31, 2025</w:t>
            </w:r>
          </w:p>
        </w:tc>
        <w:tc>
          <w:tcPr>
            <w:tcW w:w="346" w:type="dxa"/>
            <w:tcBorders/>
            <w:vAlign w:val="center"/>
          </w:tcPr>
          <w:p>
            <w:pPr>
              <w:pStyle w:val="TableContents"/>
              <w:bidi w:val="0"/>
              <w:spacing w:before="0" w:after="1"/>
              <w:ind w:left="0" w:right="0" w:hanging="0"/>
              <w:jc w:val="right"/>
              <w:rPr/>
            </w:pPr>
            <w:r>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18,508</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35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9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931" w:type="dxa"/>
            <w:tcBorders/>
            <w:shd w:fill="CCEEFF" w:val="clear"/>
            <w:vAlign w:val="center"/>
          </w:tcPr>
          <w:p>
            <w:pPr>
              <w:pStyle w:val="TableContents"/>
              <w:bidi w:val="0"/>
              <w:spacing w:before="0" w:after="1"/>
              <w:ind w:left="0" w:right="0" w:hanging="0"/>
              <w:jc w:val="center"/>
              <w:rPr/>
            </w:pPr>
            <w:r>
              <w:rPr/>
              <w:t>​</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Stephen J. Bye</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3,508</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26.60</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04/01/28</w:t>
            </w:r>
          </w:p>
        </w:tc>
      </w:tr>
      <w:tr>
        <w:trPr/>
        <w:tc>
          <w:tcPr>
            <w:tcW w:w="35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14.04</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04/01/29</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25.19</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04/01/30</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Total Options Outstanding at December 31, 2025</w:t>
            </w:r>
          </w:p>
        </w:tc>
        <w:tc>
          <w:tcPr>
            <w:tcW w:w="346" w:type="dxa"/>
            <w:tcBorders/>
            <w:shd w:fill="CCEEFF" w:val="clear"/>
            <w:vAlign w:val="center"/>
          </w:tcPr>
          <w:p>
            <w:pPr>
              <w:pStyle w:val="TableContents"/>
              <w:bidi w:val="0"/>
              <w:spacing w:before="0" w:after="1"/>
              <w:ind w:left="0" w:right="0" w:hanging="0"/>
              <w:jc w:val="righ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18,508</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 Stanton Dodge</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24.49</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07/01/26</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19.61</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07/01/27</w:t>
            </w:r>
          </w:p>
        </w:tc>
      </w:tr>
      <w:tr>
        <w:trPr/>
        <w:tc>
          <w:tcPr>
            <w:tcW w:w="35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17.34</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07/01/28</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14.04</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04/01/29</w:t>
            </w:r>
          </w:p>
        </w:tc>
      </w:tr>
      <w:tr>
        <w:trPr/>
        <w:tc>
          <w:tcPr>
            <w:tcW w:w="35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25.19</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04/01/30</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Total Options Outstanding at December 31, 2025</w:t>
            </w:r>
          </w:p>
        </w:tc>
        <w:tc>
          <w:tcPr>
            <w:tcW w:w="346" w:type="dxa"/>
            <w:tcBorders/>
            <w:vAlign w:val="center"/>
          </w:tcPr>
          <w:p>
            <w:pPr>
              <w:pStyle w:val="TableContents"/>
              <w:bidi w:val="0"/>
              <w:spacing w:before="0" w:after="1"/>
              <w:ind w:left="0" w:right="0" w:hanging="0"/>
              <w:jc w:val="right"/>
              <w:rPr/>
            </w:pPr>
            <w:r>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30,000</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35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Lisa W. Hershman</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24.49</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07/01/26</w:t>
            </w:r>
          </w:p>
        </w:tc>
      </w:tr>
      <w:tr>
        <w:trPr/>
        <w:tc>
          <w:tcPr>
            <w:tcW w:w="35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19.61</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07/01/27</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17.34</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07/01/28</w:t>
            </w:r>
          </w:p>
        </w:tc>
      </w:tr>
      <w:tr>
        <w:trPr/>
        <w:tc>
          <w:tcPr>
            <w:tcW w:w="35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14.04</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04/01/29</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25.19</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04/01/30</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Total Options Outstanding at December 31, 2025</w:t>
            </w:r>
          </w:p>
        </w:tc>
        <w:tc>
          <w:tcPr>
            <w:tcW w:w="346" w:type="dxa"/>
            <w:tcBorders/>
            <w:shd w:fill="CCEEFF" w:val="clear"/>
            <w:vAlign w:val="center"/>
          </w:tcPr>
          <w:p>
            <w:pPr>
              <w:pStyle w:val="TableContents"/>
              <w:bidi w:val="0"/>
              <w:spacing w:before="0" w:after="1"/>
              <w:ind w:left="0" w:right="0" w:hanging="0"/>
              <w:jc w:val="righ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35,000</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Tom A. Ortolf</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1,754</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92.46</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01/01/27</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1,754</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40.02</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01/01/28</w:t>
            </w:r>
          </w:p>
        </w:tc>
      </w:tr>
      <w:tr>
        <w:trPr/>
        <w:tc>
          <w:tcPr>
            <w:tcW w:w="35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14.04</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04/01/29</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25.19</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04/01/30</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Total Options Outstanding at December 31, 2025</w:t>
            </w:r>
          </w:p>
        </w:tc>
        <w:tc>
          <w:tcPr>
            <w:tcW w:w="346" w:type="dxa"/>
            <w:tcBorders/>
            <w:shd w:fill="CCEEFF" w:val="clear"/>
            <w:vAlign w:val="center"/>
          </w:tcPr>
          <w:p>
            <w:pPr>
              <w:pStyle w:val="TableContents"/>
              <w:bidi w:val="0"/>
              <w:spacing w:before="0" w:after="1"/>
              <w:ind w:left="0" w:right="0" w:hanging="0"/>
              <w:jc w:val="righ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18,508</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pPr>
            <w:r>
              <w:rPr/>
              <w:t>​</w:t>
            </w:r>
          </w:p>
        </w:tc>
        <w:tc>
          <w:tcPr>
            <w:tcW w:w="53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pPr>
            <w:r>
              <w:rPr/>
              <w:t>​</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r>
        <w:trPr/>
        <w:tc>
          <w:tcPr>
            <w:tcW w:w="355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William D. Wade</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24.49</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07/01/26</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19.61</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07/01/27</w:t>
            </w:r>
          </w:p>
        </w:tc>
      </w:tr>
      <w:tr>
        <w:trPr/>
        <w:tc>
          <w:tcPr>
            <w:tcW w:w="35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17.34</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07/01/28</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14.04</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04/01/29</w:t>
            </w:r>
          </w:p>
        </w:tc>
      </w:tr>
      <w:tr>
        <w:trPr/>
        <w:tc>
          <w:tcPr>
            <w:tcW w:w="35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5,000</w:t>
            </w:r>
          </w:p>
        </w:tc>
        <w:tc>
          <w:tcPr>
            <w:tcW w:w="346" w:type="dxa"/>
            <w:tcBorders/>
            <w:shd w:fill="CCEEFF" w:val="clear"/>
            <w:vAlign w:val="center"/>
          </w:tcPr>
          <w:p>
            <w:pPr>
              <w:pStyle w:val="TableContents"/>
              <w:bidi w:val="0"/>
              <w:spacing w:before="0" w:after="1"/>
              <w:ind w:left="0" w:right="0" w:hanging="0"/>
              <w:jc w:val="left"/>
              <w:rPr/>
            </w:pPr>
            <w:r>
              <w:rPr/>
              <w:t>​</w:t>
            </w:r>
          </w:p>
        </w:tc>
        <w:tc>
          <w:tcPr>
            <w:tcW w:w="20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5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25.19</w:t>
            </w:r>
          </w:p>
        </w:tc>
        <w:tc>
          <w:tcPr>
            <w:tcW w:w="34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04/01/30</w:t>
            </w:r>
          </w:p>
        </w:tc>
      </w:tr>
      <w:tr>
        <w:trPr/>
        <w:tc>
          <w:tcPr>
            <w:tcW w:w="3556" w:type="dxa"/>
            <w:tcBorders/>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Total Options Outstanding at December 31, 2025</w:t>
            </w:r>
          </w:p>
        </w:tc>
        <w:tc>
          <w:tcPr>
            <w:tcW w:w="346" w:type="dxa"/>
            <w:tcBorders/>
            <w:vAlign w:val="center"/>
          </w:tcPr>
          <w:p>
            <w:pPr>
              <w:pStyle w:val="TableContents"/>
              <w:bidi w:val="0"/>
              <w:spacing w:before="0" w:after="1"/>
              <w:ind w:left="0" w:right="0" w:hanging="0"/>
              <w:jc w:val="right"/>
              <w:rPr/>
            </w:pPr>
            <w:r>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30,000</w:t>
            </w:r>
          </w:p>
        </w:tc>
        <w:tc>
          <w:tcPr>
            <w:tcW w:w="346" w:type="dxa"/>
            <w:tcBorders/>
            <w:vAlign w:val="center"/>
          </w:tcPr>
          <w:p>
            <w:pPr>
              <w:pStyle w:val="TableContents"/>
              <w:bidi w:val="0"/>
              <w:spacing w:before="0" w:after="1"/>
              <w:ind w:left="0" w:right="0" w:hanging="0"/>
              <w:jc w:val="left"/>
              <w:rPr/>
            </w:pPr>
            <w:r>
              <w:rPr/>
              <w:t>​</w:t>
            </w:r>
          </w:p>
        </w:tc>
        <w:tc>
          <w:tcPr>
            <w:tcW w:w="204" w:type="dxa"/>
            <w:tcBorders/>
            <w:vAlign w:val="center"/>
          </w:tcPr>
          <w:p>
            <w:pPr>
              <w:pStyle w:val="TableContents"/>
              <w:bidi w:val="0"/>
              <w:spacing w:before="0" w:after="1"/>
              <w:ind w:left="0" w:right="0" w:hanging="0"/>
              <w:jc w:val="left"/>
              <w:rPr/>
            </w:pPr>
            <w:r>
              <w:rPr/>
              <w:t>​</w:t>
            </w:r>
          </w:p>
        </w:tc>
        <w:tc>
          <w:tcPr>
            <w:tcW w:w="5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74" w:name="CORPORATEGOVERNANCE_971342"/>
      <w:bookmarkStart w:id="75" w:name="_4be7624a_d8d2_48cd_bf2c_8a405d85dd88"/>
      <w:bookmarkEnd w:id="74"/>
      <w:bookmarkEnd w:id="75"/>
      <w:r>
        <w:rPr>
          <w:rFonts w:ascii="Times New Roman;Times;serif" w:hAnsi="Times New Roman;Times;serif"/>
          <w:b/>
          <w:sz w:val="20"/>
        </w:rPr>
        <w:t>CORPORATE GOVERNANCE</w:t>
      </w:r>
    </w:p>
    <w:p>
      <w:pPr>
        <w:pStyle w:val="TextBody"/>
        <w:bidi w:val="0"/>
        <w:spacing w:before="0" w:after="240"/>
        <w:ind w:left="0" w:right="0" w:hanging="0"/>
        <w:jc w:val="left"/>
        <w:rPr>
          <w:rFonts w:ascii="Times New Roman;Times;serif" w:hAnsi="Times New Roman;Times;serif"/>
          <w:b/>
          <w:sz w:val="20"/>
        </w:rPr>
      </w:pPr>
      <w:bookmarkStart w:id="76" w:name="BoardofDirectorsInformation_850946"/>
      <w:bookmarkEnd w:id="76"/>
      <w:r>
        <w:rPr>
          <w:rFonts w:ascii="Times New Roman;Times;serif" w:hAnsi="Times New Roman;Times;serif"/>
          <w:b/>
          <w:sz w:val="20"/>
        </w:rPr>
        <w:t>Board of Directors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Board of Directors held 11 meetings in 2025 and took action by unanimous written consent four times during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of our directors attended at least 75% of the aggregate of: (i) the total number of meetings of the Board held during the period in which he or she was a director; and (ii) the total number of meetings held by all committees of the Board on which he or she served. In addition, our non-employee directors held four executive sessions in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Directors are elected annually and serve until their successors are duly elected and qualified or their earlier resignation or removal.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Charles W. Ergen, our Chairman, and certain entities established for the benefit of his family beneficially own equity securities representing approximately 90.3% of the total voting power of all classes of our outstanding shares as of the Record Date, and through such beneficial ownership Mr. Ergen and such entities have the ability to elect a majority of our directors and to control all other matters requiring the approval of our shareholders. See “Equity Security Ownership and Related Matters” below. We are a “controlled company” within the meaning of Nasdaq rules. Therefore, we are not subject to the Nasdaq listing requirements that would otherwise require us to have:  (i) a Board of Directors composed of a majority of independent directors; (ii) a nominating committee composed solely of independent directors; (iii) compensation of our executive officers determined by a majority of the independent directors or a compensation committee composed solely of independent directors; (iv) a compensation committee charter that provides the compensation committee with the authority and funding to retain compensation consultants and other advisors; and/or (v) director nominees selected, or recommended for the Board’s selection, either by a majority of the independent directors or a nominating committee composed solely of independent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Amended Support Agreement (which was signed as part of the Merger), Mr. Ergen and certain related other Ergen stockholders have agreed not to vote, or cause or direct to be voted, the shares of EchoStar Class A common stock owned by them, other than with respect to any matter presented to the holders of EchoStar Class A common stock on which holders of EchoStar Class B common stock are not entitled to vote, for three years following the closing of the Merger. As a result, Mr. Ergen’s effective total voting power is approximately 89.4%.</w:t>
      </w:r>
    </w:p>
    <w:p>
      <w:pPr>
        <w:pStyle w:val="TextBody"/>
        <w:bidi w:val="0"/>
        <w:spacing w:before="0" w:after="240"/>
        <w:ind w:left="0" w:right="0" w:hanging="0"/>
        <w:jc w:val="left"/>
        <w:rPr>
          <w:rFonts w:ascii="Times New Roman;Times;serif" w:hAnsi="Times New Roman;Times;serif"/>
          <w:b/>
          <w:sz w:val="20"/>
        </w:rPr>
      </w:pPr>
      <w:bookmarkStart w:id="77" w:name="CommitteeInformation_599976"/>
      <w:bookmarkEnd w:id="77"/>
      <w:r>
        <w:rPr>
          <w:rFonts w:ascii="Times New Roman;Times;serif" w:hAnsi="Times New Roman;Times;serif"/>
          <w:b/>
          <w:sz w:val="20"/>
        </w:rPr>
        <w:t>Committee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has created an Executive Compensation Committee of the Board of Directors (the “Compensation Committee”), an Audit Committee of the Board of Directors (the “Audit Committee”) and a Nominating and Governance Committee of the Board of Directors (the “Nominating and Governance Committee”). The Compensation, Audit and Nominating and Governance Committees are composed entirely of independent directors under applicable rules. The function and authority of each of the committees of our Board of Directors is described below. The charters of our Compensation, Audit and Nominating and Governance Committees are available on our website at http://ir.echostar.com/corporate-governance.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Messrs. Bye and Wade and Mmes. Abernathy and Hershman have not been nominated by our Board for re-election as directors at the Annual Meeting. Accordingly, each will cease to serve as a member of any committee on which he or she serves when his or her term as a director expires at the Annual Meeting.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Executive Compensation Committee</w:t>
      </w:r>
      <w:r>
        <w:rPr>
          <w:rFonts w:ascii="Times New Roman;Times;serif" w:hAnsi="Times New Roman;Times;serif"/>
          <w:i/>
          <w:sz w:val="20"/>
        </w:rPr>
        <w:t xml:space="preserve">. </w:t>
      </w:r>
      <w:r>
        <w:rPr>
          <w:rFonts w:ascii="Times New Roman;Times;serif" w:hAnsi="Times New Roman;Times;serif"/>
          <w:sz w:val="20"/>
        </w:rPr>
        <w:t xml:space="preserve">The Compensation Committee operates under a charter adopted by the Board. The principal functions of the Compensation Committee are, to the extent the Board deems necessary or appropriate, to:  (i) make and approve all option grants and other issuances of EchoStar’s equity securities to EchoStar’s executive officers and Board members other than non-employee directors; (ii) approve all other option grants and issuances of EchoStar’s equity securities, and recommend that the full Board make and approve such grants and issuances; (iii) establish in writing all performance goals for performance-based compensation, which together with 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compensation to senior executive officers could exceed $1 million annually, other than standard stock incentive plan options that may be paid to EchoStar’s executive officers, and certify the achievement of such goals prior to payment; and (iv) set the compensation of our Chairman and CEO, Mr. Ergen.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Compensation Committee held six meetings and took action by unanimous written consent two times during 2025. The current members of the Compensation Committee are Ms. Abernathy, Mr. Brokaw, Mr. Dodge and Ms. Hershman, with Ms. Abernathy currently serving as Chair. The Board has determined that each member of the Compensation Committee meets applicable independence requirements. A report of the Compensation Committee is set forth below on page 37 of this Proxy Statement.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Audit Committee</w:t>
      </w:r>
      <w:r>
        <w:rPr>
          <w:rFonts w:ascii="Times New Roman;Times;serif" w:hAnsi="Times New Roman;Times;serif"/>
          <w:i/>
          <w:sz w:val="20"/>
        </w:rPr>
        <w:t xml:space="preserve">. </w:t>
      </w:r>
      <w:r>
        <w:rPr>
          <w:rFonts w:ascii="Times New Roman;Times;serif" w:hAnsi="Times New Roman;Times;serif"/>
          <w:sz w:val="20"/>
        </w:rPr>
        <w:t>Our Board has established a standing Audit Committee in accordance with Nasdaq rules and Section 10A of the Securities Exchange Act of 1934 (as amended, the “Exchange Act”) and related SEC rules and regulations. The Audit Committee operates under a charter adopted by the Board. The principal functions of the Audit Committee are to:  (i) select the independent registered public accounting firm and set their compensation; (ii) select the internal auditor and approve his or her compensation; (iii) review and approve management’s plan for engaging our independent registered public accounting firm during the year to perform non-audit services and consider what effect these services will have on the independence of our independent registered public accounting firm; (iv) review our annual financial statements and various other financial reports that require approval by the Board; (v) oversee the integrity of our financial statements, our systems of disclosure and internal controls, and compliance with legal and regulatory requirements; (vi) review and approve the scope of our independent registered public accounting firm’s audit plans and the results of their audits; (vii) evaluate the performance of our internal audit function and the independent registered public accounting firm; and (viii) review risk assessment and risk management policies and review contingent liabilities and risks that may be material to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Audit Committee held five meetings and did not take action by unanimous written consent during 2025. The current members of the Audit Committee are Mr. Brokaw, Ms. Hershman, Mr. Ortolf and Mr. Wade, with Mr. Brokaw currently serving as Chair. The Board has determined that each member of our Audit Committee meets applicable independence requirements. The Board has also determined that each member of our Audit Committee is financially literate and has designated Mr. Brokaw as our “audit committee financial expert” as defined by applicable SEC rules and regulations. A report of the Audit Committee is set forth below on page 45 of this Proxy Statement.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Nominating and Governance Committee</w:t>
      </w:r>
      <w:r>
        <w:rPr>
          <w:rFonts w:ascii="Times New Roman;Times;serif" w:hAnsi="Times New Roman;Times;serif"/>
          <w:i/>
          <w:sz w:val="20"/>
        </w:rPr>
        <w:t xml:space="preserve">. </w:t>
      </w:r>
      <w:r>
        <w:rPr>
          <w:rFonts w:ascii="Times New Roman;Times;serif" w:hAnsi="Times New Roman;Times;serif"/>
          <w:sz w:val="20"/>
        </w:rPr>
        <w:t>The Nominating and Governance Committee operates under a charter adopted by the Board. The principal function of the Nominating and Governance Committee is to identify, review and recommend independent director nominees for selection by the Board, to consider all director nominees in light of the entirety of their credentials, and to oversee EchoStar’s corporate governance. The Nominating and Governance Committee held two meetings and did not take action by unanimous written consent during 2025. The current members of the Nominating and Governance Committee are Ms. Abernathy, Mr. Dodge, Mr. Ortolf and Mr. Wade, with Mr. Dodge currently serving as Chair. The Board has determined that each member of the Nominating and Governance Committee meets applicable independence requirements.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8" w:name="BoardCriteriaandBoardSelectionProcess_42"/>
      <w:bookmarkEnd w:id="78"/>
      <w:r>
        <w:rPr>
          <w:rFonts w:ascii="Times New Roman;Times;serif" w:hAnsi="Times New Roman;Times;serif"/>
          <w:b/>
          <w:sz w:val="20"/>
        </w:rPr>
        <w:t>Board Criteria and Board Selection Process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Nominating and Governance Committee considers candidates suggested by its members, other directors, senior management, shareholders and others, as appropriate. No search firms or other advisors were retained to identify prospective director nominees during the past fiscal year. In considering whether to recommend prospective director nominees for selection by the Board, the Nominating and Governance Committee considers the entirety of the prospective nominees’ credentials, including, but not limited to, the following factors:  (i) their reputation and character; (ii) their ability and willingness to devote sufficient time to Board duties; (iii) their educational background; (iv) their business and professional achievements, experience and industry background; (v) as applicable, their independence from management under applicable listing standards and the Corporation’s governance guidelines; and (vi) the needs of the Board and the Corporation. We do not have a formal policy as it relates to diversity with respect to director nominations; however, the Nominating and Governance Committee’s practice is to seek diversity in experience, knowledge, viewpoints and abilities on the Board, recognizing that our business and operations are diverse and global in nature. The Nominating and Governance Committee does not assign specific weight to any particular criteria and no particular criterion is necessarily applicable to all prospective nominees. The Corporation believes, however, that the backgrounds and qualifications of the directors, considered as a group, should provide a diverse mix of experience, knowledge and abilities that will allow the Board to fulfill its responsibilities. The Nominating and Governance Committee recommends, if necessary, measures to be taken so that the Board reflects the appropriate balance of experience, knowledge and abilities required for the Board as a whole and contains at least the minimum number of independent directors required by applicable laws and regulations.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Nominating and Governance Committee has not adopted a written policy with respect to the consideration of candidates proposed by shareholders or others or with respect to nominating anyone to our Board other than independent directors. A shareholder who wishes to recommend a prospective nominee for the Board should notify the Corporation’s Secretary or any member of the Nominating and Governance Committee in writing, in accordance with the process described in “Shareholder Communications” below, with the information required to be provided pursuant to the Corporation’s bylaws and whatever supporting material the shareholder considers appropriate. The Nominating and Governance Committee will consider whether to nominate any person nominated by a shareholder pursuant to and in accordance with the provisions of the Corporation’s bylaws relating to shareholder nominations.</w:t>
      </w:r>
    </w:p>
    <w:p>
      <w:pPr>
        <w:pStyle w:val="TextBody"/>
        <w:pBdr/>
        <w:bidi w:val="0"/>
        <w:spacing w:before="0" w:after="0"/>
        <w:ind w:left="0" w:right="0" w:hanging="0"/>
        <w:jc w:val="left"/>
        <w:rPr>
          <w:rFonts w:ascii="Times New Roman;Times;serif" w:hAnsi="Times New Roman;Times;serif"/>
          <w:b/>
          <w:sz w:val="20"/>
        </w:rPr>
      </w:pPr>
      <w:bookmarkStart w:id="79" w:name="BoardLeadershipStructure_130189"/>
      <w:bookmarkEnd w:id="79"/>
      <w:r>
        <w:rPr>
          <w:rFonts w:ascii="Times New Roman;Times;serif" w:hAnsi="Times New Roman;Times;serif"/>
          <w:b/>
          <w:sz w:val="20"/>
        </w:rPr>
        <w:t>Board Leadership Structure</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From March 2022 until Mr. Hamid Akhavan’s appointment as Chief Executive Officer of the newly formed EchoStar Capital division effective November 6, 2025, the Board separated the role of Chairman of the Board from the role of Chief Executive Officer, with Mr. Charles W. Ergen serving as Chairman and Mr. Akhavan serving as President and Chief Executive Officer of the Corporation. Mr. Akhavan was responsible for the day-to-day management of the Corporation and played a significant role in the formulation and advancement of corporate strategy, and Mr. Ergen provided overall and strategic leadership to the Board. We believe this leadership structure was appropriate for the Corporation during this period, among other reasons, because separation of these roles allowed our Chief Executive Officer and other members of senior management to focus on our day-to-day business, while at the same time the Board was able to take advantage of the unique blend of leadership, experience and knowledge of our industry and business that Mr. Ergen brought to the role of Chairman in providing guidance to, and oversight of, management. Mr. Akhavan resigned from the Board and the Company effective July 6, 2026 after discussions with the Board regarding a change of strategic direction. </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Since Mr. Ergen succeeded Mr. Akhavan as President and Chief Executive Officer of EchoStar Corporation effective November 6, 2025, the Board currently combines the role of Chairman of the Board with the role of Chief Executive Officer, among other reasons, because of Mr. Ergen’s unique position and qualifications as our co-founder and controlling shareholder.  Mr. Ergen previously held the positions of Chairman and Chief Executive Officer of DISH prior to the Merger.  The Board believes that Mr. Ergen remains best situated to serve as Chairman, among other reasons, because he is the director most familiar with the Corporation’s business and industry and is also the person most capable of effectively identifying strategic priorities and leading the discussion and execution of strategy.  We believe that this leadership structure is appropriate for the Corporation, among other reasons, because it helps to ensure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clarity regarding leadership of the Corporation, allows the Corporation to speak with one voice and provides for the efficient operation of our Board process.  This structure also avoids potential confusion as to leadership roles and duplication of efforts that can result when the roles are separated.  Furthermore, in light of Mr. Ergen’s voting control and position with the Corporation, we believe that the creation of a lead independent director position is not necessary at this time.</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80" w:name="CodeofEthics_113991"/>
      <w:bookmarkEnd w:id="80"/>
      <w:r>
        <w:rPr>
          <w:rFonts w:ascii="Times New Roman;Times;serif" w:hAnsi="Times New Roman;Times;serif"/>
          <w:b/>
          <w:sz w:val="20"/>
        </w:rPr>
        <w:t xml:space="preserve">Code of Ethics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 code of ethics for financial reporting that sets forth our commitment to ethical business conduct and accurate and timely disclosure practices. Our code of ethics applies to our directors, officers and employees, including our Chief Executive Officer and Chief Financial Officer. Our code of ethics is available on the Corporate Governance page of our website at http://ir.echostar.com/corporate-governance and in print form from us without charge upon request by writing to Investor Relations at EchoStar Corporation, 9601 South Meridian Boulevard, Englewood, Colorado 80112.</w:t>
      </w:r>
    </w:p>
    <w:p>
      <w:pPr>
        <w:pStyle w:val="TextBody"/>
        <w:bidi w:val="0"/>
        <w:spacing w:before="0" w:after="0"/>
        <w:ind w:left="0" w:right="0" w:hanging="0"/>
        <w:jc w:val="left"/>
        <w:rPr>
          <w:rFonts w:ascii="Times New Roman;Times;serif" w:hAnsi="Times New Roman;Times;serif"/>
          <w:b/>
          <w:color w:val="222222"/>
          <w:sz w:val="20"/>
          <w:shd w:fill="FFFFFF" w:val="clear"/>
        </w:rPr>
      </w:pPr>
      <w:bookmarkStart w:id="81" w:name="InsiderTradingPolicyandHedging"/>
      <w:bookmarkEnd w:id="81"/>
      <w:r>
        <w:rPr>
          <w:rFonts w:ascii="Times New Roman;Times;serif" w:hAnsi="Times New Roman;Times;serif"/>
          <w:b/>
          <w:color w:val="222222"/>
          <w:sz w:val="20"/>
          <w:shd w:fill="FFFFFF" w:val="clear"/>
        </w:rPr>
        <w:t>Insider Trading Policy &amp; Hedging and Pledging Policies</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color w:val="222222"/>
          <w:sz w:val="20"/>
        </w:rPr>
      </w:pPr>
      <w:r>
        <w:rPr>
          <w:rFonts w:ascii="Times New Roman;Times;serif" w:hAnsi="Times New Roman;Times;serif"/>
          <w:color w:val="222222"/>
          <w:sz w:val="20"/>
        </w:rPr>
        <w:t>We have adopted insider trading policies and procedures (“Insider Trading Policy”) governing the purchase, sale and other disposition by directors, officers and employees of securities of EchoStar and its significant customers, partners, suppliers, competitors and other companies about which insiders may learn confidential information during the course of performing their duties for EchoStar (“Restricted Companies”). The Insider Trading Policy is designed to promote compliance with insider trading laws, rules and regulations and applicable Nasdaq listing standards, as well as procedures designed to further the foregoing purposes. The Insider Trading Policy provides that officers, directors and employees may not trade in: (i) securities of EchoStar if they are aware of material nonpublic information about EchoStar; and (ii) securities of any Restricted Company if they have obtained material nonpublic information about that company during the course of their EchoStar duties. Such persons also may not disclose material nonpublic information to any other person or recommend to anyone to trade any securities or refrain from trading any securities when aware of such information. Our Insider Trading Policy also provides that without prior General Counsel approval, no employee, officer or director may buy or sell put or call options, engage in short sales or engage in hedging transactions of the Company's securities. In addition, our Insider Trading Policy provides that no employee, officer or director may pledge Company securities as collateral to secure loans. This prohibition means, among other things, that these individuals may not hold Company securities in a “margin” account, which would allow the individual to borrow against their holdings to buy securities. Also, our Insider Trading Policy provides that directors, officers (as defined by Rule 16a-1(f) under the Securities Exchange Act of 1934, as amended) as well as certain employees notified by the company shall only execute trades in Company securities during an open trading window (as defined in the Company's Insider Trading Policy) or via a Rule 10b5-1 Plan. A copy of our Insider Trading Policy and Guidelines is attached as Exhibit 19 to our Annual Report on Form 10-K for the year ended December 31, 2025 filed with the SEC on March 2, 2026.</w:t>
      </w:r>
    </w:p>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b/>
          <w:sz w:val="20"/>
        </w:rPr>
      </w:pPr>
      <w:bookmarkStart w:id="82" w:name="PoliciesandPracticesforEquityGrants"/>
      <w:bookmarkEnd w:id="82"/>
      <w:r>
        <w:rPr>
          <w:rFonts w:ascii="Times New Roman;Times;serif" w:hAnsi="Times New Roman;Times;serif"/>
          <w:b/>
          <w:sz w:val="20"/>
        </w:rPr>
        <w:t>Policies and Practices Related to the Grant of Certain Equity Awards</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EchoStar generally awards equity incentives as of the first day of each calendar quarter and will set exercise prices at not less than the fair market value of Class A Shares on the date of grant or the last trading day prior to the date of grant (if the date of grant is not a trading day).  The Compensation Committee approves all equity award grants to our NEOs on or before the grant date.  The Compensation Committee’s general practice is to grant annual equity awards on October 1st of each year in consultation with management’s review of employee performance.  On occasion, the Compensation Committee may grant equity awards outside of our annual grant cycle for new hires, promotions, recognition, retention or other purposes. While the Compensation Committee has discretionary authority to grant equity awards to our NEOs outside of the cycle described above, it does not have a practice or policy of granting equity awards in anticipation of the release of material non-public information and, in any event, we do not time the release of material non-public information in coordination with grants of equity awards in a manner that intentionally benefits our NEOs.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3" w:name="TheBoardsRoleinRiskOversight_616136"/>
      <w:bookmarkEnd w:id="83"/>
      <w:r>
        <w:rPr>
          <w:rFonts w:ascii="Times New Roman;Times;serif" w:hAnsi="Times New Roman;Times;serif"/>
          <w:b/>
          <w:sz w:val="20"/>
        </w:rPr>
        <w:t>The Board’s Role in Risk Oversight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Board has ultimate responsibility for oversight of the Corporation’s risk management processes. The Board discharges this oversight responsibility itself or by using its committees through regular reports received from, and discussions with, senior management on areas of material risk exposure to the Corporation. These reports and Board or committee discussions include, among other things, operational, financial, legal, regulatory, physical, strategic, cybersecurity and human capital risks. Additionally, the Corporation’s risk management processes are intended to identify, manage and control risks so that they are appropriate considering the Corporation’s scope, operations and business objectives. The Board (or appropriate committee in the case of risks in areas for which responsibility has been delegated to or is handled by a particular committee) engages with the appropriate members of senior management to enable its members to understand and provide input to, and oversight of, our risk identification, risk management and risk mitigation strategies. The Audit Committee meets regularly in executive session without management present to, among other things, discuss the Corporation’s risk management culture and processes. As part of its charter, our Audit Committee is responsible for discussing the Corporation’s policies with respect to risk assessment and risk management, and reviewing contingent liabilities and risks that may be material to the Corporation. When a committee receives a report from a member of management regarding areas of risk, the chair of the relevant committee is expected to report on the discussion to the Board to the extent necessary or appropriate. This enables the Board to coordinate risk oversight, particularly with respect to interrelated or cumulative risks that may involve multiple areas for which more than one committee has responsibility. The Board and the Audit Committee also have authority to engage external advisors as necessary. A discussion of our risk assessment of compensation programs and practices is described in “Risk Assessment” in the Compensation Discussion and Analysis section on page 23 of this Proxy Statement.</w:t>
      </w:r>
    </w:p>
    <w:p>
      <w:pPr>
        <w:pStyle w:val="TextBody"/>
        <w:bidi w:val="0"/>
        <w:spacing w:before="0" w:after="240"/>
        <w:ind w:left="0" w:right="0" w:hanging="0"/>
        <w:jc w:val="left"/>
        <w:rPr>
          <w:rFonts w:ascii="Times New Roman;Times;serif" w:hAnsi="Times New Roman;Times;serif"/>
          <w:b/>
          <w:sz w:val="20"/>
        </w:rPr>
      </w:pPr>
      <w:bookmarkStart w:id="84" w:name="TheBoardsRoleinCybersecurityRiskOversigh"/>
      <w:bookmarkEnd w:id="84"/>
      <w:r>
        <w:rPr>
          <w:rFonts w:ascii="Times New Roman;Times;serif" w:hAnsi="Times New Roman;Times;serif"/>
          <w:b/>
          <w:sz w:val="20"/>
        </w:rPr>
        <w:t>The Board’s Role in Cybersecurity Risk Oversight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Cybersecurity risk management is an important focus of our Board. As part of its oversight of risk management, the Board is briefed at each of its meetings by the Corporation’s chief information security officer and other members of management and has met with third-party experts regarding cybersecurity and other security risks. With oversight from our Board, management regularly reviews and revises our relevant policies and procedures, invests in and maintains internal resources, personnel and systems and reviews, modifies and supplements our defenses through the use of various services, programs and outside vendors, among other things. We also maintain agreements with certain third-party vendors and experts to assist in our remediation and mitigation efforts if we experience or identify a material incident or threat.</w:t>
      </w:r>
    </w:p>
    <w:p>
      <w:pPr>
        <w:pStyle w:val="TextBody"/>
        <w:bidi w:val="0"/>
        <w:spacing w:before="0" w:after="240"/>
        <w:ind w:left="0" w:right="0" w:hanging="0"/>
        <w:jc w:val="left"/>
        <w:rPr>
          <w:rFonts w:ascii="Times New Roman;Times;serif" w:hAnsi="Times New Roman;Times;serif"/>
          <w:b/>
          <w:sz w:val="20"/>
        </w:rPr>
      </w:pPr>
      <w:bookmarkStart w:id="85" w:name="OtherInformationaboutOurBoardofDirectors"/>
      <w:bookmarkEnd w:id="85"/>
      <w:r>
        <w:rPr>
          <w:rFonts w:ascii="Times New Roman;Times;serif" w:hAnsi="Times New Roman;Times;serif"/>
          <w:b/>
          <w:sz w:val="20"/>
        </w:rPr>
        <w:t>Other Information about Our Board of Directors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Compensation Committee Interlocks and Insider Participation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Compensation Committee is composed solely of directors who meet the applicable independence and non-employee director requirements of Nasdaq and SEC rules and regulations. The current Compensation Committee members are Kathleen Q. Abernathy, George R. Brokaw, R. Stanton Dodge and Lisa W. Hershman. None of these individuals were an officer or employee of EchoStar or our subsidiaries at any time during the 2025 fiscal year. During the 2025 fiscal year, no executive officer of EchoStar served on:  (i) the compensation committee of another entity, one of whose executive officers served on our Compensation Committee; (ii) the board of directors of another entity, one of whose executive officers served on our Compensation Committee; or (iii) the compensation committee of another entity, one of whose executive officers served on our Board of Directors.  From October 2007 to November 2011, Mr. Dodge served as our Executive Vice President, General Counsel and Secretary pursuant to a management services agreement between DISH and EchoStar that was entered into in connection with the spin-off of EchoStar from DISH in 2008.  </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Annual Meeting Attendance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Although we do not have a policy with regard to Board members’ attendance at our annual meetings of shareholders, all of our directors are encouraged to attend such meetings. All ten of our directors attended our 2025 Annual Meeting of Shareholders held on May 2, 2025.</w:t>
      </w:r>
    </w:p>
    <w:p>
      <w:pPr>
        <w:pStyle w:val="TextBody"/>
        <w:bidi w:val="0"/>
        <w:spacing w:before="0" w:after="240"/>
        <w:ind w:left="0" w:right="0" w:hanging="0"/>
        <w:jc w:val="center"/>
        <w:rPr>
          <w:rFonts w:ascii="Times New Roman;Times;serif" w:hAnsi="Times New Roman;Times;serif"/>
          <w:b/>
          <w:sz w:val="20"/>
        </w:rPr>
      </w:pPr>
      <w:bookmarkStart w:id="86" w:name="INFORMATIONREGARDINGCEOPAYRATIO_874548"/>
      <w:bookmarkStart w:id="87" w:name="_cf770d1e_16f2_441a_8312_5a6edb07d02a"/>
      <w:bookmarkEnd w:id="86"/>
      <w:bookmarkEnd w:id="87"/>
      <w:r>
        <w:rPr>
          <w:rFonts w:ascii="Times New Roman;Times;serif" w:hAnsi="Times New Roman;Times;serif"/>
          <w:b/>
          <w:sz w:val="20"/>
        </w:rPr>
        <w:t>INFORMATION REGARDING CEO PAY RATIO</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The pay ratio rules under the Dodd-Frank Wall Street Reform and Consumer Protection Act and related regulations (the “Pay Ratio Rules”) require us to provide the following information about the relationship of the median annual total compensation of our employees and the annual total compensation of our Chief Executive Officer. Pursuant to Item 402(u) of Regulation S-K and Section 953(b) of the Dodd-Frank Act, presented below is the ratio of the annual total compensation of Mr. Ergen (who served as CEO on our determination date of December 31, 2025) to the annual total compensation of our median employee.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2025, our last completed fiscal year, the median of the annual total compensation of our employees (other than our Chief Executive Officer) was $84,476; and the annual total compensation of our Chief Executive Officer was $4,648,665 (See “Summary Compensation Table”). Accordingly, the ratio of the annual total compensation of Mr. Ergen, our Chief Executive Officer, to the median annual total compensation of our employees was 55 to 1 for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pay ratio is a reasonable estimate calculated in a manner consistent with the Pay Ratio Rules based on our payroll and employment records and the methodology described below. The Pay Ratio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Pay Ratio Rules, we were required to identify the median employee by use of a “consistently applied compensation measure,” or CACM. We chose gross pay as our CACM as that measure closely approximates the annual total direct compensation of our employees. We excluded equity exercises, allowances (wireless, relocation) and reimbursements (expense, tuition), however. We identified our median employee using this metric as of December 31, 2025. Specifically, we determined that our “median employee” was a full-time, salaried employee located in the United States. For foreign currencies, we converted to U.S. dollars using the average exchange rate for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December 31, 2025, our total employee population consisted of 12,037 individuals, with 1,515 of our employees being located in foreign countries. Approximately 87% of our employees were located in the United States, 7% were located in India and 6% were located in various other countries worldwide. As permitted by the Pay Ratio Rules, we excluded all of the employees located in the following foreign countries: 409 employees in Latin America, 249 employees in Europe and 10 employees in Asia. As permitted by the Pay Ratio Rules, we also excluded employees in joint ventures that were not treated as consolidated subsidiaries for accounting purposes. After taking into consideration these adjustments, our adjusted employee population consisted of 11,369 individuals as of December 31, 2025.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information is being provided for compliance purposes. Neither the Compensation Committee nor management of EchoStar used the pay ratio measure in making compensation decisions.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8" w:name="PAYVERSUSPERFORMANCE_882834"/>
      <w:bookmarkStart w:id="89" w:name="_c189dce4_2583_4a06_b29c_8ad0cb976021"/>
      <w:bookmarkEnd w:id="88"/>
      <w:bookmarkEnd w:id="89"/>
      <w:r>
        <w:rPr>
          <w:rFonts w:ascii="Times New Roman;Times;serif" w:hAnsi="Times New Roman;Times;serif"/>
          <w:b/>
          <w:sz w:val="20"/>
        </w:rPr>
        <w:t>PAY VERSUS PERFORMANCE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provides information required by Item 402(v) of Regulation S-K. For further information concerning the Company’s variable pay-for-performance philosophy and how the Company aligns executive compensation with the Company’s performance, refer to “Executive Compensation – Compensation Discussion and Analysis.”</w:t>
      </w:r>
    </w:p>
    <w:p>
      <w:pPr>
        <w:pStyle w:val="TextBody"/>
        <w:bidi w:val="0"/>
        <w:spacing w:before="0" w:after="240"/>
        <w:ind w:left="0" w:right="0" w:hanging="0"/>
        <w:jc w:val="both"/>
        <w:rPr/>
      </w:pPr>
      <w:bookmarkStart w:id="90" w:name="Tc_FT7T6wsM60-dtvGYcFAaAg_12_34"/>
      <w:bookmarkStart w:id="91" w:name="Tc_-6iUEWqZDUa41LP3-1MpKg_12_31"/>
      <w:bookmarkStart w:id="92" w:name="Tc_lG4xR71mvESL2mdcEW0_XA_12_28"/>
      <w:bookmarkStart w:id="93" w:name="Tc_y7562szhlkSYXE_itM06Cw_12_25"/>
      <w:bookmarkStart w:id="94" w:name="Tc_zTspmjRDDkmYWAabxZ8_9Q_12_22"/>
      <w:bookmarkStart w:id="95" w:name="Tc_Cg6dDyW-_Eam5cdfr5zrsg_12_19"/>
      <w:bookmarkStart w:id="96" w:name="Tc_s8Mew9hB2ECwGE_pVQegCA_12_16"/>
      <w:bookmarkStart w:id="97" w:name="Tc_GsUOoOi8rEG0xL0Ss1tOrA_12_13"/>
      <w:bookmarkStart w:id="98" w:name="Tc_TgWRB2hV3E-E2XKX1U7Idg_12_11"/>
      <w:bookmarkStart w:id="99" w:name="Tc_x8CK-lv5lUeVfyw04x9dzw_12_10"/>
      <w:bookmarkStart w:id="100" w:name="Tc_rXpAZ9vLLkiXOSmFChZaNw_12_8"/>
      <w:bookmarkStart w:id="101" w:name="Tc_1DSo7kehs0y5S_Zb2aSYRg_12_7"/>
      <w:bookmarkStart w:id="102" w:name="Tc_2AsfHz0EekCaBHLW43k0pg_12_5"/>
      <w:bookmarkStart w:id="103" w:name="Tc_M86vSCrcv0OP5ne6ppEvBQ_12_4"/>
      <w:bookmarkStart w:id="104" w:name="Tc_CxzQRshDGECrEaNA5kwyNQ_12_2"/>
      <w:bookmarkStart w:id="105" w:name="Tc_B_zqzwNVPkaWD_JfQO0Dvw_12_1"/>
      <w:bookmarkStart w:id="106" w:name="Tc_I0-nP0W8gEacqW0lfuSOjA_12_0"/>
      <w:bookmarkStart w:id="107" w:name="Tc_8dFrmd-R-UqCLt583ds3Uw_11_34"/>
      <w:bookmarkStart w:id="108" w:name="Tc_8HaepMNmyk2sCODM31o0Bw_11_31"/>
      <w:bookmarkStart w:id="109" w:name="Tc_PU9nXvQHvkizlW_DJJ1rSA_11_28"/>
      <w:bookmarkStart w:id="110" w:name="Tc_7E9xiB9Ij0iEdSDZDC-tsA_11_25"/>
      <w:bookmarkStart w:id="111" w:name="Tc_A_gPmV3DdEGHtdjrXNpsdw_11_22"/>
      <w:bookmarkStart w:id="112" w:name="Tc_gp2MfxRp9kmWRtt_WIb9pQ_11_19"/>
      <w:bookmarkStart w:id="113" w:name="Tc_khJXtlX2WECQ7tYMxirX8A_11_16"/>
      <w:bookmarkStart w:id="114" w:name="Tc_zTR0uMj3SUWvbEtEelSu0Q_11_13"/>
      <w:bookmarkStart w:id="115" w:name="Tc_dIm7kzAHZUyQsc5IXf2GfA_11_10"/>
      <w:bookmarkStart w:id="116" w:name="Tc_4Okq9h5mG02lDP58YocuqA_11_7"/>
      <w:bookmarkStart w:id="117" w:name="Tc_JcTdMLGAB0Kzic967p_ICg_11_5"/>
      <w:bookmarkStart w:id="118" w:name="Tc_iV-kyFTRbkOPdNiTqHy3RA_11_4"/>
      <w:bookmarkStart w:id="119" w:name="Tc_EBEG2ZQl60K5TowP8v1gOA_11_2"/>
      <w:bookmarkStart w:id="120" w:name="Tc_NXllnvH8a0qbfKda3nKt3w_11_1"/>
      <w:bookmarkStart w:id="121" w:name="Tc_ld_UhGOkuUK6Lx_OyW-x_w_11_0"/>
      <w:bookmarkStart w:id="122" w:name="Tc_ZJjDlW9qiEmm7IQLvuSY6w_10_34"/>
      <w:bookmarkStart w:id="123" w:name="Tc_Olv1OSanN0-taxlr3tDUHQ_10_31"/>
      <w:bookmarkStart w:id="124" w:name="Tc_3PEJJU_Se0WGANQE7jFtWQ_10_28"/>
      <w:bookmarkStart w:id="125" w:name="Tc_EJMbQ9qgOUOMBgVKzai64A_10_25"/>
      <w:bookmarkStart w:id="126" w:name="Tc_Diy14HVUlkOsAM2d2fwTfg_10_22"/>
      <w:bookmarkStart w:id="127" w:name="Tc_sTNydbzBhUazOj3XH2D7uw_10_19"/>
      <w:bookmarkStart w:id="128" w:name="Tc_J0-sT0MLLUKmy3GfGg5qVQ_10_17"/>
      <w:bookmarkStart w:id="129" w:name="Tc_qmhOOjrMN0aEVwqI4Qw28A_10_16"/>
      <w:bookmarkStart w:id="130" w:name="Tc_E4JKI_DXr0WYB0X1of1dXQ_10_14"/>
      <w:bookmarkStart w:id="131" w:name="Tc_ynwDinaaMk2qCQO8Vvx1Qw_10_13"/>
      <w:bookmarkStart w:id="132" w:name="Tc_UGU1Eu7AfUmTSEOCW5gFeQ_10_10"/>
      <w:bookmarkStart w:id="133" w:name="Tc_e1Mk6zT0sEOJm4dYo00fwQ_10_7"/>
      <w:bookmarkStart w:id="134" w:name="Tc_oDKZMKQS-k-BqlBlqcRQJw_10_5"/>
      <w:bookmarkStart w:id="135" w:name="Tc_VZs5iVgrAESaaLdacRKGcw_10_4"/>
      <w:bookmarkStart w:id="136" w:name="Tc_AQkO1skBbkypCEq5hG4gUQ_10_2"/>
      <w:bookmarkStart w:id="137" w:name="Tc_bqKgjGEMEUms10JlC621vw_10_1"/>
      <w:bookmarkStart w:id="138" w:name="Tc_R-abrJTaWkm566Nroq-Tlg_10_0"/>
      <w:bookmarkStart w:id="139" w:name="Tc_d29ZLRrD7U2f88MV4-brig_9_34"/>
      <w:bookmarkStart w:id="140" w:name="Tc_rpObcU5frk6IwaiXuewXtw_9_31"/>
      <w:bookmarkStart w:id="141" w:name="Tc_oTH0_MvMpUaSNT7ca13qKA_9_28"/>
      <w:bookmarkStart w:id="142" w:name="Tc_XF7NmfSsWUeJOpkhQXpEPg_9_25"/>
      <w:bookmarkStart w:id="143" w:name="Tc_LkQRoCe3ME6VjgEm4FRCrA_9_22"/>
      <w:bookmarkStart w:id="144" w:name="Tc_fU_7MsxmoUOsP26jkI99IA_9_19"/>
      <w:bookmarkStart w:id="145" w:name="Tc_9p9pc1NQDkCWRdBcDRXHZg_9_17"/>
      <w:bookmarkStart w:id="146" w:name="Tc_vcG4VCoqYk6nhcmuBTttRw_9_16"/>
      <w:bookmarkStart w:id="147" w:name="Tc_Kgg7nz_CLk2k9116BdEpZQ_9_14"/>
      <w:bookmarkStart w:id="148" w:name="Tc_jp0yCRegFkGRqafQlKSIog_9_13"/>
      <w:bookmarkStart w:id="149" w:name="Tc_UDlIRa2Ie0m3cUykmTc-eg_9_10"/>
      <w:bookmarkStart w:id="150" w:name="Tc_wOXeQwdjhE6QTU-rKW1nUQ_9_7"/>
      <w:bookmarkStart w:id="151" w:name="Tc_UFSWnZrvoECprt9F5fbV5A_9_5"/>
      <w:bookmarkStart w:id="152" w:name="Tc_f6mtIuTSIEWnUFClGtFODw_9_4"/>
      <w:bookmarkStart w:id="153" w:name="Tc_VWoXJXSPNkKuOrCsS6BwEA_9_2"/>
      <w:bookmarkStart w:id="154" w:name="Tc_Zeb61UxVDUm3MJkfAkaWcQ_9_1"/>
      <w:bookmarkStart w:id="155" w:name="Tc_NLyCFFM7DEq9eagFVazLmQ_9_0"/>
      <w:bookmarkStart w:id="156" w:name="Tc_vxiGt9zyP0ifTaJcBrpNiQ_8_34"/>
      <w:bookmarkStart w:id="157" w:name="Tc_RdbneQLp2ka-G08VmIVPwg_8_31"/>
      <w:bookmarkStart w:id="158" w:name="Tc_4-JW2olcN0CqPsxFjUduJw_8_28"/>
      <w:bookmarkStart w:id="159" w:name="Tc_QGWcYUtvekGCkhfU7d8NgQ_8_25"/>
      <w:bookmarkStart w:id="160" w:name="Tc_6tPFr_4taU2r6Sj-Yhj8MQ_8_22"/>
      <w:bookmarkStart w:id="161" w:name="Tc__qQQcuUmWkmmM2wYOuGVSA_8_19"/>
      <w:bookmarkStart w:id="162" w:name="Tc_rex5eYEKHUG5TL9IlRvB_w_8_17"/>
      <w:bookmarkStart w:id="163" w:name="Tc_xd3LLl7_rEGl5Gv1OjaAbg_8_16"/>
      <w:bookmarkStart w:id="164" w:name="Tc_SfDPh1g6_kiRvfylmykIPA_8_14"/>
      <w:bookmarkStart w:id="165" w:name="Tc_cLrPfXwMxEWFh33o9yZyBQ_8_13"/>
      <w:bookmarkStart w:id="166" w:name="Tc__0HFluiynEeLTA0FiSRouw_8_10"/>
      <w:bookmarkStart w:id="167" w:name="Tc_cELgNQ8mTkiPY_SdNq23Ng_8_7"/>
      <w:bookmarkStart w:id="168" w:name="Tc_nBePdZgxJ06ArOLv1jaHuA_8_4"/>
      <w:bookmarkStart w:id="169" w:name="Tc_x1XvBmdGCkqxvktT61lRjg_8_1"/>
      <w:bookmarkStart w:id="170" w:name="Tc_tiaIzQiXe0aqEEoOFPhfJw_8_0"/>
      <w:bookmarkStart w:id="171" w:name="Tc_HLc26DnypEWetOvLg_06_w_7_32"/>
      <w:bookmarkStart w:id="172" w:name="Tc_A1Hk3sqvJUeAhZluesbH9w_6_34"/>
      <w:bookmarkStart w:id="173" w:name="Tc_0WaZB0rcSEC_uZiVjkKZhw_6_31"/>
      <w:bookmarkStart w:id="174" w:name="Tc_qUvWRyYJJ0mqQfnmdCIAUA_6_28"/>
      <w:bookmarkStart w:id="175" w:name="Tc_EfjDy37HW0CqjooyhgBmBg_6_25"/>
      <w:bookmarkStart w:id="176" w:name="Tc_1LDtH7GRrkOgcrpNtY2JYg_6_22"/>
      <w:bookmarkStart w:id="177" w:name="Tc_P6hHb93eHkmzhmVweBI1ZQ_6_19"/>
      <w:bookmarkStart w:id="178" w:name="Tc_YNhXGMUDCEaykBJWpMKSLQ_6_16"/>
      <w:bookmarkStart w:id="179" w:name="Tc_DyGtrhI3yES2bQzS98z0UQ_6_13"/>
      <w:bookmarkStart w:id="180" w:name="Tc_sWkKc-1mRkubgdsBvQC9wA_6_10"/>
      <w:bookmarkStart w:id="181" w:name="Tc_oWXaixN4VkKP8YJKlsImtw_6_7"/>
      <w:bookmarkStart w:id="182" w:name="Tc_T19ldCKu106Hj0wLIT65YA_6_4"/>
      <w:bookmarkStart w:id="183" w:name="Tc_x5zk-SNg_Eu_mMjtUXlr2w_6_1"/>
      <w:bookmarkStart w:id="184" w:name="Tc_VyANU-pLg02FBJuMa4edcg_6_0"/>
      <w:bookmarkStart w:id="185" w:name="Tc_tIG9HWyUqkiz7ZTI-9XDRA_5_34"/>
      <w:bookmarkStart w:id="186" w:name="Tc_5W43ezF_I0mJNygQxwatqw_5_28"/>
      <w:bookmarkStart w:id="187" w:name="Tc_d_aeOmmfykiicnJsWE8hXg_5_25"/>
      <w:bookmarkStart w:id="188" w:name="Tc_JbdgYyvgxUik4j5ChU9CTw_5_22"/>
      <w:bookmarkStart w:id="189" w:name="Tc_U0c0ZzOu2kC0p5sd_14_Zg_5_19"/>
      <w:bookmarkStart w:id="190" w:name="Tc_PuTn3XRjT0CUy0C72PW5pQ_5_16"/>
      <w:bookmarkStart w:id="191" w:name="Tc_l-Hhsea3tU2B18s_pgC3-Q_5_13"/>
      <w:bookmarkStart w:id="192" w:name="Tc_-giLtsK4Wkenae6mxWyHew_5_10"/>
      <w:bookmarkStart w:id="193" w:name="Tc_Erz4TJZFwkuVPrUcbEGsyA_5_7"/>
      <w:bookmarkStart w:id="194" w:name="Tc_3nKKHCUGuE2xXGTClXtuEg_5_4"/>
      <w:bookmarkStart w:id="195" w:name="Tc_mXQaVyTO_kODHRsXfEtbbA_5_1"/>
      <w:bookmarkStart w:id="196" w:name="Tc_95o7PTYE1Eam091VtG8ESQ_4_34"/>
      <w:bookmarkStart w:id="197" w:name="Tc_vONADjLbuEyqbrYcAnIKLg_4_28"/>
      <w:bookmarkStart w:id="198" w:name="Tc_ns42YaaRaUiDYO-S4vFXKw_4_25"/>
      <w:bookmarkStart w:id="199" w:name="Tc_uxEtxss640iGpZNngUK2Jg_4_22"/>
      <w:bookmarkStart w:id="200" w:name="Tc_pWsrN7Y0AE-uragw1SJNEg_4_19"/>
      <w:bookmarkStart w:id="201" w:name="Tc_9gcUkLN7skScP9VkS8RqDg_4_13"/>
      <w:bookmarkStart w:id="202" w:name="Tc_Ewzw8H5lFkyGoaVfkd3Y4Q_4_10"/>
      <w:bookmarkStart w:id="203" w:name="Tc_B5Ej1IobIUasU33HWbIh4Q_4_7"/>
      <w:bookmarkStart w:id="204" w:name="Tc_y64cREXlCkCBdPDaGQc-0Q_4_4"/>
      <w:bookmarkStart w:id="205" w:name="Tc_J8qxdx4O70eTrnIdsOiCvQ_4_1"/>
      <w:bookmarkStart w:id="206" w:name="Tc_745AVVwBz0e6wdkZjxJzjg_3_34"/>
      <w:bookmarkStart w:id="207" w:name="Tc_nfbHROTpJki2W075Q7JXrw_3_28"/>
      <w:bookmarkStart w:id="208" w:name="Tc_uWCzw7HoXE2RuQNWQrYUgg_3_19"/>
      <w:bookmarkStart w:id="209" w:name="Tc_fzLK6ySM6EeVrtHUAKdtcA_2_25"/>
      <w:bookmarkStart w:id="210" w:name="Tc_mmD9LijVjkuJHJg68O8whA_2_19"/>
      <w:bookmarkStart w:id="211" w:name="Tc_89NB6fFhjki4nDGrdpd_Ow_2_13"/>
      <w:bookmarkStart w:id="212" w:name="Tc_ijo02A4B1kKqLsCi4Vjwew_2_7"/>
      <w:bookmarkStart w:id="213" w:name="Tc_1FzarD21oECwmWZZgW8U9A_2_1"/>
      <w:bookmarkStart w:id="214" w:name="Tc_5WL4Dix0RUCMMLAl1jGbbQ_1_25"/>
      <w:bookmarkStart w:id="215" w:name="_2f89891c_f8f4_4130_934b_d347d82a698b"/>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Pr/>
        <w:t>​</w:t>
      </w:r>
    </w:p>
    <w:tbl>
      <w:tblPr>
        <w:tblW w:w="13260" w:type="dxa"/>
        <w:jc w:val="left"/>
        <w:tblInd w:w="0" w:type="dxa"/>
        <w:tblLayout w:type="fixed"/>
        <w:tblCellMar>
          <w:top w:w="0" w:type="dxa"/>
          <w:left w:w="0" w:type="dxa"/>
          <w:bottom w:w="0" w:type="dxa"/>
          <w:right w:w="0" w:type="dxa"/>
        </w:tblCellMar>
      </w:tblPr>
      <w:tblGrid>
        <w:gridCol w:w="361"/>
        <w:gridCol w:w="172"/>
        <w:gridCol w:w="609"/>
        <w:gridCol w:w="346"/>
        <w:gridCol w:w="166"/>
        <w:gridCol w:w="706"/>
        <w:gridCol w:w="346"/>
        <w:gridCol w:w="166"/>
        <w:gridCol w:w="646"/>
        <w:gridCol w:w="346"/>
        <w:gridCol w:w="166"/>
        <w:gridCol w:w="646"/>
        <w:gridCol w:w="346"/>
        <w:gridCol w:w="172"/>
        <w:gridCol w:w="609"/>
        <w:gridCol w:w="346"/>
        <w:gridCol w:w="172"/>
        <w:gridCol w:w="609"/>
        <w:gridCol w:w="346"/>
        <w:gridCol w:w="172"/>
        <w:gridCol w:w="609"/>
        <w:gridCol w:w="346"/>
        <w:gridCol w:w="166"/>
        <w:gridCol w:w="646"/>
        <w:gridCol w:w="346"/>
        <w:gridCol w:w="207"/>
        <w:gridCol w:w="469"/>
        <w:gridCol w:w="346"/>
        <w:gridCol w:w="186"/>
        <w:gridCol w:w="490"/>
        <w:gridCol w:w="346"/>
        <w:gridCol w:w="166"/>
        <w:gridCol w:w="406"/>
        <w:gridCol w:w="346"/>
        <w:gridCol w:w="166"/>
        <w:gridCol w:w="571"/>
      </w:tblGrid>
      <w:tr>
        <w:trPr/>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29235" cy="175260"/>
                      <wp:effectExtent l="0" t="0" r="0" b="0"/>
                      <wp:wrapNone/>
                      <wp:docPr id="46" name="Frame4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09220" cy="175260"/>
                      <wp:effectExtent l="0" t="0" r="0" b="0"/>
                      <wp:wrapNone/>
                      <wp:docPr id="47" name="Frame43"/>
                      <a:graphic xmlns:a="http://schemas.openxmlformats.org/drawingml/2006/main">
                        <a:graphicData uri="http://schemas.microsoft.com/office/word/2010/wordprocessingShape">
                          <wps:wsp>
                            <wps:cNvSpPr txBox="1"/>
                            <wps:spPr>
                              <a:xfrm>
                                <a:off x="0" y="0"/>
                                <a:ext cx="109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86715" cy="175260"/>
                      <wp:effectExtent l="0" t="0" r="0" b="0"/>
                      <wp:wrapNone/>
                      <wp:docPr id="48" name="Frame44"/>
                      <a:graphic xmlns:a="http://schemas.openxmlformats.org/drawingml/2006/main">
                        <a:graphicData uri="http://schemas.microsoft.com/office/word/2010/wordprocessingShape">
                          <wps:wsp>
                            <wps:cNvSpPr txBox="1"/>
                            <wps:spPr>
                              <a:xfrm>
                                <a:off x="0" y="0"/>
                                <a:ext cx="386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19710" cy="175260"/>
                      <wp:effectExtent l="0" t="0" r="0" b="0"/>
                      <wp:wrapNone/>
                      <wp:docPr id="49"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05410" cy="175260"/>
                      <wp:effectExtent l="0" t="0" r="0" b="0"/>
                      <wp:wrapNone/>
                      <wp:docPr id="50" name="Frame46"/>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48310" cy="175260"/>
                      <wp:effectExtent l="0" t="0" r="0" b="0"/>
                      <wp:wrapNone/>
                      <wp:docPr id="51" name="Frame47"/>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2"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05410" cy="175260"/>
                      <wp:effectExtent l="0" t="0" r="0" b="0"/>
                      <wp:wrapNone/>
                      <wp:docPr id="53" name="Frame49"/>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10210" cy="175260"/>
                      <wp:effectExtent l="0" t="0" r="0" b="0"/>
                      <wp:wrapNone/>
                      <wp:docPr id="54" name="Frame50"/>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55"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05410" cy="175260"/>
                      <wp:effectExtent l="0" t="0" r="0" b="0"/>
                      <wp:wrapNone/>
                      <wp:docPr id="56" name="Frame52"/>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10210" cy="175260"/>
                      <wp:effectExtent l="0" t="0" r="0" b="0"/>
                      <wp:wrapNone/>
                      <wp:docPr id="57" name="Frame53"/>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58"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09220" cy="175260"/>
                      <wp:effectExtent l="0" t="0" r="0" b="0"/>
                      <wp:wrapNone/>
                      <wp:docPr id="59" name="Frame55"/>
                      <a:graphic xmlns:a="http://schemas.openxmlformats.org/drawingml/2006/main">
                        <a:graphicData uri="http://schemas.microsoft.com/office/word/2010/wordprocessingShape">
                          <wps:wsp>
                            <wps:cNvSpPr txBox="1"/>
                            <wps:spPr>
                              <a:xfrm>
                                <a:off x="0" y="0"/>
                                <a:ext cx="109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86715" cy="175260"/>
                      <wp:effectExtent l="0" t="0" r="0" b="0"/>
                      <wp:wrapNone/>
                      <wp:docPr id="60" name="Frame56"/>
                      <a:graphic xmlns:a="http://schemas.openxmlformats.org/drawingml/2006/main">
                        <a:graphicData uri="http://schemas.microsoft.com/office/word/2010/wordprocessingShape">
                          <wps:wsp>
                            <wps:cNvSpPr txBox="1"/>
                            <wps:spPr>
                              <a:xfrm>
                                <a:off x="0" y="0"/>
                                <a:ext cx="386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1"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09220" cy="175260"/>
                      <wp:effectExtent l="0" t="0" r="0" b="0"/>
                      <wp:wrapNone/>
                      <wp:docPr id="62" name="Frame58"/>
                      <a:graphic xmlns:a="http://schemas.openxmlformats.org/drawingml/2006/main">
                        <a:graphicData uri="http://schemas.microsoft.com/office/word/2010/wordprocessingShape">
                          <wps:wsp>
                            <wps:cNvSpPr txBox="1"/>
                            <wps:spPr>
                              <a:xfrm>
                                <a:off x="0" y="0"/>
                                <a:ext cx="109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386715" cy="175260"/>
                      <wp:effectExtent l="0" t="0" r="0" b="0"/>
                      <wp:wrapNone/>
                      <wp:docPr id="63" name="Frame59"/>
                      <a:graphic xmlns:a="http://schemas.openxmlformats.org/drawingml/2006/main">
                        <a:graphicData uri="http://schemas.microsoft.com/office/word/2010/wordprocessingShape">
                          <wps:wsp>
                            <wps:cNvSpPr txBox="1"/>
                            <wps:spPr>
                              <a:xfrm>
                                <a:off x="0" y="0"/>
                                <a:ext cx="386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64" name="Frame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09220" cy="175260"/>
                      <wp:effectExtent l="0" t="0" r="0" b="0"/>
                      <wp:wrapNone/>
                      <wp:docPr id="65" name="Frame61"/>
                      <a:graphic xmlns:a="http://schemas.openxmlformats.org/drawingml/2006/main">
                        <a:graphicData uri="http://schemas.microsoft.com/office/word/2010/wordprocessingShape">
                          <wps:wsp>
                            <wps:cNvSpPr txBox="1"/>
                            <wps:spPr>
                              <a:xfrm>
                                <a:off x="0" y="0"/>
                                <a:ext cx="109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86715" cy="175260"/>
                      <wp:effectExtent l="0" t="0" r="0" b="0"/>
                      <wp:wrapNone/>
                      <wp:docPr id="66" name="Frame62"/>
                      <a:graphic xmlns:a="http://schemas.openxmlformats.org/drawingml/2006/main">
                        <a:graphicData uri="http://schemas.microsoft.com/office/word/2010/wordprocessingShape">
                          <wps:wsp>
                            <wps:cNvSpPr txBox="1"/>
                            <wps:spPr>
                              <a:xfrm>
                                <a:off x="0" y="0"/>
                                <a:ext cx="3867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67"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05410" cy="175260"/>
                      <wp:effectExtent l="0" t="0" r="0" b="0"/>
                      <wp:wrapNone/>
                      <wp:docPr id="68" name="Frame64"/>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10210" cy="175260"/>
                      <wp:effectExtent l="0" t="0" r="0" b="0"/>
                      <wp:wrapNone/>
                      <wp:docPr id="69" name="Frame65"/>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0"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1445" cy="175260"/>
                      <wp:effectExtent l="0" t="0" r="0" b="0"/>
                      <wp:wrapNone/>
                      <wp:docPr id="71" name="Frame67"/>
                      <a:graphic xmlns:a="http://schemas.openxmlformats.org/drawingml/2006/main">
                        <a:graphicData uri="http://schemas.microsoft.com/office/word/2010/wordprocessingShape">
                          <wps:wsp>
                            <wps:cNvSpPr txBox="1"/>
                            <wps:spPr>
                              <a:xfrm>
                                <a:off x="0" y="0"/>
                                <a:ext cx="131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97815" cy="175260"/>
                      <wp:effectExtent l="0" t="0" r="0" b="0"/>
                      <wp:wrapNone/>
                      <wp:docPr id="72" name="Frame68"/>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3"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18110" cy="175260"/>
                      <wp:effectExtent l="0" t="0" r="0" b="0"/>
                      <wp:wrapNone/>
                      <wp:docPr id="74" name="Frame70"/>
                      <a:graphic xmlns:a="http://schemas.openxmlformats.org/drawingml/2006/main">
                        <a:graphicData uri="http://schemas.microsoft.com/office/word/2010/wordprocessingShape">
                          <wps:wsp>
                            <wps:cNvSpPr txBox="1"/>
                            <wps:spPr>
                              <a:xfrm>
                                <a:off x="0" y="0"/>
                                <a:ext cx="118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11150" cy="175260"/>
                      <wp:effectExtent l="0" t="0" r="0" b="0"/>
                      <wp:wrapNone/>
                      <wp:docPr id="75" name="Frame71"/>
                      <a:graphic xmlns:a="http://schemas.openxmlformats.org/drawingml/2006/main">
                        <a:graphicData uri="http://schemas.microsoft.com/office/word/2010/wordprocessingShape">
                          <wps:wsp>
                            <wps:cNvSpPr txBox="1"/>
                            <wps:spPr>
                              <a:xfrm>
                                <a:off x="0" y="0"/>
                                <a:ext cx="311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76"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05410" cy="175260"/>
                      <wp:effectExtent l="0" t="0" r="0" b="0"/>
                      <wp:wrapNone/>
                      <wp:docPr id="77" name="Frame73"/>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57810" cy="175260"/>
                      <wp:effectExtent l="0" t="0" r="0" b="0"/>
                      <wp:wrapNone/>
                      <wp:docPr id="78" name="Frame7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79"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05410" cy="175260"/>
                      <wp:effectExtent l="0" t="0" r="0" b="0"/>
                      <wp:wrapNone/>
                      <wp:docPr id="80" name="Frame76"/>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62585" cy="175260"/>
                      <wp:effectExtent l="0" t="0" r="0" b="0"/>
                      <wp:wrapNone/>
                      <wp:docPr id="81" name="Frame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1" w:type="dxa"/>
            <w:tcBorders/>
            <w:vAlign w:val="center"/>
          </w:tcPr>
          <w:p>
            <w:pPr>
              <w:pStyle w:val="TableContents"/>
              <w:bidi w:val="0"/>
              <w:spacing w:before="0" w:after="1"/>
              <w:ind w:left="0" w:right="0" w:hanging="0"/>
              <w:jc w:val="center"/>
              <w:rPr/>
            </w:pPr>
            <w:r>
              <w:rPr/>
              <w:t>​</w:t>
            </w:r>
          </w:p>
        </w:tc>
        <w:tc>
          <w:tcPr>
            <w:tcW w:w="172" w:type="dxa"/>
            <w:tcBorders/>
            <w:vAlign w:val="center"/>
          </w:tcPr>
          <w:p>
            <w:pPr>
              <w:pStyle w:val="TableContents"/>
              <w:bidi w:val="0"/>
              <w:spacing w:before="0" w:after="1"/>
              <w:ind w:left="0" w:right="0" w:hanging="0"/>
              <w:jc w:val="center"/>
              <w:rPr/>
            </w:pPr>
            <w:r>
              <w:rPr/>
              <w:t>​</w:t>
            </w:r>
          </w:p>
        </w:tc>
        <w:tc>
          <w:tcPr>
            <w:tcW w:w="6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66" w:type="dxa"/>
            <w:tcBorders/>
            <w:vAlign w:val="center"/>
          </w:tcPr>
          <w:p>
            <w:pPr>
              <w:pStyle w:val="TableContents"/>
              <w:bidi w:val="0"/>
              <w:spacing w:before="0" w:after="1"/>
              <w:ind w:left="0" w:right="0" w:hanging="0"/>
              <w:jc w:val="center"/>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2" w:type="dxa"/>
            <w:tcBorders/>
            <w:vAlign w:val="center"/>
          </w:tcPr>
          <w:p>
            <w:pPr>
              <w:pStyle w:val="TableContents"/>
              <w:bidi w:val="0"/>
              <w:spacing w:before="0" w:after="1"/>
              <w:ind w:left="0" w:right="0" w:hanging="0"/>
              <w:jc w:val="left"/>
              <w:rPr/>
            </w:pPr>
            <w:r>
              <w:rPr/>
              <w:t>​</w:t>
            </w:r>
          </w:p>
        </w:tc>
        <w:tc>
          <w:tcPr>
            <w:tcW w:w="6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2" w:type="dxa"/>
            <w:tcBorders/>
            <w:vAlign w:val="center"/>
          </w:tcPr>
          <w:p>
            <w:pPr>
              <w:pStyle w:val="TableContents"/>
              <w:bidi w:val="0"/>
              <w:spacing w:before="0" w:after="1"/>
              <w:ind w:left="0" w:right="0" w:hanging="0"/>
              <w:jc w:val="left"/>
              <w:rPr/>
            </w:pPr>
            <w:r>
              <w:rPr/>
              <w:t>​</w:t>
            </w:r>
          </w:p>
        </w:tc>
        <w:tc>
          <w:tcPr>
            <w:tcW w:w="6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72" w:type="dxa"/>
            <w:tcBorders/>
            <w:vAlign w:val="center"/>
          </w:tcPr>
          <w:p>
            <w:pPr>
              <w:pStyle w:val="TableContents"/>
              <w:bidi w:val="0"/>
              <w:spacing w:before="0" w:after="1"/>
              <w:ind w:left="0" w:right="0" w:hanging="0"/>
              <w:jc w:val="left"/>
              <w:rPr/>
            </w:pPr>
            <w:r>
              <w:rPr/>
              <w:t>​</w:t>
            </w:r>
          </w:p>
        </w:tc>
        <w:tc>
          <w:tcPr>
            <w:tcW w:w="60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98" w:type="dxa"/>
            <w:gridSpan w:val="5"/>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 xml:space="preserve">Value of Initial Fixed </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r>
      <w:tr>
        <w:trPr/>
        <w:tc>
          <w:tcPr>
            <w:tcW w:w="361" w:type="dxa"/>
            <w:tcBorders/>
            <w:vAlign w:val="center"/>
          </w:tcPr>
          <w:p>
            <w:pPr>
              <w:pStyle w:val="TableContents"/>
              <w:bidi w:val="0"/>
              <w:spacing w:before="0" w:after="1"/>
              <w:ind w:left="0" w:right="0" w:hanging="0"/>
              <w:jc w:val="center"/>
              <w:rPr/>
            </w:pPr>
            <w:r>
              <w:rPr/>
              <w:t>​</w:t>
            </w:r>
          </w:p>
        </w:tc>
        <w:tc>
          <w:tcPr>
            <w:tcW w:w="19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PEO - Ergen</w:t>
            </w:r>
          </w:p>
        </w:tc>
        <w:tc>
          <w:tcPr>
            <w:tcW w:w="346" w:type="dxa"/>
            <w:tcBorders/>
            <w:vAlign w:val="center"/>
          </w:tcPr>
          <w:p>
            <w:pPr>
              <w:pStyle w:val="TableContents"/>
              <w:bidi w:val="0"/>
              <w:spacing w:before="0" w:after="1"/>
              <w:ind w:left="0" w:right="0" w:hanging="0"/>
              <w:jc w:val="left"/>
              <w:rPr/>
            </w:pPr>
            <w:r>
              <w:rPr/>
              <w:t>​</w:t>
            </w:r>
          </w:p>
        </w:tc>
        <w:tc>
          <w:tcPr>
            <w:tcW w:w="19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PEO - Akhavan</w:t>
            </w:r>
          </w:p>
        </w:tc>
        <w:tc>
          <w:tcPr>
            <w:tcW w:w="346" w:type="dxa"/>
            <w:tcBorders/>
            <w:vAlign w:val="center"/>
          </w:tcPr>
          <w:p>
            <w:pPr>
              <w:pStyle w:val="TableContents"/>
              <w:bidi w:val="0"/>
              <w:spacing w:before="0" w:after="1"/>
              <w:ind w:left="0" w:right="0" w:hanging="0"/>
              <w:jc w:val="left"/>
              <w:rPr/>
            </w:pPr>
            <w:r>
              <w:rPr/>
              <w:t>​</w:t>
            </w:r>
          </w:p>
        </w:tc>
        <w:tc>
          <w:tcPr>
            <w:tcW w:w="19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PEO - Dugan</w:t>
            </w:r>
          </w:p>
        </w:tc>
        <w:tc>
          <w:tcPr>
            <w:tcW w:w="346" w:type="dxa"/>
            <w:tcBorders/>
            <w:vAlign w:val="center"/>
          </w:tcPr>
          <w:p>
            <w:pPr>
              <w:pStyle w:val="TableContents"/>
              <w:bidi w:val="0"/>
              <w:spacing w:before="0" w:after="1"/>
              <w:ind w:left="0" w:right="0" w:hanging="0"/>
              <w:jc w:val="left"/>
              <w:rPr/>
            </w:pPr>
            <w:r>
              <w:rPr/>
              <w:t>​</w:t>
            </w:r>
          </w:p>
        </w:tc>
        <w:tc>
          <w:tcPr>
            <w:tcW w:w="193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Non-PEO NEOs</w:t>
            </w:r>
          </w:p>
        </w:tc>
        <w:tc>
          <w:tcPr>
            <w:tcW w:w="346" w:type="dxa"/>
            <w:tcBorders/>
            <w:vAlign w:val="center"/>
          </w:tcPr>
          <w:p>
            <w:pPr>
              <w:pStyle w:val="TableContents"/>
              <w:bidi w:val="0"/>
              <w:spacing w:before="0" w:after="1"/>
              <w:ind w:left="0" w:right="0" w:hanging="0"/>
              <w:jc w:val="left"/>
              <w:rPr/>
            </w:pPr>
            <w:r>
              <w:rPr/>
              <w:t>​</w:t>
            </w:r>
          </w:p>
        </w:tc>
        <w:tc>
          <w:tcPr>
            <w:tcW w:w="169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$100 Investment Based On:</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r>
      <w:tr>
        <w:trPr/>
        <w:tc>
          <w:tcPr>
            <w:tcW w:w="361" w:type="dxa"/>
            <w:tcBorders/>
            <w:vAlign w:val="center"/>
          </w:tcPr>
          <w:p>
            <w:pPr>
              <w:pStyle w:val="TableContents"/>
              <w:bidi w:val="0"/>
              <w:spacing w:before="0" w:after="1"/>
              <w:ind w:left="0" w:right="0" w:hanging="0"/>
              <w:jc w:val="center"/>
              <w:rPr/>
            </w:pPr>
            <w:r>
              <w:rPr/>
              <w:t>​</w:t>
            </w:r>
          </w:p>
        </w:tc>
        <w:tc>
          <w:tcPr>
            <w:tcW w:w="172" w:type="dxa"/>
            <w:tcBorders/>
            <w:vAlign w:val="center"/>
          </w:tcPr>
          <w:p>
            <w:pPr>
              <w:pStyle w:val="TableContents"/>
              <w:bidi w:val="0"/>
              <w:spacing w:before="0" w:after="1"/>
              <w:ind w:left="0" w:right="0" w:hanging="0"/>
              <w:jc w:val="left"/>
              <w:rPr/>
            </w:pPr>
            <w:r>
              <w:rPr/>
              <w:t>​</w:t>
            </w:r>
          </w:p>
        </w:tc>
        <w:tc>
          <w:tcPr>
            <w:tcW w:w="6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72" w:type="dxa"/>
            <w:tcBorders/>
            <w:vAlign w:val="center"/>
          </w:tcPr>
          <w:p>
            <w:pPr>
              <w:pStyle w:val="TableContents"/>
              <w:bidi w:val="0"/>
              <w:spacing w:before="0" w:after="1"/>
              <w:ind w:left="0" w:right="0" w:hanging="0"/>
              <w:jc w:val="left"/>
              <w:rPr/>
            </w:pPr>
            <w:r>
              <w:rPr/>
              <w:t>​</w:t>
            </w:r>
          </w:p>
        </w:tc>
        <w:tc>
          <w:tcPr>
            <w:tcW w:w="6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72" w:type="dxa"/>
            <w:tcBorders/>
            <w:vAlign w:val="center"/>
          </w:tcPr>
          <w:p>
            <w:pPr>
              <w:pStyle w:val="TableContents"/>
              <w:bidi w:val="0"/>
              <w:spacing w:before="0" w:after="1"/>
              <w:ind w:left="0" w:right="0" w:hanging="0"/>
              <w:jc w:val="left"/>
              <w:rPr/>
            </w:pPr>
            <w:r>
              <w:rPr/>
              <w:t>​</w:t>
            </w:r>
          </w:p>
        </w:tc>
        <w:tc>
          <w:tcPr>
            <w:tcW w:w="6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Average</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46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76" w:type="dxa"/>
            <w:gridSpan w:val="2"/>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Peer Group</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37" w:type="dxa"/>
            <w:gridSpan w:val="2"/>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Company-</w:t>
            </w:r>
          </w:p>
        </w:tc>
      </w:tr>
      <w:tr>
        <w:trPr/>
        <w:tc>
          <w:tcPr>
            <w:tcW w:w="361" w:type="dxa"/>
            <w:tcBorders/>
            <w:vAlign w:val="center"/>
          </w:tcPr>
          <w:p>
            <w:pPr>
              <w:pStyle w:val="TableContents"/>
              <w:bidi w:val="0"/>
              <w:spacing w:before="0" w:after="1"/>
              <w:ind w:left="0" w:right="0" w:hanging="0"/>
              <w:jc w:val="center"/>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Summary</w:t>
            </w:r>
          </w:p>
        </w:tc>
        <w:tc>
          <w:tcPr>
            <w:tcW w:w="346" w:type="dxa"/>
            <w:tcBorders/>
            <w:vAlign w:val="center"/>
          </w:tcPr>
          <w:p>
            <w:pPr>
              <w:pStyle w:val="TableContents"/>
              <w:bidi w:val="0"/>
              <w:spacing w:before="0" w:after="1"/>
              <w:ind w:left="0" w:right="0" w:hanging="0"/>
              <w:jc w:val="left"/>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Compensation</w:t>
            </w:r>
          </w:p>
        </w:tc>
        <w:tc>
          <w:tcPr>
            <w:tcW w:w="346" w:type="dxa"/>
            <w:tcBorders/>
            <w:vAlign w:val="center"/>
          </w:tcPr>
          <w:p>
            <w:pPr>
              <w:pStyle w:val="TableContents"/>
              <w:bidi w:val="0"/>
              <w:spacing w:before="0" w:after="1"/>
              <w:ind w:left="0" w:right="0" w:hanging="0"/>
              <w:jc w:val="left"/>
              <w:rPr/>
            </w:pPr>
            <w:r>
              <w:rPr/>
              <w:t>​</w:t>
            </w:r>
          </w:p>
        </w:tc>
        <w:tc>
          <w:tcPr>
            <w:tcW w:w="812" w:type="dxa"/>
            <w:gridSpan w:val="2"/>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Summary</w:t>
            </w:r>
          </w:p>
        </w:tc>
        <w:tc>
          <w:tcPr>
            <w:tcW w:w="346" w:type="dxa"/>
            <w:tcBorders/>
            <w:vAlign w:val="center"/>
          </w:tcPr>
          <w:p>
            <w:pPr>
              <w:pStyle w:val="TableContents"/>
              <w:bidi w:val="0"/>
              <w:spacing w:before="0" w:after="1"/>
              <w:ind w:left="0" w:right="0" w:hanging="0"/>
              <w:jc w:val="left"/>
              <w:rPr/>
            </w:pPr>
            <w:r>
              <w:rPr/>
              <w:t>​</w:t>
            </w:r>
          </w:p>
        </w:tc>
        <w:tc>
          <w:tcPr>
            <w:tcW w:w="812" w:type="dxa"/>
            <w:gridSpan w:val="2"/>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Compensation</w:t>
            </w:r>
          </w:p>
        </w:tc>
        <w:tc>
          <w:tcPr>
            <w:tcW w:w="34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Summary</w:t>
            </w:r>
          </w:p>
        </w:tc>
        <w:tc>
          <w:tcPr>
            <w:tcW w:w="34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Summary</w:t>
            </w:r>
          </w:p>
        </w:tc>
        <w:tc>
          <w:tcPr>
            <w:tcW w:w="346" w:type="dxa"/>
            <w:tcBorders/>
            <w:vAlign w:val="center"/>
          </w:tcPr>
          <w:p>
            <w:pPr>
              <w:pStyle w:val="TableContents"/>
              <w:bidi w:val="0"/>
              <w:spacing w:before="0" w:after="1"/>
              <w:ind w:left="0" w:right="0" w:hanging="0"/>
              <w:jc w:val="left"/>
              <w:rPr/>
            </w:pPr>
            <w:r>
              <w:rPr/>
              <w:t>​</w:t>
            </w:r>
          </w:p>
        </w:tc>
        <w:tc>
          <w:tcPr>
            <w:tcW w:w="812" w:type="dxa"/>
            <w:gridSpan w:val="2"/>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 xml:space="preserve">Average </w:t>
            </w:r>
          </w:p>
        </w:tc>
        <w:tc>
          <w:tcPr>
            <w:tcW w:w="346" w:type="dxa"/>
            <w:tcBorders/>
            <w:vAlign w:val="center"/>
          </w:tcPr>
          <w:p>
            <w:pPr>
              <w:pStyle w:val="TableContents"/>
              <w:bidi w:val="0"/>
              <w:spacing w:before="0" w:after="1"/>
              <w:ind w:left="0" w:right="0" w:hanging="0"/>
              <w:jc w:val="left"/>
              <w:rPr/>
            </w:pPr>
            <w:r>
              <w:rPr/>
              <w:t>​</w:t>
            </w:r>
          </w:p>
        </w:tc>
        <w:tc>
          <w:tcPr>
            <w:tcW w:w="676" w:type="dxa"/>
            <w:gridSpan w:val="2"/>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Total</w:t>
            </w:r>
          </w:p>
        </w:tc>
        <w:tc>
          <w:tcPr>
            <w:tcW w:w="346" w:type="dxa"/>
            <w:tcBorders/>
            <w:vAlign w:val="center"/>
          </w:tcPr>
          <w:p>
            <w:pPr>
              <w:pStyle w:val="TableContents"/>
              <w:bidi w:val="0"/>
              <w:spacing w:before="0" w:after="1"/>
              <w:ind w:left="0" w:right="0" w:hanging="0"/>
              <w:jc w:val="left"/>
              <w:rPr/>
            </w:pPr>
            <w:r>
              <w:rPr/>
              <w:t>​</w:t>
            </w:r>
          </w:p>
        </w:tc>
        <w:tc>
          <w:tcPr>
            <w:tcW w:w="676" w:type="dxa"/>
            <w:gridSpan w:val="2"/>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 xml:space="preserve">Total </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37" w:type="dxa"/>
            <w:gridSpan w:val="2"/>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 xml:space="preserve">Selected </w:t>
            </w:r>
          </w:p>
        </w:tc>
      </w:tr>
      <w:tr>
        <w:trPr/>
        <w:tc>
          <w:tcPr>
            <w:tcW w:w="361" w:type="dxa"/>
            <w:tcBorders/>
            <w:vAlign w:val="center"/>
          </w:tcPr>
          <w:p>
            <w:pPr>
              <w:pStyle w:val="TableContents"/>
              <w:bidi w:val="0"/>
              <w:spacing w:before="0" w:after="1"/>
              <w:ind w:left="0" w:right="0" w:hanging="0"/>
              <w:jc w:val="center"/>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Compensation</w:t>
            </w:r>
          </w:p>
        </w:tc>
        <w:tc>
          <w:tcPr>
            <w:tcW w:w="346" w:type="dxa"/>
            <w:tcBorders/>
            <w:vAlign w:val="center"/>
          </w:tcPr>
          <w:p>
            <w:pPr>
              <w:pStyle w:val="TableContents"/>
              <w:bidi w:val="0"/>
              <w:spacing w:before="0" w:after="1"/>
              <w:ind w:left="0" w:right="0" w:hanging="0"/>
              <w:jc w:val="left"/>
              <w:rPr/>
            </w:pPr>
            <w:r>
              <w:rPr/>
              <w:t>​</w:t>
            </w:r>
          </w:p>
        </w:tc>
        <w:tc>
          <w:tcPr>
            <w:tcW w:w="872" w:type="dxa"/>
            <w:gridSpan w:val="2"/>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Actually</w:t>
            </w:r>
          </w:p>
        </w:tc>
        <w:tc>
          <w:tcPr>
            <w:tcW w:w="346" w:type="dxa"/>
            <w:tcBorders/>
            <w:vAlign w:val="center"/>
          </w:tcPr>
          <w:p>
            <w:pPr>
              <w:pStyle w:val="TableContents"/>
              <w:bidi w:val="0"/>
              <w:spacing w:before="0" w:after="1"/>
              <w:ind w:left="0" w:right="0" w:hanging="0"/>
              <w:jc w:val="left"/>
              <w:rPr/>
            </w:pPr>
            <w:r>
              <w:rPr/>
              <w:t>​</w:t>
            </w:r>
          </w:p>
        </w:tc>
        <w:tc>
          <w:tcPr>
            <w:tcW w:w="812" w:type="dxa"/>
            <w:gridSpan w:val="2"/>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Compensation</w:t>
            </w:r>
          </w:p>
        </w:tc>
        <w:tc>
          <w:tcPr>
            <w:tcW w:w="346" w:type="dxa"/>
            <w:tcBorders/>
            <w:vAlign w:val="center"/>
          </w:tcPr>
          <w:p>
            <w:pPr>
              <w:pStyle w:val="TableContents"/>
              <w:bidi w:val="0"/>
              <w:spacing w:before="0" w:after="1"/>
              <w:ind w:left="0" w:right="0" w:hanging="0"/>
              <w:jc w:val="left"/>
              <w:rPr/>
            </w:pPr>
            <w:r>
              <w:rPr/>
              <w:t>​</w:t>
            </w:r>
          </w:p>
        </w:tc>
        <w:tc>
          <w:tcPr>
            <w:tcW w:w="812" w:type="dxa"/>
            <w:gridSpan w:val="2"/>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Actually</w:t>
            </w:r>
          </w:p>
        </w:tc>
        <w:tc>
          <w:tcPr>
            <w:tcW w:w="34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Compensation</w:t>
            </w:r>
          </w:p>
        </w:tc>
        <w:tc>
          <w:tcPr>
            <w:tcW w:w="34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Compensation</w:t>
            </w:r>
          </w:p>
        </w:tc>
        <w:tc>
          <w:tcPr>
            <w:tcW w:w="346" w:type="dxa"/>
            <w:tcBorders/>
            <w:vAlign w:val="center"/>
          </w:tcPr>
          <w:p>
            <w:pPr>
              <w:pStyle w:val="TableContents"/>
              <w:bidi w:val="0"/>
              <w:spacing w:before="0" w:after="1"/>
              <w:ind w:left="0" w:right="0" w:hanging="0"/>
              <w:jc w:val="left"/>
              <w:rPr/>
            </w:pPr>
            <w:r>
              <w:rPr/>
              <w:t>​</w:t>
            </w:r>
          </w:p>
        </w:tc>
        <w:tc>
          <w:tcPr>
            <w:tcW w:w="781" w:type="dxa"/>
            <w:gridSpan w:val="2"/>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Compensation</w:t>
            </w:r>
          </w:p>
        </w:tc>
        <w:tc>
          <w:tcPr>
            <w:tcW w:w="346" w:type="dxa"/>
            <w:tcBorders/>
            <w:vAlign w:val="center"/>
          </w:tcPr>
          <w:p>
            <w:pPr>
              <w:pStyle w:val="TableContents"/>
              <w:bidi w:val="0"/>
              <w:spacing w:before="0" w:after="1"/>
              <w:ind w:left="0" w:right="0" w:hanging="0"/>
              <w:jc w:val="left"/>
              <w:rPr/>
            </w:pPr>
            <w:r>
              <w:rPr/>
              <w:t>​</w:t>
            </w:r>
          </w:p>
        </w:tc>
        <w:tc>
          <w:tcPr>
            <w:tcW w:w="812" w:type="dxa"/>
            <w:gridSpan w:val="2"/>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Compensation</w:t>
            </w:r>
          </w:p>
        </w:tc>
        <w:tc>
          <w:tcPr>
            <w:tcW w:w="346" w:type="dxa"/>
            <w:tcBorders/>
            <w:vAlign w:val="center"/>
          </w:tcPr>
          <w:p>
            <w:pPr>
              <w:pStyle w:val="TableContents"/>
              <w:bidi w:val="0"/>
              <w:spacing w:before="0" w:after="1"/>
              <w:ind w:left="0" w:right="0" w:hanging="0"/>
              <w:jc w:val="left"/>
              <w:rPr/>
            </w:pPr>
            <w:r>
              <w:rPr/>
              <w:t>​</w:t>
            </w:r>
          </w:p>
        </w:tc>
        <w:tc>
          <w:tcPr>
            <w:tcW w:w="676" w:type="dxa"/>
            <w:gridSpan w:val="2"/>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Shareholder</w:t>
            </w:r>
          </w:p>
        </w:tc>
        <w:tc>
          <w:tcPr>
            <w:tcW w:w="346" w:type="dxa"/>
            <w:tcBorders/>
            <w:vAlign w:val="center"/>
          </w:tcPr>
          <w:p>
            <w:pPr>
              <w:pStyle w:val="TableContents"/>
              <w:bidi w:val="0"/>
              <w:spacing w:before="0" w:after="1"/>
              <w:ind w:left="0" w:right="0" w:hanging="0"/>
              <w:jc w:val="left"/>
              <w:rPr/>
            </w:pPr>
            <w:r>
              <w:rPr/>
              <w:t>​</w:t>
            </w:r>
          </w:p>
        </w:tc>
        <w:tc>
          <w:tcPr>
            <w:tcW w:w="676" w:type="dxa"/>
            <w:gridSpan w:val="2"/>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Shareholder</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37" w:type="dxa"/>
            <w:gridSpan w:val="2"/>
            <w:tcBorders/>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 xml:space="preserve">Measure - </w:t>
            </w:r>
          </w:p>
        </w:tc>
      </w:tr>
      <w:tr>
        <w:trPr/>
        <w:tc>
          <w:tcPr>
            <w:tcW w:w="3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Year</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Table Total (1)</w:t>
            </w:r>
          </w:p>
        </w:tc>
        <w:tc>
          <w:tcPr>
            <w:tcW w:w="346" w:type="dxa"/>
            <w:tcBorders/>
            <w:vAlign w:val="center"/>
          </w:tcPr>
          <w:p>
            <w:pPr>
              <w:pStyle w:val="TableContents"/>
              <w:bidi w:val="0"/>
              <w:spacing w:before="0" w:after="1"/>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Paid to PEO (2)</w:t>
            </w:r>
          </w:p>
        </w:tc>
        <w:tc>
          <w:tcPr>
            <w:tcW w:w="346" w:type="dxa"/>
            <w:tcBorders/>
            <w:vAlign w:val="center"/>
          </w:tcPr>
          <w:p>
            <w:pPr>
              <w:pStyle w:val="TableContents"/>
              <w:bidi w:val="0"/>
              <w:spacing w:before="0" w:after="1"/>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Table Total (1)</w:t>
            </w:r>
          </w:p>
        </w:tc>
        <w:tc>
          <w:tcPr>
            <w:tcW w:w="346" w:type="dxa"/>
            <w:tcBorders/>
            <w:vAlign w:val="center"/>
          </w:tcPr>
          <w:p>
            <w:pPr>
              <w:pStyle w:val="TableContents"/>
              <w:bidi w:val="0"/>
              <w:spacing w:before="0" w:after="1"/>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Paid to PEO (2)</w:t>
            </w:r>
          </w:p>
        </w:tc>
        <w:tc>
          <w:tcPr>
            <w:tcW w:w="346" w:type="dxa"/>
            <w:tcBorders/>
            <w:vAlign w:val="center"/>
          </w:tcPr>
          <w:p>
            <w:pPr>
              <w:pStyle w:val="TableContents"/>
              <w:bidi w:val="0"/>
              <w:spacing w:before="0" w:after="1"/>
              <w:ind w:left="0" w:right="0" w:hanging="0"/>
              <w:jc w:val="left"/>
              <w:rPr/>
            </w:pPr>
            <w:r>
              <w:rPr/>
              <w:t>  ​ ​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Table Total (1)</w:t>
            </w:r>
          </w:p>
        </w:tc>
        <w:tc>
          <w:tcPr>
            <w:tcW w:w="346" w:type="dxa"/>
            <w:tcBorders/>
            <w:vAlign w:val="center"/>
          </w:tcPr>
          <w:p>
            <w:pPr>
              <w:pStyle w:val="TableContents"/>
              <w:bidi w:val="0"/>
              <w:spacing w:before="0" w:after="1"/>
              <w:ind w:left="0" w:right="0" w:hanging="0"/>
              <w:jc w:val="left"/>
              <w:rPr/>
            </w:pPr>
            <w:r>
              <w:rPr/>
              <w:t>  ​ ​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Actually Paid (2)</w:t>
            </w:r>
          </w:p>
        </w:tc>
        <w:tc>
          <w:tcPr>
            <w:tcW w:w="346" w:type="dxa"/>
            <w:tcBorders/>
            <w:vAlign w:val="center"/>
          </w:tcPr>
          <w:p>
            <w:pPr>
              <w:pStyle w:val="TableContents"/>
              <w:bidi w:val="0"/>
              <w:spacing w:before="0" w:after="1"/>
              <w:ind w:left="0" w:right="0" w:hanging="0"/>
              <w:jc w:val="left"/>
              <w:rPr/>
            </w:pPr>
            <w:r>
              <w:rPr/>
              <w:t>  ​ ​ ​</w:t>
            </w:r>
          </w:p>
        </w:tc>
        <w:tc>
          <w:tcPr>
            <w:tcW w:w="78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Table Total (3)</w:t>
            </w:r>
          </w:p>
        </w:tc>
        <w:tc>
          <w:tcPr>
            <w:tcW w:w="346" w:type="dxa"/>
            <w:tcBorders/>
            <w:vAlign w:val="center"/>
          </w:tcPr>
          <w:p>
            <w:pPr>
              <w:pStyle w:val="TableContents"/>
              <w:bidi w:val="0"/>
              <w:spacing w:before="0" w:after="1"/>
              <w:ind w:left="0" w:right="0" w:hanging="0"/>
              <w:jc w:val="left"/>
              <w:rPr/>
            </w:pPr>
            <w:r>
              <w:rPr/>
              <w:t>  ​ ​ ​</w:t>
            </w:r>
          </w:p>
        </w:tc>
        <w:tc>
          <w:tcPr>
            <w:tcW w:w="8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Actually Paid (2)</w:t>
            </w:r>
          </w:p>
        </w:tc>
        <w:tc>
          <w:tcPr>
            <w:tcW w:w="346" w:type="dxa"/>
            <w:tcBorders/>
            <w:vAlign w:val="center"/>
          </w:tcPr>
          <w:p>
            <w:pPr>
              <w:pStyle w:val="TableContents"/>
              <w:bidi w:val="0"/>
              <w:spacing w:before="0" w:after="1"/>
              <w:ind w:left="0" w:right="0" w:hanging="0"/>
              <w:jc w:val="left"/>
              <w:rPr/>
            </w:pPr>
            <w:r>
              <w:rPr/>
              <w:t>  ​ ​ ​</w:t>
            </w:r>
          </w:p>
        </w:tc>
        <w:tc>
          <w:tcPr>
            <w:tcW w:w="6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Return (TSR) (4)</w:t>
            </w:r>
          </w:p>
        </w:tc>
        <w:tc>
          <w:tcPr>
            <w:tcW w:w="346" w:type="dxa"/>
            <w:tcBorders/>
            <w:vAlign w:val="center"/>
          </w:tcPr>
          <w:p>
            <w:pPr>
              <w:pStyle w:val="TableContents"/>
              <w:bidi w:val="0"/>
              <w:spacing w:before="0" w:after="1"/>
              <w:ind w:left="0" w:right="0" w:hanging="0"/>
              <w:jc w:val="left"/>
              <w:rPr/>
            </w:pPr>
            <w:r>
              <w:rPr/>
              <w:t>  ​ ​ ​</w:t>
            </w:r>
          </w:p>
        </w:tc>
        <w:tc>
          <w:tcPr>
            <w:tcW w:w="67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Return (5)</w:t>
            </w:r>
          </w:p>
        </w:tc>
        <w:tc>
          <w:tcPr>
            <w:tcW w:w="346" w:type="dxa"/>
            <w:tcBorders/>
            <w:vAlign w:val="center"/>
          </w:tcPr>
          <w:p>
            <w:pPr>
              <w:pStyle w:val="TableContents"/>
              <w:bidi w:val="0"/>
              <w:spacing w:before="0" w:after="1"/>
              <w:ind w:left="0" w:right="0" w:hanging="0"/>
              <w:jc w:val="left"/>
              <w:rPr/>
            </w:pPr>
            <w:r>
              <w:rPr/>
              <w:t>  ​ ​ ​</w:t>
            </w:r>
          </w:p>
        </w:tc>
        <w:tc>
          <w:tcPr>
            <w:tcW w:w="5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Net Income</w:t>
            </w:r>
          </w:p>
        </w:tc>
        <w:tc>
          <w:tcPr>
            <w:tcW w:w="346" w:type="dxa"/>
            <w:tcBorders/>
            <w:vAlign w:val="center"/>
          </w:tcPr>
          <w:p>
            <w:pPr>
              <w:pStyle w:val="TableContents"/>
              <w:bidi w:val="0"/>
              <w:spacing w:before="0" w:after="1"/>
              <w:ind w:left="0" w:right="0" w:hanging="0"/>
              <w:jc w:val="left"/>
              <w:rPr/>
            </w:pPr>
            <w:r>
              <w:rPr/>
              <w:t>  ​ ​ ​</w:t>
            </w:r>
          </w:p>
        </w:tc>
        <w:tc>
          <w:tcPr>
            <w:tcW w:w="7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1"/>
              </w:rPr>
            </w:pPr>
            <w:r>
              <w:rPr>
                <w:rFonts w:ascii="Times New Roman;Times;serif" w:hAnsi="Times New Roman;Times;serif"/>
                <w:b/>
                <w:sz w:val="11"/>
              </w:rPr>
              <w:t>Revenue (6)</w:t>
            </w:r>
          </w:p>
        </w:tc>
      </w:tr>
      <w:tr>
        <w:trPr/>
        <w:tc>
          <w:tcPr>
            <w:tcW w:w="13260" w:type="dxa"/>
            <w:gridSpan w:val="36"/>
            <w:tcBorders/>
            <w:vAlign w:val="center"/>
          </w:tcPr>
          <w:p>
            <w:pPr>
              <w:pStyle w:val="TableContents"/>
              <w:bidi w:val="0"/>
              <w:spacing w:before="0" w:after="283"/>
              <w:ind w:left="0" w:right="0" w:hanging="0"/>
              <w:jc w:val="left"/>
              <w:rPr>
                <w:sz w:val="4"/>
                <w:szCs w:val="4"/>
              </w:rPr>
            </w:pPr>
            <w:r>
              <w:rPr>
                <w:sz w:val="4"/>
                <w:szCs w:val="4"/>
              </w:rPr>
            </w:r>
          </w:p>
        </w:tc>
      </w:tr>
      <w:tr>
        <w:trPr/>
        <w:tc>
          <w:tcPr>
            <w:tcW w:w="361" w:type="dxa"/>
            <w:tcBorders/>
            <w:vAlign w:val="center"/>
          </w:tcPr>
          <w:p>
            <w:pPr>
              <w:pStyle w:val="TableContents"/>
              <w:bidi w:val="0"/>
              <w:spacing w:before="0" w:after="1"/>
              <w:ind w:left="0" w:right="0" w:hanging="0"/>
              <w:jc w:val="center"/>
              <w:rPr/>
            </w:pPr>
            <w:r>
              <w:rPr/>
              <w:t>​</w:t>
            </w:r>
          </w:p>
        </w:tc>
        <w:tc>
          <w:tcPr>
            <w:tcW w:w="172" w:type="dxa"/>
            <w:tcBorders/>
            <w:vAlign w:val="center"/>
          </w:tcPr>
          <w:p>
            <w:pPr>
              <w:pStyle w:val="TableContents"/>
              <w:bidi w:val="0"/>
              <w:spacing w:before="0" w:after="1"/>
              <w:ind w:left="0" w:right="0" w:hanging="0"/>
              <w:jc w:val="left"/>
              <w:rPr/>
            </w:pPr>
            <w:r>
              <w:rPr/>
              <w:t>​</w:t>
            </w:r>
          </w:p>
        </w:tc>
        <w:tc>
          <w:tcPr>
            <w:tcW w:w="6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70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72" w:type="dxa"/>
            <w:tcBorders/>
            <w:vAlign w:val="center"/>
          </w:tcPr>
          <w:p>
            <w:pPr>
              <w:pStyle w:val="TableContents"/>
              <w:bidi w:val="0"/>
              <w:spacing w:before="0" w:after="1"/>
              <w:ind w:left="0" w:right="0" w:hanging="0"/>
              <w:jc w:val="left"/>
              <w:rPr/>
            </w:pPr>
            <w:r>
              <w:rPr/>
              <w:t>​</w:t>
            </w:r>
          </w:p>
        </w:tc>
        <w:tc>
          <w:tcPr>
            <w:tcW w:w="6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72" w:type="dxa"/>
            <w:tcBorders/>
            <w:vAlign w:val="center"/>
          </w:tcPr>
          <w:p>
            <w:pPr>
              <w:pStyle w:val="TableContents"/>
              <w:bidi w:val="0"/>
              <w:spacing w:before="0" w:after="1"/>
              <w:ind w:left="0" w:right="0" w:hanging="0"/>
              <w:jc w:val="left"/>
              <w:rPr/>
            </w:pPr>
            <w:r>
              <w:rPr/>
              <w:t>​</w:t>
            </w:r>
          </w:p>
        </w:tc>
        <w:tc>
          <w:tcPr>
            <w:tcW w:w="6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2" w:type="dxa"/>
            <w:tcBorders/>
            <w:vAlign w:val="center"/>
          </w:tcPr>
          <w:p>
            <w:pPr>
              <w:pStyle w:val="TableContents"/>
              <w:bidi w:val="0"/>
              <w:spacing w:before="0" w:after="1"/>
              <w:ind w:left="0" w:right="0" w:hanging="0"/>
              <w:jc w:val="left"/>
              <w:rPr/>
            </w:pPr>
            <w:r>
              <w:rPr/>
              <w:t>​</w:t>
            </w:r>
          </w:p>
        </w:tc>
        <w:tc>
          <w:tcPr>
            <w:tcW w:w="609"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pPr>
            <w:r>
              <w:rPr/>
              <w:t>​</w:t>
            </w:r>
          </w:p>
        </w:tc>
        <w:tc>
          <w:tcPr>
            <w:tcW w:w="46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pPr>
            <w:r>
              <w:rPr/>
              <w:t>​</w:t>
            </w:r>
          </w:p>
        </w:tc>
        <w:tc>
          <w:tcPr>
            <w:tcW w:w="490"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1489" w:type="dxa"/>
            <w:gridSpan w:val="4"/>
            <w:tcBorders/>
            <w:vAlign w:val="center"/>
          </w:tcPr>
          <w:p>
            <w:pPr>
              <w:pStyle w:val="TableContents"/>
              <w:bidi w:val="0"/>
              <w:spacing w:before="0" w:after="1"/>
              <w:ind w:left="0" w:right="0" w:hanging="0"/>
              <w:jc w:val="center"/>
              <w:rPr>
                <w:rFonts w:ascii="Times New Roman;Times;serif" w:hAnsi="Times New Roman;Times;serif"/>
                <w:sz w:val="11"/>
              </w:rPr>
            </w:pPr>
            <w:r>
              <w:rPr>
                <w:rFonts w:ascii="Times New Roman;Times;serif" w:hAnsi="Times New Roman;Times;serif"/>
                <w:sz w:val="11"/>
              </w:rPr>
              <w:t>(In Millions)</w:t>
            </w:r>
          </w:p>
        </w:tc>
      </w:tr>
      <w:tr>
        <w:trPr/>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2025</w:t>
            </w:r>
          </w:p>
        </w:tc>
        <w:tc>
          <w:tcPr>
            <w:tcW w:w="172"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09"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4,648,665</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706"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173,174,888</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8,567,712</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86,749,950</w:t>
            </w:r>
          </w:p>
        </w:tc>
        <w:tc>
          <w:tcPr>
            <w:tcW w:w="346" w:type="dxa"/>
            <w:tcBorders/>
            <w:shd w:fill="CCEEFF" w:val="clear"/>
            <w:vAlign w:val="center"/>
          </w:tcPr>
          <w:p>
            <w:pPr>
              <w:pStyle w:val="TableContents"/>
              <w:bidi w:val="0"/>
              <w:spacing w:before="0" w:after="1"/>
              <w:ind w:left="0" w:right="0" w:hanging="0"/>
              <w:jc w:val="left"/>
              <w:rPr/>
            </w:pPr>
            <w:r>
              <w:rPr/>
              <w:t>​</w:t>
            </w:r>
          </w:p>
        </w:tc>
        <w:tc>
          <w:tcPr>
            <w:tcW w:w="172"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2"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2"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09"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1,329,786</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19,672,798</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469"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48.92</w:t>
            </w:r>
          </w:p>
        </w:tc>
        <w:tc>
          <w:tcPr>
            <w:tcW w:w="34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490"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106.40</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406"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(51.9)</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1,887.9</w:t>
            </w:r>
          </w:p>
        </w:tc>
      </w:tr>
      <w:tr>
        <w:trPr/>
        <w:tc>
          <w:tcPr>
            <w:tcW w:w="361"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2024</w:t>
            </w:r>
          </w:p>
        </w:tc>
        <w:tc>
          <w:tcPr>
            <w:tcW w:w="172"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7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8,927,865</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88,775,893</w:t>
            </w:r>
          </w:p>
        </w:tc>
        <w:tc>
          <w:tcPr>
            <w:tcW w:w="346" w:type="dxa"/>
            <w:tcBorders/>
            <w:vAlign w:val="center"/>
          </w:tcPr>
          <w:p>
            <w:pPr>
              <w:pStyle w:val="TableContents"/>
              <w:bidi w:val="0"/>
              <w:spacing w:before="0" w:after="1"/>
              <w:ind w:left="0" w:right="0" w:hanging="0"/>
              <w:jc w:val="left"/>
              <w:rPr/>
            </w:pPr>
            <w:r>
              <w:rPr/>
              <w:t>​</w:t>
            </w:r>
          </w:p>
        </w:tc>
        <w:tc>
          <w:tcPr>
            <w:tcW w:w="172"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2"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2"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09" w:type="dxa"/>
            <w:tcBorders/>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5,271,261</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7,597,824</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469" w:type="dxa"/>
            <w:tcBorders/>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52.84</w:t>
            </w:r>
          </w:p>
        </w:tc>
        <w:tc>
          <w:tcPr>
            <w:tcW w:w="34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490" w:type="dxa"/>
            <w:tcBorders/>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111.11</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406" w:type="dxa"/>
            <w:tcBorders/>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(124.5)</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15,825.5</w:t>
            </w:r>
          </w:p>
        </w:tc>
      </w:tr>
      <w:tr>
        <w:trPr/>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2023</w:t>
            </w:r>
          </w:p>
        </w:tc>
        <w:tc>
          <w:tcPr>
            <w:tcW w:w="172"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7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7,190,962</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7,230,741</w:t>
            </w:r>
          </w:p>
        </w:tc>
        <w:tc>
          <w:tcPr>
            <w:tcW w:w="346" w:type="dxa"/>
            <w:tcBorders/>
            <w:shd w:fill="CCEEFF" w:val="clear"/>
            <w:vAlign w:val="center"/>
          </w:tcPr>
          <w:p>
            <w:pPr>
              <w:pStyle w:val="TableContents"/>
              <w:bidi w:val="0"/>
              <w:spacing w:before="0" w:after="1"/>
              <w:ind w:left="0" w:right="0" w:hanging="0"/>
              <w:jc w:val="left"/>
              <w:rPr/>
            </w:pPr>
            <w:r>
              <w:rPr/>
              <w:t>​</w:t>
            </w:r>
          </w:p>
        </w:tc>
        <w:tc>
          <w:tcPr>
            <w:tcW w:w="172"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2"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2"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09"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1,030,992</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1,091,461</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469"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38.24</w:t>
            </w:r>
          </w:p>
        </w:tc>
        <w:tc>
          <w:tcPr>
            <w:tcW w:w="34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490"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94.83</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406"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(496.1)</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1,755.6</w:t>
            </w:r>
          </w:p>
        </w:tc>
      </w:tr>
      <w:tr>
        <w:trPr/>
        <w:tc>
          <w:tcPr>
            <w:tcW w:w="361"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2022</w:t>
            </w:r>
          </w:p>
        </w:tc>
        <w:tc>
          <w:tcPr>
            <w:tcW w:w="172"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0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70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15,288,135</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11,355,035</w:t>
            </w:r>
          </w:p>
        </w:tc>
        <w:tc>
          <w:tcPr>
            <w:tcW w:w="346" w:type="dxa"/>
            <w:tcBorders/>
            <w:vAlign w:val="center"/>
          </w:tcPr>
          <w:p>
            <w:pPr>
              <w:pStyle w:val="TableContents"/>
              <w:bidi w:val="0"/>
              <w:spacing w:before="0" w:after="1"/>
              <w:ind w:left="0" w:right="0" w:hanging="0"/>
              <w:jc w:val="left"/>
              <w:rPr/>
            </w:pPr>
            <w:r>
              <w:rPr/>
              <w:t>​</w:t>
            </w:r>
          </w:p>
        </w:tc>
        <w:tc>
          <w:tcPr>
            <w:tcW w:w="172"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09" w:type="dxa"/>
            <w:tcBorders/>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635,518</w:t>
            </w:r>
          </w:p>
        </w:tc>
        <w:tc>
          <w:tcPr>
            <w:tcW w:w="346" w:type="dxa"/>
            <w:tcBorders/>
            <w:vAlign w:val="center"/>
          </w:tcPr>
          <w:p>
            <w:pPr>
              <w:pStyle w:val="TableContents"/>
              <w:bidi w:val="0"/>
              <w:spacing w:before="0" w:after="1"/>
              <w:ind w:left="0" w:right="0" w:hanging="0"/>
              <w:jc w:val="left"/>
              <w:rPr/>
            </w:pPr>
            <w:r>
              <w:rPr/>
              <w:t>​</w:t>
            </w:r>
          </w:p>
        </w:tc>
        <w:tc>
          <w:tcPr>
            <w:tcW w:w="172"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09" w:type="dxa"/>
            <w:tcBorders/>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507,438</w:t>
            </w:r>
          </w:p>
        </w:tc>
        <w:tc>
          <w:tcPr>
            <w:tcW w:w="346" w:type="dxa"/>
            <w:tcBorders/>
            <w:vAlign w:val="center"/>
          </w:tcPr>
          <w:p>
            <w:pPr>
              <w:pStyle w:val="TableContents"/>
              <w:bidi w:val="0"/>
              <w:spacing w:before="0" w:after="1"/>
              <w:ind w:left="0" w:right="0" w:hanging="0"/>
              <w:jc w:val="left"/>
              <w:rPr/>
            </w:pPr>
            <w:r>
              <w:rPr/>
              <w:t>​</w:t>
            </w:r>
          </w:p>
        </w:tc>
        <w:tc>
          <w:tcPr>
            <w:tcW w:w="172"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09" w:type="dxa"/>
            <w:tcBorders/>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1,814,059</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1,182,949</w:t>
            </w:r>
          </w:p>
        </w:tc>
        <w:tc>
          <w:tcPr>
            <w:tcW w:w="346" w:type="dxa"/>
            <w:tcBorders/>
            <w:vAlign w:val="center"/>
          </w:tcPr>
          <w:p>
            <w:pPr>
              <w:pStyle w:val="TableContents"/>
              <w:bidi w:val="0"/>
              <w:spacing w:before="0" w:after="1"/>
              <w:ind w:left="0" w:right="0" w:hanging="0"/>
              <w:jc w:val="left"/>
              <w:rPr/>
            </w:pPr>
            <w:r>
              <w:rPr/>
              <w:t>​</w:t>
            </w:r>
          </w:p>
        </w:tc>
        <w:tc>
          <w:tcPr>
            <w:tcW w:w="207"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469" w:type="dxa"/>
            <w:tcBorders/>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38.50</w:t>
            </w:r>
          </w:p>
        </w:tc>
        <w:tc>
          <w:tcPr>
            <w:tcW w:w="346" w:type="dxa"/>
            <w:tcBorders/>
            <w:vAlign w:val="center"/>
          </w:tcPr>
          <w:p>
            <w:pPr>
              <w:pStyle w:val="TableContents"/>
              <w:bidi w:val="0"/>
              <w:spacing w:before="0" w:after="1"/>
              <w:ind w:left="0" w:right="0" w:hanging="0"/>
              <w:jc w:val="left"/>
              <w:rPr/>
            </w:pPr>
            <w:r>
              <w:rPr/>
              <w:t>​</w:t>
            </w:r>
          </w:p>
        </w:tc>
        <w:tc>
          <w:tcPr>
            <w:tcW w:w="186"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490" w:type="dxa"/>
            <w:tcBorders/>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85.09</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406" w:type="dxa"/>
            <w:tcBorders/>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166.5</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1,998.1</w:t>
            </w:r>
          </w:p>
        </w:tc>
      </w:tr>
      <w:tr>
        <w:trPr/>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2021</w:t>
            </w:r>
          </w:p>
        </w:tc>
        <w:tc>
          <w:tcPr>
            <w:tcW w:w="172"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0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7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2"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09"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1,775,101</w:t>
            </w:r>
          </w:p>
        </w:tc>
        <w:tc>
          <w:tcPr>
            <w:tcW w:w="346" w:type="dxa"/>
            <w:tcBorders/>
            <w:shd w:fill="CCEEFF" w:val="clear"/>
            <w:vAlign w:val="center"/>
          </w:tcPr>
          <w:p>
            <w:pPr>
              <w:pStyle w:val="TableContents"/>
              <w:bidi w:val="0"/>
              <w:spacing w:before="0" w:after="1"/>
              <w:ind w:left="0" w:right="0" w:hanging="0"/>
              <w:jc w:val="left"/>
              <w:rPr/>
            </w:pPr>
            <w:r>
              <w:rPr/>
              <w:t>​</w:t>
            </w:r>
          </w:p>
        </w:tc>
        <w:tc>
          <w:tcPr>
            <w:tcW w:w="172"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09"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1,978,621</w:t>
            </w:r>
          </w:p>
        </w:tc>
        <w:tc>
          <w:tcPr>
            <w:tcW w:w="346" w:type="dxa"/>
            <w:tcBorders/>
            <w:shd w:fill="CCEEFF" w:val="clear"/>
            <w:vAlign w:val="center"/>
          </w:tcPr>
          <w:p>
            <w:pPr>
              <w:pStyle w:val="TableContents"/>
              <w:bidi w:val="0"/>
              <w:spacing w:before="0" w:after="1"/>
              <w:ind w:left="0" w:right="0" w:hanging="0"/>
              <w:jc w:val="left"/>
              <w:rPr/>
            </w:pPr>
            <w:r>
              <w:rPr/>
              <w:t>​</w:t>
            </w:r>
          </w:p>
        </w:tc>
        <w:tc>
          <w:tcPr>
            <w:tcW w:w="172"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09"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1,458,856</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1,675,670</w:t>
            </w:r>
          </w:p>
        </w:tc>
        <w:tc>
          <w:tcPr>
            <w:tcW w:w="346" w:type="dxa"/>
            <w:tcBorders/>
            <w:shd w:fill="CCEEFF" w:val="clear"/>
            <w:vAlign w:val="center"/>
          </w:tcPr>
          <w:p>
            <w:pPr>
              <w:pStyle w:val="TableContents"/>
              <w:bidi w:val="0"/>
              <w:spacing w:before="0" w:after="1"/>
              <w:ind w:left="0" w:right="0" w:hanging="0"/>
              <w:jc w:val="left"/>
              <w:rPr/>
            </w:pPr>
            <w:r>
              <w:rPr/>
              <w:t>​</w:t>
            </w:r>
          </w:p>
        </w:tc>
        <w:tc>
          <w:tcPr>
            <w:tcW w:w="207"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469"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60.83</w:t>
            </w:r>
          </w:p>
        </w:tc>
        <w:tc>
          <w:tcPr>
            <w:tcW w:w="346" w:type="dxa"/>
            <w:tcBorders/>
            <w:shd w:fill="CCEEFF" w:val="clear"/>
            <w:vAlign w:val="center"/>
          </w:tcPr>
          <w:p>
            <w:pPr>
              <w:pStyle w:val="TableContents"/>
              <w:bidi w:val="0"/>
              <w:spacing w:before="0" w:after="1"/>
              <w:ind w:left="0" w:right="0" w:hanging="0"/>
              <w:jc w:val="left"/>
              <w:rPr/>
            </w:pPr>
            <w:r>
              <w:rPr/>
              <w:t>​</w:t>
            </w:r>
          </w:p>
        </w:tc>
        <w:tc>
          <w:tcPr>
            <w:tcW w:w="186"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490"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99.48</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406" w:type="dxa"/>
            <w:tcBorders/>
            <w:shd w:fill="CCEEFF" w:val="clear"/>
            <w:vAlign w:val="center"/>
          </w:tcPr>
          <w:p>
            <w:pPr>
              <w:pStyle w:val="TableContents"/>
              <w:bidi w:val="0"/>
              <w:spacing w:before="0" w:after="1"/>
              <w:ind w:left="0" w:right="0" w:hanging="0"/>
              <w:jc w:val="right"/>
              <w:rPr>
                <w:rFonts w:ascii="Times New Roman;Times;serif" w:hAnsi="Times New Roman;Times;serif"/>
                <w:sz w:val="11"/>
              </w:rPr>
            </w:pPr>
            <w:r>
              <w:rPr>
                <w:rFonts w:ascii="Times New Roman;Times;serif" w:hAnsi="Times New Roman;Times;serif"/>
                <w:sz w:val="11"/>
              </w:rPr>
              <w:t>62.7</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1"/>
              </w:rPr>
            </w:pPr>
            <w:r>
              <w:rPr>
                <w:rFonts w:ascii="Times New Roman;Times;serif" w:hAnsi="Times New Roman;Times;serif"/>
                <w:sz w:val="11"/>
              </w:rPr>
              <w:t>$</w:t>
            </w:r>
          </w:p>
        </w:tc>
        <w:tc>
          <w:tcPr>
            <w:tcW w:w="571" w:type="dxa"/>
            <w:tcBorders/>
            <w:shd w:fill="CCEEFF" w:val="clear"/>
            <w:vAlign w:val="center"/>
          </w:tcPr>
          <w:p>
            <w:pPr>
              <w:pStyle w:val="TableContents"/>
              <w:bidi w:val="0"/>
              <w:spacing w:before="0" w:after="1"/>
              <w:ind w:left="0" w:right="36" w:hanging="0"/>
              <w:jc w:val="right"/>
              <w:rPr>
                <w:rFonts w:ascii="Times New Roman;Times;serif" w:hAnsi="Times New Roman;Times;serif"/>
                <w:sz w:val="11"/>
              </w:rPr>
            </w:pPr>
            <w:r>
              <w:rPr>
                <w:rFonts w:ascii="Times New Roman;Times;serif" w:hAnsi="Times New Roman;Times;serif"/>
                <w:sz w:val="11"/>
              </w:rPr>
              <w:t>1,985.7</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20"/>
              <w:jc w:val="both"/>
              <w:rPr>
                <w:rFonts w:ascii="Times New Roman;Times;serif" w:hAnsi="Times New Roman;Times;serif"/>
                <w:sz w:val="20"/>
              </w:rPr>
            </w:pPr>
            <w:r>
              <w:rPr>
                <w:rFonts w:ascii="Times New Roman;Times;serif" w:hAnsi="Times New Roman;Times;serif"/>
                <w:sz w:val="20"/>
              </w:rPr>
              <w:t>(1)</w:t>
            </w:r>
          </w:p>
        </w:tc>
        <w:tc>
          <w:tcPr>
            <w:tcW w:w="9900" w:type="dxa"/>
            <w:tcBorders/>
            <w:vAlign w:val="center"/>
          </w:tcPr>
          <w:p>
            <w:pPr>
              <w:pStyle w:val="TableContents"/>
              <w:bidi w:val="0"/>
              <w:spacing w:before="0" w:after="20"/>
              <w:jc w:val="both"/>
              <w:rPr>
                <w:rFonts w:ascii="Times New Roman;Times;serif" w:hAnsi="Times New Roman;Times;serif"/>
                <w:sz w:val="20"/>
              </w:rPr>
            </w:pPr>
            <w:r>
              <w:rPr>
                <w:rFonts w:ascii="Times New Roman;Times;serif" w:hAnsi="Times New Roman;Times;serif"/>
                <w:sz w:val="20"/>
              </w:rPr>
              <w:t>Mr. Ergen became our Chief Executive Officer effective November 6, 2025.  Mr. Akhavan was our Chief Executive Officers from 2023 to November 6, 2025.  During 2022, our Chief Executive Officers were Mr. Dugan (until March 31, 2022) and Mr. Akhavan (beginning March 31, 2022). For 2021, our Chief Executive Officer was Mr. Dugan.</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0"/>
              <w:jc w:val="both"/>
              <w:rPr>
                <w:rFonts w:ascii="Times New Roman;Times;serif" w:hAnsi="Times New Roman;Times;serif"/>
                <w:sz w:val="20"/>
              </w:rPr>
            </w:pPr>
            <w:r>
              <w:rPr>
                <w:rFonts w:ascii="Times New Roman;Times;serif" w:hAnsi="Times New Roman;Times;serif"/>
                <w:sz w:val="20"/>
              </w:rPr>
              <w:t>(2)</w:t>
            </w:r>
          </w:p>
        </w:tc>
        <w:tc>
          <w:tcPr>
            <w:tcW w:w="9897" w:type="dxa"/>
            <w:tcBorders/>
            <w:vAlign w:val="center"/>
          </w:tcPr>
          <w:p>
            <w:pPr>
              <w:pStyle w:val="TableContents"/>
              <w:bidi w:val="0"/>
              <w:spacing w:before="0" w:after="20"/>
              <w:jc w:val="both"/>
              <w:rPr>
                <w:rFonts w:ascii="Times New Roman;Times;serif" w:hAnsi="Times New Roman;Times;serif"/>
                <w:sz w:val="20"/>
              </w:rPr>
            </w:pPr>
            <w:r>
              <w:rPr>
                <w:rFonts w:ascii="Times New Roman;Times;serif" w:hAnsi="Times New Roman;Times;serif"/>
                <w:sz w:val="20"/>
              </w:rPr>
              <w:t>Compensation Actually Paid (“CAP”) is calculated in accordance with Item 402(v) of Regulation S-K. The tables below set forth the adjustments made during each year presented in the table above to arrive at CAP to our “Named Executive Officers” or “NEOs” during each of the years in question.</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0"/>
              <w:jc w:val="both"/>
              <w:rPr>
                <w:rFonts w:ascii="Times New Roman;Times;serif" w:hAnsi="Times New Roman;Times;serif"/>
                <w:sz w:val="20"/>
              </w:rPr>
            </w:pPr>
            <w:r>
              <w:rPr>
                <w:rFonts w:ascii="Times New Roman;Times;serif" w:hAnsi="Times New Roman;Times;serif"/>
                <w:sz w:val="20"/>
              </w:rPr>
              <w:t>(3)</w:t>
            </w:r>
          </w:p>
        </w:tc>
        <w:tc>
          <w:tcPr>
            <w:tcW w:w="9902" w:type="dxa"/>
            <w:tcBorders/>
            <w:vAlign w:val="center"/>
          </w:tcPr>
          <w:p>
            <w:pPr>
              <w:pStyle w:val="TableContents"/>
              <w:bidi w:val="0"/>
              <w:spacing w:before="0" w:after="20"/>
              <w:jc w:val="both"/>
              <w:rPr>
                <w:rFonts w:ascii="Times New Roman;Times;serif" w:hAnsi="Times New Roman;Times;serif"/>
                <w:sz w:val="20"/>
              </w:rPr>
            </w:pPr>
            <w:r>
              <w:rPr>
                <w:rFonts w:ascii="Times New Roman;Times;serif" w:hAnsi="Times New Roman;Times;serif"/>
                <w:sz w:val="20"/>
              </w:rPr>
              <w:t>During 2025, our non-CEO NEOs consisted of Messrs. Gaske, Manson, Orban and Swieringa.  During 2024, our non-CEO NEOs consisted of Messrs. Manson, Orban and Swieringa.  During 2023, our non-CEO NEOs consisted of Messrs. Gaske, Manson, Morris and Ramaswamy. During 2022 and 2021, our non-CEO NEOs consisted of Messrs. Johnson, Kaul, Manson and Rayner.</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0"/>
              <w:jc w:val="both"/>
              <w:rPr>
                <w:rFonts w:ascii="Times New Roman;Times;serif" w:hAnsi="Times New Roman;Times;serif"/>
                <w:sz w:val="20"/>
              </w:rPr>
            </w:pPr>
            <w:r>
              <w:rPr>
                <w:rFonts w:ascii="Times New Roman;Times;serif" w:hAnsi="Times New Roman;Times;serif"/>
                <w:sz w:val="20"/>
              </w:rPr>
              <w:t>(4)</w:t>
            </w:r>
          </w:p>
        </w:tc>
        <w:tc>
          <w:tcPr>
            <w:tcW w:w="9890" w:type="dxa"/>
            <w:tcBorders/>
            <w:vAlign w:val="center"/>
          </w:tcPr>
          <w:p>
            <w:pPr>
              <w:pStyle w:val="TableContents"/>
              <w:bidi w:val="0"/>
              <w:spacing w:before="0" w:after="20"/>
              <w:jc w:val="both"/>
              <w:rPr>
                <w:rFonts w:ascii="Times New Roman;Times;serif" w:hAnsi="Times New Roman;Times;serif"/>
                <w:sz w:val="20"/>
              </w:rPr>
            </w:pPr>
            <w:r>
              <w:rPr>
                <w:rFonts w:ascii="Times New Roman;Times;serif" w:hAnsi="Times New Roman;Times;serif"/>
                <w:sz w:val="20"/>
              </w:rPr>
              <w:t>Total Shareholder Return (“TSR”) is the value of a $100 investment in our Class A common stock made on December 31, 2020, as of December 31 in each of 2025, 2024, 2023, 2022 and 2021, assuming reinvestment of all dividends.</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0"/>
              <w:jc w:val="both"/>
              <w:rPr>
                <w:rFonts w:ascii="Times New Roman;Times;serif" w:hAnsi="Times New Roman;Times;serif"/>
                <w:sz w:val="20"/>
              </w:rPr>
            </w:pPr>
            <w:r>
              <w:rPr>
                <w:rFonts w:ascii="Times New Roman;Times;serif" w:hAnsi="Times New Roman;Times;serif"/>
                <w:sz w:val="20"/>
              </w:rPr>
              <w:t>(5)</w:t>
            </w:r>
          </w:p>
        </w:tc>
        <w:tc>
          <w:tcPr>
            <w:tcW w:w="9913" w:type="dxa"/>
            <w:tcBorders/>
            <w:vAlign w:val="center"/>
          </w:tcPr>
          <w:p>
            <w:pPr>
              <w:pStyle w:val="TableContents"/>
              <w:bidi w:val="0"/>
              <w:spacing w:before="0" w:after="20"/>
              <w:jc w:val="both"/>
              <w:rPr>
                <w:rFonts w:ascii="Times New Roman;Times;serif" w:hAnsi="Times New Roman;Times;serif"/>
                <w:sz w:val="20"/>
              </w:rPr>
            </w:pPr>
            <w:r>
              <w:rPr>
                <w:rFonts w:ascii="Times New Roman;Times;serif" w:hAnsi="Times New Roman;Times;serif"/>
                <w:sz w:val="20"/>
                <w:shd w:fill="FFFFFF" w:val="clear"/>
              </w:rPr>
              <w:t xml:space="preserve">Represents the weighted TSR for our established peer group, weighted according to the respective companies’ stock market capitalization at the beginning of each period for which a return is indicated.  </w:t>
            </w:r>
            <w:r>
              <w:rPr>
                <w:rFonts w:ascii="Times New Roman;Times;serif" w:hAnsi="Times New Roman;Times;serif"/>
                <w:sz w:val="20"/>
              </w:rPr>
              <w:t>The peer group used by the Company during 2025 and 2024 consists of AT&amp;T Inc., Charter Communications, Inc., Comcast Corporation, T-Mobile US Inc., Viasat Inc. and Verizon Communications Inc. The peer group used by the Company during 2023 and 2022 consists of Gilat Satellite Networks Ltd., ViaSat, Inc., SES S.A. and Eutelsat Communications S.A. The peer group used by the Company in 2021 consisted of those companies, plus Intelsat S.A. Intelsat S.A. was removed from the peer group because it emerged from U.S. bankruptcy proceedings in February 2022 as a private company. Using the 2021 peer group, TSR would have been $68.21 in 2021 and $50.11 in 2022. Using the 2023 peer group, TSR would have been $71.10 in 2021, $54.36 in 2022, $49.55 in 2023 and $22.91 in 2024.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16" w:name="Tc_SJCkahe8UUuaE7jSak6nGw_9_14"/>
      <w:bookmarkStart w:id="217" w:name="Tc_Yx9buMtJ80GYPQII6VEing_9_11"/>
      <w:bookmarkStart w:id="218" w:name="Tc_0HbiTDZLNkmsoy9Fzk3HOg_9_8"/>
      <w:bookmarkStart w:id="219" w:name="Tc_0UOPSRxPX0iCXiDjfxRlFw_9_5"/>
      <w:bookmarkStart w:id="220" w:name="Tc_t5NjoKQFXUy3jTJ_LtPdqQ_9_2"/>
      <w:bookmarkStart w:id="221" w:name="Tc_8vuPeoyfk02QNVAP_rYPwQ_9_0"/>
      <w:bookmarkStart w:id="222" w:name="Tc_ei8lW5EgdEGuOUsKfCToKw_8_15"/>
      <w:bookmarkStart w:id="223" w:name="Tc_s5h7Sdo8bka4Z83y1RCiZA_8_9"/>
      <w:bookmarkStart w:id="224" w:name="Tc_VvGB2-bLC0K0LsoFvKWQSg_8_6"/>
      <w:bookmarkStart w:id="225" w:name="Tc_P-aII1tfL0SWjYf1odBFuw_8_3"/>
      <w:bookmarkStart w:id="226" w:name="Tc_FVOot2spHkC8eSThXQmDrA_8_0"/>
      <w:bookmarkStart w:id="227" w:name="Tc_OwLl8PJapkCDRibGhBrbeQ_7_0"/>
      <w:bookmarkStart w:id="228" w:name="Tc_btVA24tKBEGWfpQi0vPYlg_6_0"/>
      <w:bookmarkStart w:id="229" w:name="Tc_QGOzG_O8qEGPC3hiVPYT3Q_5_15"/>
      <w:bookmarkStart w:id="230" w:name="Tc_gXAUOZi6jEGgI2QuuVBjyw_5_12"/>
      <w:bookmarkStart w:id="231" w:name="Tc_GhWplHQLEEy6v2OMDZix1Q_5_9"/>
      <w:bookmarkStart w:id="232" w:name="Tc_lVx80oGzN0SmKx8SaT9edA_5_6"/>
      <w:bookmarkStart w:id="233" w:name="Tc_5TuzJzsRxE2sQq5WXemMBw_5_0"/>
      <w:bookmarkStart w:id="234" w:name="Tc___QhaMY2UUq6M7eF_23cnw_4_15"/>
      <w:bookmarkStart w:id="235" w:name="Tc_Mg2nuqTlBU6sX5jTX0OqsQ_4_9"/>
      <w:bookmarkStart w:id="236" w:name="Tc__M79x-baME2QuML1RUsyhg_4_0"/>
      <w:bookmarkStart w:id="237" w:name="Tc_wTtt4fEcK0-jMBoBCxPMTg_3_15"/>
      <w:bookmarkStart w:id="238" w:name="Tc_lczHD10RxECyC06Ronj_OQ_3_9"/>
      <w:bookmarkStart w:id="239" w:name="Tc_jb1Ob5VtqUCitUiz32jfhQ_3_0"/>
      <w:bookmarkStart w:id="240" w:name="Tc_DLxWTsgrYE6p8LpZCVpPsw_2_15"/>
      <w:bookmarkStart w:id="241" w:name="Tc_lg5wbXVSfkylkHxFmHV-bA_2_14"/>
      <w:bookmarkStart w:id="242" w:name="Tc_ES1i6OapLU6U7s7_5e3-4Q_2_12"/>
      <w:bookmarkStart w:id="243" w:name="Tc_w03nSCH7J0yln6WFirKHlA_2_11"/>
      <w:bookmarkStart w:id="244" w:name="Tc_TPUZywFfC0Kl_D0PkyHnKw_2_9"/>
      <w:bookmarkStart w:id="245" w:name="Tc_qtRXtlXsAU28oKXjEKmY7w_2_8"/>
      <w:bookmarkStart w:id="246" w:name="Tc_SR-icEuqpk2BbdGXs4S35Q_2_5"/>
      <w:bookmarkStart w:id="247" w:name="Tc_GdwkP9wMa0edBpGrjShW1w_2_2"/>
      <w:bookmarkStart w:id="248" w:name="Tc_qrybldKfbE6D5kUGnEoOHA_2_0"/>
      <w:bookmarkStart w:id="249" w:name="Tc_8M5mVOJMSUGEFcp1fq1Dxg_1_14"/>
      <w:bookmarkStart w:id="250" w:name="Tc_IyYXln6_BEmzCaDgMfZ-Og_1_11"/>
      <w:bookmarkStart w:id="251" w:name="Tc_uCTmsEtNXkKbWWZtzWTUmA_1_8"/>
      <w:bookmarkStart w:id="252" w:name="Tc_AhlRjJuSYEqRrlt8iJhxVw_1_5"/>
      <w:bookmarkStart w:id="253" w:name="Tc_p9ywMzAes0-iPUYRDRWagA_1_2"/>
      <w:bookmarkStart w:id="254" w:name="Tc_t8v4nNj-0Eqk9JbsjZUX9w_1_0"/>
      <w:bookmarkStart w:id="255" w:name="Tc_PSiEi3jyWEyniMzCzxKs7g_10_20"/>
      <w:bookmarkStart w:id="256" w:name="Tc_F37DhLFGQEaYkLtKDcBABQ_10_17"/>
      <w:bookmarkStart w:id="257" w:name="Tc_DrwYwyLYak2vTR8b3FUsFA_10_14"/>
      <w:bookmarkStart w:id="258" w:name="Tc_nxe1pinPbUuYiqqJOdqceg_10_11"/>
      <w:bookmarkStart w:id="259" w:name="Tc_pCkFmSf7pEmEY2jTdQbAPg_10_8"/>
      <w:bookmarkStart w:id="260" w:name="Tc_UeYXzIfI4kydrtrtMx_ZGg_10_5"/>
      <w:bookmarkStart w:id="261" w:name="Tc_biTcr7odM0ix_20YhJq8TA_10_2"/>
      <w:bookmarkStart w:id="262" w:name="Tc_uV98fqhMR06j0j3YodudEA_10_0"/>
      <w:bookmarkStart w:id="263" w:name="Tc_K4IB5GfM30aKy2e8QXPMsQ_9_15"/>
      <w:bookmarkStart w:id="264" w:name="Tc_wyz17DtrX0mLhybPPGk_Hw_9_9"/>
      <w:bookmarkStart w:id="265" w:name="Tc_-NAHkqLFcEi7iXNHaXi7Jw_9_6"/>
      <w:bookmarkStart w:id="266" w:name="Tc_Lwa7eNAkFUSq33STVE61pw_9_3"/>
      <w:bookmarkStart w:id="267" w:name="Tc_Hf6XlMzENEqeYvhLsPjkEw_9_0"/>
      <w:bookmarkStart w:id="268" w:name="Tc_QjgDpkaax0qVDrQwREHong_8_15"/>
      <w:bookmarkStart w:id="269" w:name="Tc_tQHtu3PQB023ZC_t877CMQ_8_3"/>
      <w:bookmarkStart w:id="270" w:name="Tc_uVyQ5bXlU0OpVBqIQwXjuw_8_0"/>
      <w:bookmarkStart w:id="271" w:name="Tc_NK_DGuLXgUuLNcfVwnY0cg_7_21"/>
      <w:bookmarkStart w:id="272" w:name="Tc_2EZ0L_w8BE6lPSOvyfKL1A_7_18"/>
      <w:bookmarkStart w:id="273" w:name="Tc_gyWI4YglAkmN_XPbgmc1GA_7_15"/>
      <w:bookmarkStart w:id="274" w:name="Tc_DYuukwCF3EOPrAslrB6zPQ_7_0"/>
      <w:bookmarkStart w:id="275" w:name="Tc_4QTna72E8U2S1RZxhddUYg_6_21"/>
      <w:bookmarkStart w:id="276" w:name="Tc_ut1VMGqeDEuk9h-Vpi-FYA_6_18"/>
      <w:bookmarkStart w:id="277" w:name="Tc_a2lR0voQtkSshaHGKiOU_Q_6_3"/>
      <w:bookmarkStart w:id="278" w:name="Tc_BN4r7gx--kiDsAyymrnYXQ_6_0"/>
      <w:bookmarkStart w:id="279" w:name="Tc_OHMDJdQNiEqGy_sV4RIf3g_5_21"/>
      <w:bookmarkStart w:id="280" w:name="Tc_thjCg9mzTkmKBjvWChCfRg_5_18"/>
      <w:bookmarkStart w:id="281" w:name="Tc_7yPSsB-tD0S71N64DVK0ig_5_12"/>
      <w:bookmarkStart w:id="282" w:name="Tc_qzpUTx73kU295ZBoOt3x8g_5_9"/>
      <w:bookmarkStart w:id="283" w:name="Tc_FKftZHpDmU2vyQZCRxVIMA_5_6"/>
      <w:bookmarkStart w:id="284" w:name="Tc_AUZwmVEbr0ygRTNaYuVSnw_5_3"/>
      <w:bookmarkStart w:id="285" w:name="Tc_fz6hGVJi6k67hFZ_kycwYw_5_0"/>
      <w:bookmarkStart w:id="286" w:name="Tc_WzsGtHIbUUOJvYNN1T87fA_4_21"/>
      <w:bookmarkStart w:id="287" w:name="Tc_fEO65FCpKUOaIJWPS9BKcg_4_18"/>
      <w:bookmarkStart w:id="288" w:name="Tc_VVIsLI_IkE2XGs98Ep6oPw_4_9"/>
      <w:bookmarkStart w:id="289" w:name="Tc_yqt3ibyKh0W7kc4YC2ux3Q_4_6"/>
      <w:bookmarkStart w:id="290" w:name="Tc_3QraRjgd1keA8TXPjqgwAg_4_3"/>
      <w:bookmarkStart w:id="291" w:name="Tc_Ph3kkOzCxEWo4MtsXaCo5g_4_0"/>
      <w:bookmarkStart w:id="292" w:name="Tc_fkinJ-xURkiLUY59XKSWLQ_3_21"/>
      <w:bookmarkStart w:id="293" w:name="Tc_0MQXEWOh7kOFeMUvjHnlmw_3_20"/>
      <w:bookmarkStart w:id="294" w:name="Tc_RYaD_xbX40u6zPl2S-TvGQ_3_18"/>
      <w:bookmarkStart w:id="295" w:name="Tc_z1BPproN6kmhvwdVT6I0gA_3_17"/>
      <w:bookmarkStart w:id="296" w:name="Tc_YlqW1N4O6EeKBacpVhA9QA_3_14"/>
      <w:bookmarkStart w:id="297" w:name="Tc_lc3rOf3UTUqbtj7CCUg4_w_3_12"/>
      <w:bookmarkStart w:id="298" w:name="Tc_2_ROSu6fCES7iF0LgrpBMQ_3_11"/>
      <w:bookmarkStart w:id="299" w:name="Tc_-Vuuy5WK6kuaeOPD0K6IRA_3_8"/>
      <w:bookmarkStart w:id="300" w:name="Tc_UojnjkscDEi7g8Md4Ide8A_3_5"/>
      <w:bookmarkStart w:id="301" w:name="Tc_Zlb-qjNXeU2ghbnin65wJw_3_3"/>
      <w:bookmarkStart w:id="302" w:name="Tc_0syr69HXE0yB6R6s7pN6_A_3_2"/>
      <w:bookmarkStart w:id="303" w:name="Tc_KoVgtPG9hUqoT31z7uEG4w_3_0"/>
      <w:bookmarkStart w:id="304" w:name="Tc_tSGGVihthU2lTb2BDTKuag_2_20"/>
      <w:bookmarkStart w:id="305" w:name="Tc_i3XTjnL7MkGhGyhVbR8hXw_2_17"/>
      <w:bookmarkStart w:id="306" w:name="Tc_3-PmLjA8pk-UePSRiPM_DA_2_14"/>
      <w:bookmarkStart w:id="307" w:name="Tc_6NUFq0A20Um4708rWp1GVA_2_11"/>
      <w:bookmarkStart w:id="308" w:name="Tc_DXeBe1WCmUSIvHMxAENGbQ_2_8"/>
      <w:bookmarkStart w:id="309" w:name="Tc_bag5OHFofUKegg3xfPGlrQ_2_5"/>
      <w:bookmarkStart w:id="310" w:name="Tc_DQO5H0h350SZjtAyCKhF-g_2_2"/>
      <w:bookmarkStart w:id="311" w:name="Tc_dj8LpMWgUk2fYFtY-wynbA_2_0"/>
      <w:bookmarkStart w:id="312" w:name="Tc_IgSitScMb0WY8fHdDzv0sg_1_17"/>
      <w:bookmarkStart w:id="313" w:name="Tc_jEetAa4bEk2ny-Im-twYTQ_1_5"/>
      <w:bookmarkStart w:id="314" w:name="Tc_q4Hhd8cnvUmdltvYe3R-EQ_1_2"/>
      <w:bookmarkStart w:id="315" w:name="Tc_SJCkahe8UUuaE7jSak6nGw_9_14"/>
      <w:bookmarkStart w:id="316" w:name="Tc_Yx9buMtJ80GYPQII6VEing_9_11"/>
      <w:bookmarkStart w:id="317" w:name="Tc_0HbiTDZLNkmsoy9Fzk3HOg_9_8"/>
      <w:bookmarkStart w:id="318" w:name="Tc_0UOPSRxPX0iCXiDjfxRlFw_9_5"/>
      <w:bookmarkStart w:id="319" w:name="Tc_t5NjoKQFXUy3jTJ_LtPdqQ_9_2"/>
      <w:bookmarkStart w:id="320" w:name="Tc_8vuPeoyfk02QNVAP_rYPwQ_9_0"/>
      <w:bookmarkStart w:id="321" w:name="Tc_ei8lW5EgdEGuOUsKfCToKw_8_15"/>
      <w:bookmarkStart w:id="322" w:name="Tc_s5h7Sdo8bka4Z83y1RCiZA_8_9"/>
      <w:bookmarkStart w:id="323" w:name="Tc_VvGB2-bLC0K0LsoFvKWQSg_8_6"/>
      <w:bookmarkStart w:id="324" w:name="Tc_P-aII1tfL0SWjYf1odBFuw_8_3"/>
      <w:bookmarkStart w:id="325" w:name="Tc_FVOot2spHkC8eSThXQmDrA_8_0"/>
      <w:bookmarkStart w:id="326" w:name="Tc_OwLl8PJapkCDRibGhBrbeQ_7_0"/>
      <w:bookmarkStart w:id="327" w:name="Tc_btVA24tKBEGWfpQi0vPYlg_6_0"/>
      <w:bookmarkStart w:id="328" w:name="Tc_QGOzG_O8qEGPC3hiVPYT3Q_5_15"/>
      <w:bookmarkStart w:id="329" w:name="Tc_gXAUOZi6jEGgI2QuuVBjyw_5_12"/>
      <w:bookmarkStart w:id="330" w:name="Tc_GhWplHQLEEy6v2OMDZix1Q_5_9"/>
      <w:bookmarkStart w:id="331" w:name="Tc_lVx80oGzN0SmKx8SaT9edA_5_6"/>
      <w:bookmarkStart w:id="332" w:name="Tc_5TuzJzsRxE2sQq5WXemMBw_5_0"/>
      <w:bookmarkStart w:id="333" w:name="Tc___QhaMY2UUq6M7eF_23cnw_4_15"/>
      <w:bookmarkStart w:id="334" w:name="Tc_Mg2nuqTlBU6sX5jTX0OqsQ_4_9"/>
      <w:bookmarkStart w:id="335" w:name="Tc__M79x-baME2QuML1RUsyhg_4_0"/>
      <w:bookmarkStart w:id="336" w:name="Tc_wTtt4fEcK0-jMBoBCxPMTg_3_15"/>
      <w:bookmarkStart w:id="337" w:name="Tc_lczHD10RxECyC06Ronj_OQ_3_9"/>
      <w:bookmarkStart w:id="338" w:name="Tc_jb1Ob5VtqUCitUiz32jfhQ_3_0"/>
      <w:bookmarkStart w:id="339" w:name="Tc_DLxWTsgrYE6p8LpZCVpPsw_2_15"/>
      <w:bookmarkStart w:id="340" w:name="Tc_lg5wbXVSfkylkHxFmHV-bA_2_14"/>
      <w:bookmarkStart w:id="341" w:name="Tc_ES1i6OapLU6U7s7_5e3-4Q_2_12"/>
      <w:bookmarkStart w:id="342" w:name="Tc_w03nSCH7J0yln6WFirKHlA_2_11"/>
      <w:bookmarkStart w:id="343" w:name="Tc_TPUZywFfC0Kl_D0PkyHnKw_2_9"/>
      <w:bookmarkStart w:id="344" w:name="Tc_qtRXtlXsAU28oKXjEKmY7w_2_8"/>
      <w:bookmarkStart w:id="345" w:name="Tc_SR-icEuqpk2BbdGXs4S35Q_2_5"/>
      <w:bookmarkStart w:id="346" w:name="Tc_GdwkP9wMa0edBpGrjShW1w_2_2"/>
      <w:bookmarkStart w:id="347" w:name="Tc_qrybldKfbE6D5kUGnEoOHA_2_0"/>
      <w:bookmarkStart w:id="348" w:name="Tc_8M5mVOJMSUGEFcp1fq1Dxg_1_14"/>
      <w:bookmarkStart w:id="349" w:name="Tc_IyYXln6_BEmzCaDgMfZ-Og_1_11"/>
      <w:bookmarkStart w:id="350" w:name="Tc_uCTmsEtNXkKbWWZtzWTUmA_1_8"/>
      <w:bookmarkStart w:id="351" w:name="Tc_AhlRjJuSYEqRrlt8iJhxVw_1_5"/>
      <w:bookmarkStart w:id="352" w:name="Tc_p9ywMzAes0-iPUYRDRWagA_1_2"/>
      <w:bookmarkStart w:id="353" w:name="Tc_t8v4nNj-0Eqk9JbsjZUX9w_1_0"/>
      <w:bookmarkStart w:id="354" w:name="Tc_PSiEi3jyWEyniMzCzxKs7g_10_20"/>
      <w:bookmarkStart w:id="355" w:name="Tc_F37DhLFGQEaYkLtKDcBABQ_10_17"/>
      <w:bookmarkStart w:id="356" w:name="Tc_DrwYwyLYak2vTR8b3FUsFA_10_14"/>
      <w:bookmarkStart w:id="357" w:name="Tc_nxe1pinPbUuYiqqJOdqceg_10_11"/>
      <w:bookmarkStart w:id="358" w:name="Tc_pCkFmSf7pEmEY2jTdQbAPg_10_8"/>
      <w:bookmarkStart w:id="359" w:name="Tc_UeYXzIfI4kydrtrtMx_ZGg_10_5"/>
      <w:bookmarkStart w:id="360" w:name="Tc_biTcr7odM0ix_20YhJq8TA_10_2"/>
      <w:bookmarkStart w:id="361" w:name="Tc_uV98fqhMR06j0j3YodudEA_10_0"/>
      <w:bookmarkStart w:id="362" w:name="Tc_K4IB5GfM30aKy2e8QXPMsQ_9_15"/>
      <w:bookmarkStart w:id="363" w:name="Tc_wyz17DtrX0mLhybPPGk_Hw_9_9"/>
      <w:bookmarkStart w:id="364" w:name="Tc_-NAHkqLFcEi7iXNHaXi7Jw_9_6"/>
      <w:bookmarkStart w:id="365" w:name="Tc_Lwa7eNAkFUSq33STVE61pw_9_3"/>
      <w:bookmarkStart w:id="366" w:name="Tc_Hf6XlMzENEqeYvhLsPjkEw_9_0"/>
      <w:bookmarkStart w:id="367" w:name="Tc_QjgDpkaax0qVDrQwREHong_8_15"/>
      <w:bookmarkStart w:id="368" w:name="Tc_tQHtu3PQB023ZC_t877CMQ_8_3"/>
      <w:bookmarkStart w:id="369" w:name="Tc_uVyQ5bXlU0OpVBqIQwXjuw_8_0"/>
      <w:bookmarkStart w:id="370" w:name="Tc_NK_DGuLXgUuLNcfVwnY0cg_7_21"/>
      <w:bookmarkStart w:id="371" w:name="Tc_2EZ0L_w8BE6lPSOvyfKL1A_7_18"/>
      <w:bookmarkStart w:id="372" w:name="Tc_gyWI4YglAkmN_XPbgmc1GA_7_15"/>
      <w:bookmarkStart w:id="373" w:name="Tc_DYuukwCF3EOPrAslrB6zPQ_7_0"/>
      <w:bookmarkStart w:id="374" w:name="Tc_4QTna72E8U2S1RZxhddUYg_6_21"/>
      <w:bookmarkStart w:id="375" w:name="Tc_ut1VMGqeDEuk9h-Vpi-FYA_6_18"/>
      <w:bookmarkStart w:id="376" w:name="Tc_a2lR0voQtkSshaHGKiOU_Q_6_3"/>
      <w:bookmarkStart w:id="377" w:name="Tc_BN4r7gx--kiDsAyymrnYXQ_6_0"/>
      <w:bookmarkStart w:id="378" w:name="Tc_OHMDJdQNiEqGy_sV4RIf3g_5_21"/>
      <w:bookmarkStart w:id="379" w:name="Tc_thjCg9mzTkmKBjvWChCfRg_5_18"/>
      <w:bookmarkStart w:id="380" w:name="Tc_7yPSsB-tD0S71N64DVK0ig_5_12"/>
      <w:bookmarkStart w:id="381" w:name="Tc_qzpUTx73kU295ZBoOt3x8g_5_9"/>
      <w:bookmarkStart w:id="382" w:name="Tc_FKftZHpDmU2vyQZCRxVIMA_5_6"/>
      <w:bookmarkStart w:id="383" w:name="Tc_AUZwmVEbr0ygRTNaYuVSnw_5_3"/>
      <w:bookmarkStart w:id="384" w:name="Tc_fz6hGVJi6k67hFZ_kycwYw_5_0"/>
      <w:bookmarkStart w:id="385" w:name="Tc_WzsGtHIbUUOJvYNN1T87fA_4_21"/>
      <w:bookmarkStart w:id="386" w:name="Tc_fEO65FCpKUOaIJWPS9BKcg_4_18"/>
      <w:bookmarkStart w:id="387" w:name="Tc_VVIsLI_IkE2XGs98Ep6oPw_4_9"/>
      <w:bookmarkStart w:id="388" w:name="Tc_yqt3ibyKh0W7kc4YC2ux3Q_4_6"/>
      <w:bookmarkStart w:id="389" w:name="Tc_3QraRjgd1keA8TXPjqgwAg_4_3"/>
      <w:bookmarkStart w:id="390" w:name="Tc_Ph3kkOzCxEWo4MtsXaCo5g_4_0"/>
      <w:bookmarkStart w:id="391" w:name="Tc_fkinJ-xURkiLUY59XKSWLQ_3_21"/>
      <w:bookmarkStart w:id="392" w:name="Tc_0MQXEWOh7kOFeMUvjHnlmw_3_20"/>
      <w:bookmarkStart w:id="393" w:name="Tc_RYaD_xbX40u6zPl2S-TvGQ_3_18"/>
      <w:bookmarkStart w:id="394" w:name="Tc_z1BPproN6kmhvwdVT6I0gA_3_17"/>
      <w:bookmarkStart w:id="395" w:name="Tc_YlqW1N4O6EeKBacpVhA9QA_3_14"/>
      <w:bookmarkStart w:id="396" w:name="Tc_lc3rOf3UTUqbtj7CCUg4_w_3_12"/>
      <w:bookmarkStart w:id="397" w:name="Tc_2_ROSu6fCES7iF0LgrpBMQ_3_11"/>
      <w:bookmarkStart w:id="398" w:name="Tc_-Vuuy5WK6kuaeOPD0K6IRA_3_8"/>
      <w:bookmarkStart w:id="399" w:name="Tc_UojnjkscDEi7g8Md4Ide8A_3_5"/>
      <w:bookmarkStart w:id="400" w:name="Tc_Zlb-qjNXeU2ghbnin65wJw_3_3"/>
      <w:bookmarkStart w:id="401" w:name="Tc_0syr69HXE0yB6R6s7pN6_A_3_2"/>
      <w:bookmarkStart w:id="402" w:name="Tc_KoVgtPG9hUqoT31z7uEG4w_3_0"/>
      <w:bookmarkStart w:id="403" w:name="Tc_tSGGVihthU2lTb2BDTKuag_2_20"/>
      <w:bookmarkStart w:id="404" w:name="Tc_i3XTjnL7MkGhGyhVbR8hXw_2_17"/>
      <w:bookmarkStart w:id="405" w:name="Tc_3-PmLjA8pk-UePSRiPM_DA_2_14"/>
      <w:bookmarkStart w:id="406" w:name="Tc_6NUFq0A20Um4708rWp1GVA_2_11"/>
      <w:bookmarkStart w:id="407" w:name="Tc_DXeBe1WCmUSIvHMxAENGbQ_2_8"/>
      <w:bookmarkStart w:id="408" w:name="Tc_bag5OHFofUKegg3xfPGlrQ_2_5"/>
      <w:bookmarkStart w:id="409" w:name="Tc_DQO5H0h350SZjtAyCKhF-g_2_2"/>
      <w:bookmarkStart w:id="410" w:name="Tc_dj8LpMWgUk2fYFtY-wynbA_2_0"/>
      <w:bookmarkStart w:id="411" w:name="Tc_IgSitScMb0WY8fHdDzv0sg_1_17"/>
      <w:bookmarkStart w:id="412" w:name="Tc_jEetAa4bEk2ny-Im-twYTQ_1_5"/>
      <w:bookmarkStart w:id="413" w:name="Tc_q4Hhd8cnvUmdltvYe3R-EQ_1_2"/>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tbl>
      <w:tblPr>
        <w:tblW w:w="9902" w:type="dxa"/>
        <w:jc w:val="left"/>
        <w:tblInd w:w="0" w:type="dxa"/>
        <w:tblLayout w:type="fixed"/>
        <w:tblCellMar>
          <w:top w:w="0" w:type="dxa"/>
          <w:left w:w="0" w:type="dxa"/>
          <w:bottom w:w="0" w:type="dxa"/>
          <w:right w:w="0" w:type="dxa"/>
        </w:tblCellMar>
      </w:tblPr>
      <w:tblGrid>
        <w:gridCol w:w="346"/>
        <w:gridCol w:w="9556"/>
      </w:tblGrid>
      <w:tr>
        <w:trPr/>
        <w:tc>
          <w:tcPr>
            <w:tcW w:w="346" w:type="dxa"/>
            <w:tcBorders/>
            <w:vAlign w:val="center"/>
          </w:tcPr>
          <w:p>
            <w:pPr>
              <w:pStyle w:val="TableContents"/>
              <w:bidi w:val="0"/>
              <w:spacing w:before="0" w:after="20"/>
              <w:jc w:val="both"/>
              <w:rPr>
                <w:rFonts w:ascii="Times New Roman;Times;serif" w:hAnsi="Times New Roman;Times;serif"/>
                <w:sz w:val="20"/>
              </w:rPr>
            </w:pPr>
            <w:r>
              <w:rPr>
                <w:rFonts w:ascii="Times New Roman;Times;serif" w:hAnsi="Times New Roman;Times;serif"/>
                <w:sz w:val="20"/>
              </w:rPr>
              <w:t>(6)</w:t>
            </w:r>
          </w:p>
        </w:tc>
        <w:tc>
          <w:tcPr>
            <w:tcW w:w="9556" w:type="dxa"/>
            <w:tcBorders/>
            <w:vAlign w:val="center"/>
          </w:tcPr>
          <w:p>
            <w:pPr>
              <w:pStyle w:val="TableContents"/>
              <w:bidi w:val="0"/>
              <w:spacing w:before="0" w:after="20"/>
              <w:jc w:val="both"/>
              <w:rPr>
                <w:rFonts w:ascii="Times New Roman;Times;serif" w:hAnsi="Times New Roman;Times;serif"/>
                <w:sz w:val="20"/>
              </w:rPr>
            </w:pPr>
            <w:r>
              <w:rPr>
                <w:rFonts w:ascii="Times New Roman;Times;serif" w:hAnsi="Times New Roman;Times;serif"/>
                <w:sz w:val="20"/>
              </w:rPr>
              <w:t xml:space="preserve">The Company-Selected Measure for 2025 and prior years was Revenue, which is defined as Company total revenue. </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671"/>
        <w:gridCol w:w="346"/>
        <w:gridCol w:w="166"/>
        <w:gridCol w:w="706"/>
        <w:gridCol w:w="109"/>
        <w:gridCol w:w="166"/>
        <w:gridCol w:w="653"/>
        <w:gridCol w:w="109"/>
        <w:gridCol w:w="166"/>
        <w:gridCol w:w="653"/>
        <w:gridCol w:w="346"/>
        <w:gridCol w:w="166"/>
        <w:gridCol w:w="641"/>
        <w:gridCol w:w="346"/>
        <w:gridCol w:w="166"/>
        <w:gridCol w:w="641"/>
        <w:gridCol w:w="346"/>
        <w:gridCol w:w="166"/>
        <w:gridCol w:w="551"/>
        <w:gridCol w:w="346"/>
        <w:gridCol w:w="166"/>
        <w:gridCol w:w="579"/>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696085" cy="175260"/>
                      <wp:effectExtent l="0" t="0" r="0" b="0"/>
                      <wp:wrapNone/>
                      <wp:docPr id="82" name="Frame78"/>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3"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05410" cy="175260"/>
                      <wp:effectExtent l="0" t="0" r="0" b="0"/>
                      <wp:wrapNone/>
                      <wp:docPr id="84" name="Frame80"/>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48310" cy="175260"/>
                      <wp:effectExtent l="0" t="0" r="0" b="0"/>
                      <wp:wrapNone/>
                      <wp:docPr id="85" name="Frame81"/>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86"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05410" cy="175260"/>
                      <wp:effectExtent l="0" t="0" r="0" b="0"/>
                      <wp:wrapNone/>
                      <wp:docPr id="87" name="Frame83"/>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14655" cy="175260"/>
                      <wp:effectExtent l="0" t="0" r="0" b="0"/>
                      <wp:wrapNone/>
                      <wp:docPr id="88" name="Frame84"/>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89" name="Frame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05410" cy="175260"/>
                      <wp:effectExtent l="0" t="0" r="0" b="0"/>
                      <wp:wrapNone/>
                      <wp:docPr id="90" name="Frame86"/>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14655" cy="175260"/>
                      <wp:effectExtent l="0" t="0" r="0" b="0"/>
                      <wp:wrapNone/>
                      <wp:docPr id="91" name="Frame87"/>
                      <a:graphic xmlns:a="http://schemas.openxmlformats.org/drawingml/2006/main">
                        <a:graphicData uri="http://schemas.microsoft.com/office/word/2010/wordprocessingShape">
                          <wps:wsp>
                            <wps:cNvSpPr txBox="1"/>
                            <wps:spPr>
                              <a:xfrm>
                                <a:off x="0" y="0"/>
                                <a:ext cx="414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2"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05410" cy="175260"/>
                      <wp:effectExtent l="0" t="0" r="0" b="0"/>
                      <wp:wrapNone/>
                      <wp:docPr id="93" name="Frame89"/>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07035" cy="175260"/>
                      <wp:effectExtent l="0" t="0" r="0" b="0"/>
                      <wp:wrapNone/>
                      <wp:docPr id="94" name="Frame90"/>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9710" cy="175260"/>
                      <wp:effectExtent l="0" t="0" r="0" b="0"/>
                      <wp:wrapNone/>
                      <wp:docPr id="95"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05410" cy="175260"/>
                      <wp:effectExtent l="0" t="0" r="0" b="0"/>
                      <wp:wrapNone/>
                      <wp:docPr id="96" name="Frame92"/>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07035" cy="175260"/>
                      <wp:effectExtent l="0" t="0" r="0" b="0"/>
                      <wp:wrapNone/>
                      <wp:docPr id="97" name="Frame93"/>
                      <a:graphic xmlns:a="http://schemas.openxmlformats.org/drawingml/2006/main">
                        <a:graphicData uri="http://schemas.microsoft.com/office/word/2010/wordprocessingShape">
                          <wps:wsp>
                            <wps:cNvSpPr txBox="1"/>
                            <wps:spPr>
                              <a:xfrm>
                                <a:off x="0" y="0"/>
                                <a:ext cx="407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98"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05410" cy="175260"/>
                      <wp:effectExtent l="0" t="0" r="0" b="0"/>
                      <wp:wrapNone/>
                      <wp:docPr id="99" name="Frame95"/>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49885" cy="175260"/>
                      <wp:effectExtent l="0" t="0" r="0" b="0"/>
                      <wp:wrapNone/>
                      <wp:docPr id="100" name="Frame96"/>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1"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05410" cy="175260"/>
                      <wp:effectExtent l="0" t="0" r="0" b="0"/>
                      <wp:wrapNone/>
                      <wp:docPr id="102" name="Frame98"/>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67665" cy="175260"/>
                      <wp:effectExtent l="0" t="0" r="0" b="0"/>
                      <wp:wrapNone/>
                      <wp:docPr id="103" name="Frame99"/>
                      <a:graphic xmlns:a="http://schemas.openxmlformats.org/drawingml/2006/main">
                        <a:graphicData uri="http://schemas.microsoft.com/office/word/2010/wordprocessingShape">
                          <wps:wsp>
                            <wps:cNvSpPr txBox="1"/>
                            <wps:spPr>
                              <a:xfrm>
                                <a:off x="0" y="0"/>
                                <a:ext cx="367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Mr. Ergen</w:t>
            </w:r>
          </w:p>
        </w:tc>
        <w:tc>
          <w:tcPr>
            <w:tcW w:w="109" w:type="dxa"/>
            <w:tcBorders/>
            <w:vAlign w:val="center"/>
          </w:tcPr>
          <w:p>
            <w:pPr>
              <w:pStyle w:val="TableContents"/>
              <w:bidi w:val="0"/>
              <w:spacing w:before="0" w:after="0"/>
              <w:ind w:left="0" w:right="0" w:hanging="0"/>
              <w:jc w:val="left"/>
              <w:rPr/>
            </w:pPr>
            <w:r>
              <w:rPr/>
              <w:t>​</w:t>
            </w:r>
          </w:p>
        </w:tc>
        <w:tc>
          <w:tcPr>
            <w:tcW w:w="405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Mr. Akhavan</w:t>
            </w:r>
          </w:p>
        </w:tc>
        <w:tc>
          <w:tcPr>
            <w:tcW w:w="346" w:type="dxa"/>
            <w:tcBorders/>
            <w:vAlign w:val="center"/>
          </w:tcPr>
          <w:p>
            <w:pPr>
              <w:pStyle w:val="TableContents"/>
              <w:bidi w:val="0"/>
              <w:spacing w:before="0" w:after="0"/>
              <w:ind w:left="0" w:right="0" w:hanging="0"/>
              <w:jc w:val="left"/>
              <w:rPr/>
            </w:pPr>
            <w:r>
              <w:rPr/>
              <w:t>​</w:t>
            </w:r>
          </w:p>
        </w:tc>
        <w:tc>
          <w:tcPr>
            <w:tcW w:w="18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Mr. Dugan</w:t>
            </w:r>
          </w:p>
        </w:tc>
      </w:tr>
      <w:tr>
        <w:trPr/>
        <w:tc>
          <w:tcPr>
            <w:tcW w:w="26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Adjustments to Determine CAP for PEOs</w:t>
            </w:r>
          </w:p>
        </w:tc>
        <w:tc>
          <w:tcPr>
            <w:tcW w:w="346" w:type="dxa"/>
            <w:tcBorders/>
            <w:vAlign w:val="center"/>
          </w:tcPr>
          <w:p>
            <w:pPr>
              <w:pStyle w:val="TableContents"/>
              <w:bidi w:val="0"/>
              <w:spacing w:before="0" w:after="0"/>
              <w:ind w:left="0" w:right="0" w:hanging="0"/>
              <w:jc w:val="left"/>
              <w:rPr/>
            </w:pPr>
            <w:r>
              <w:rPr/>
              <w:t>  ​ ​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2025</w:t>
            </w:r>
          </w:p>
        </w:tc>
        <w:tc>
          <w:tcPr>
            <w:tcW w:w="109" w:type="dxa"/>
            <w:tcBorders/>
            <w:vAlign w:val="center"/>
          </w:tcPr>
          <w:p>
            <w:pPr>
              <w:pStyle w:val="TableContents"/>
              <w:bidi w:val="0"/>
              <w:spacing w:before="0" w:after="0"/>
              <w:ind w:left="0" w:right="0" w:hanging="0"/>
              <w:jc w:val="left"/>
              <w:rPr/>
            </w:pPr>
            <w:r>
              <w:rPr/>
              <w:t>​</w:t>
            </w:r>
          </w:p>
        </w:tc>
        <w:tc>
          <w:tcPr>
            <w:tcW w:w="8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2025</w:t>
            </w:r>
          </w:p>
        </w:tc>
        <w:tc>
          <w:tcPr>
            <w:tcW w:w="109" w:type="dxa"/>
            <w:tcBorders/>
            <w:vAlign w:val="center"/>
          </w:tcPr>
          <w:p>
            <w:pPr>
              <w:pStyle w:val="TableContents"/>
              <w:bidi w:val="0"/>
              <w:spacing w:before="0" w:after="0"/>
              <w:ind w:left="0" w:right="0" w:hanging="0"/>
              <w:jc w:val="center"/>
              <w:rPr/>
            </w:pPr>
            <w:r>
              <w:rPr/>
              <w:t>​</w:t>
            </w:r>
          </w:p>
        </w:tc>
        <w:tc>
          <w:tcPr>
            <w:tcW w:w="8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2024</w:t>
            </w:r>
          </w:p>
        </w:tc>
        <w:tc>
          <w:tcPr>
            <w:tcW w:w="346" w:type="dxa"/>
            <w:tcBorders/>
            <w:vAlign w:val="center"/>
          </w:tcPr>
          <w:p>
            <w:pPr>
              <w:pStyle w:val="TableContents"/>
              <w:bidi w:val="0"/>
              <w:spacing w:before="0" w:after="0"/>
              <w:ind w:left="0" w:right="0" w:hanging="0"/>
              <w:jc w:val="left"/>
              <w:rPr/>
            </w:pPr>
            <w:r>
              <w:rPr/>
              <w:t>  ​ ​ ​</w:t>
            </w:r>
          </w:p>
        </w:tc>
        <w:tc>
          <w:tcPr>
            <w:tcW w:w="8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2023</w:t>
            </w:r>
          </w:p>
        </w:tc>
        <w:tc>
          <w:tcPr>
            <w:tcW w:w="346" w:type="dxa"/>
            <w:tcBorders/>
            <w:vAlign w:val="center"/>
          </w:tcPr>
          <w:p>
            <w:pPr>
              <w:pStyle w:val="TableContents"/>
              <w:bidi w:val="0"/>
              <w:spacing w:before="0" w:after="0"/>
              <w:ind w:left="0" w:right="0" w:hanging="0"/>
              <w:jc w:val="left"/>
              <w:rPr/>
            </w:pPr>
            <w:r>
              <w:rPr/>
              <w:t>  ​ ​ ​</w:t>
            </w:r>
          </w:p>
        </w:tc>
        <w:tc>
          <w:tcPr>
            <w:tcW w:w="8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2022</w:t>
            </w:r>
          </w:p>
        </w:tc>
        <w:tc>
          <w:tcPr>
            <w:tcW w:w="346" w:type="dxa"/>
            <w:tcBorders/>
            <w:vAlign w:val="center"/>
          </w:tcPr>
          <w:p>
            <w:pPr>
              <w:pStyle w:val="TableContents"/>
              <w:bidi w:val="0"/>
              <w:spacing w:before="0" w:after="0"/>
              <w:ind w:left="0" w:right="0" w:hanging="0"/>
              <w:jc w:val="left"/>
              <w:rPr/>
            </w:pPr>
            <w:r>
              <w:rPr/>
              <w:t>  ​ ​ ​</w:t>
            </w:r>
          </w:p>
        </w:tc>
        <w:tc>
          <w:tcPr>
            <w:tcW w:w="7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2022</w:t>
            </w:r>
          </w:p>
        </w:tc>
        <w:tc>
          <w:tcPr>
            <w:tcW w:w="346" w:type="dxa"/>
            <w:tcBorders/>
            <w:vAlign w:val="center"/>
          </w:tcPr>
          <w:p>
            <w:pPr>
              <w:pStyle w:val="TableContents"/>
              <w:bidi w:val="0"/>
              <w:spacing w:before="0" w:after="0"/>
              <w:ind w:left="0" w:right="0" w:hanging="0"/>
              <w:jc w:val="left"/>
              <w:rPr/>
            </w:pPr>
            <w:r>
              <w:rPr/>
              <w:t>  ​ ​ ​</w:t>
            </w:r>
          </w:p>
        </w:tc>
        <w:tc>
          <w:tcPr>
            <w:tcW w:w="7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2021</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Deduction for amounts reported under the “Stock Awards” column in the SCT </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(6,026,318)</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(4,360,528)</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(7,563,000)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w:t>
            </w:r>
          </w:p>
        </w:tc>
        <w:tc>
          <w:tcPr>
            <w:tcW w:w="579" w:type="dxa"/>
            <w:tcBorders/>
            <w:shd w:fill="CCEEFF" w:val="clear"/>
            <w:vAlign w:val="center"/>
          </w:tcPr>
          <w:p>
            <w:pPr>
              <w:pStyle w:val="TableContents"/>
              <w:bidi w:val="0"/>
              <w:spacing w:before="0" w:after="0"/>
              <w:ind w:left="0" w:right="0" w:hanging="0"/>
              <w:jc w:val="right"/>
              <w:rPr/>
            </w:pPr>
            <w:r>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Deduction for amounts reported under the “Option Awards” column in the SCT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(5,312,980)</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(6,134,800)</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pPr>
            <w:r>
              <w:rPr/>
              <w:t>—</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Increase for fair value of awards granted during covered year that remain outstanding as of covered year end  (Options)</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5,004,000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pPr>
            <w:r>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Increase for fair value of awards granted during covered year that vested during covered year  </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28,605,275</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28,605,275</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5,451,225</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4,760,700</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pPr>
            <w:r>
              <w:rPr/>
              <w:t>—</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Increase/deduction for change in fair value from prior year-end to covered year-end of awards granted prior to covered year that were outstanding and unvested as of year-end </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0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168,526,223</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35,843,528</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53"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35,843,528</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112,818</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579" w:type="dxa"/>
            <w:tcBorders/>
            <w:shd w:fill="CCEEFF" w:val="clear"/>
            <w:vAlign w:val="center"/>
          </w:tcPr>
          <w:p>
            <w:pPr>
              <w:pStyle w:val="TableContents"/>
              <w:bidi w:val="0"/>
              <w:spacing w:before="0" w:after="0"/>
              <w:ind w:left="0" w:right="0" w:hanging="0"/>
              <w:jc w:val="right"/>
              <w:rPr/>
            </w:pPr>
            <w:r>
              <w:rPr/>
              <w:t>—</w:t>
            </w:r>
          </w:p>
        </w:tc>
      </w:tr>
      <w:tr>
        <w:trPr/>
        <w:tc>
          <w:tcPr>
            <w:tcW w:w="2671" w:type="dxa"/>
            <w:tcBorders/>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Increase/deduction for change in fair value from prior year-end to vesting date of awards granted prior to covered year that vested during covered year </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w:t>
            </w:r>
          </w:p>
        </w:tc>
        <w:tc>
          <w:tcPr>
            <w:tcW w:w="109"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19,759,754</w:t>
            </w:r>
          </w:p>
        </w:tc>
        <w:tc>
          <w:tcPr>
            <w:tcW w:w="109"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w:t>
            </w:r>
          </w:p>
        </w:tc>
        <w:tc>
          <w:tcPr>
            <w:tcW w:w="653"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19,759,754</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622,716</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6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5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(83,360)</w:t>
            </w:r>
          </w:p>
        </w:tc>
        <w:tc>
          <w:tcPr>
            <w:tcW w:w="346"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left"/>
              <w:rPr/>
            </w:pPr>
            <w:r>
              <w:rPr/>
              <w:t>​</w:t>
            </w:r>
          </w:p>
        </w:tc>
        <w:tc>
          <w:tcPr>
            <w:tcW w:w="579"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161,100</w:t>
            </w:r>
          </w:p>
        </w:tc>
      </w:tr>
      <w:tr>
        <w:trPr/>
        <w:tc>
          <w:tcPr>
            <w:tcW w:w="2671" w:type="dxa"/>
            <w:tcBorders/>
            <w:shd w:fill="CCEEFF" w:val="clear"/>
            <w:vAlign w:val="center"/>
          </w:tcPr>
          <w:p>
            <w:pPr>
              <w:pStyle w:val="TableContents"/>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Deduction of fair value of awards granted prior to covered year that were forfeited during covered year </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(834,000)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(44,720)</w:t>
            </w:r>
          </w:p>
        </w:tc>
        <w:tc>
          <w:tcPr>
            <w:tcW w:w="346"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42,420</w:t>
            </w:r>
          </w:p>
        </w:tc>
      </w:tr>
      <w:tr>
        <w:trPr/>
        <w:tc>
          <w:tcPr>
            <w:tcW w:w="2671" w:type="dxa"/>
            <w:tcBorders/>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Total Adjustments</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168,526,223</w:t>
            </w:r>
          </w:p>
        </w:tc>
        <w:tc>
          <w:tcPr>
            <w:tcW w:w="109"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78,182,238</w:t>
            </w:r>
          </w:p>
        </w:tc>
        <w:tc>
          <w:tcPr>
            <w:tcW w:w="109" w:type="dxa"/>
            <w:tcBorders/>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79,848,028</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39,779</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6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(3,933,100)</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2"/>
              </w:rPr>
            </w:pPr>
            <w:r>
              <w:rPr>
                <w:rFonts w:ascii="Times New Roman;Times;serif" w:hAnsi="Times New Roman;Times;serif"/>
                <w:b/>
                <w:sz w:val="12"/>
              </w:rPr>
              <w:t>(128,080)</w:t>
            </w:r>
          </w:p>
        </w:tc>
        <w:tc>
          <w:tcPr>
            <w:tcW w:w="346" w:type="dxa"/>
            <w:tcBorders/>
            <w:vAlign w:val="center"/>
          </w:tcPr>
          <w:p>
            <w:pPr>
              <w:pStyle w:val="TableContents"/>
              <w:bidi w:val="0"/>
              <w:spacing w:before="0" w:after="0"/>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w:t>
            </w:r>
          </w:p>
        </w:tc>
        <w:tc>
          <w:tcPr>
            <w:tcW w:w="579" w:type="dxa"/>
            <w:tcBorders>
              <w:bottom w:val="double" w:sz="6" w:space="0" w:color="000000"/>
            </w:tcBorders>
            <w:tcMar>
              <w:bottom w:w="28" w:type="dxa"/>
            </w:tcMar>
            <w:vAlign w:val="center"/>
          </w:tcPr>
          <w:p>
            <w:pPr>
              <w:pStyle w:val="TableContents"/>
              <w:bidi w:val="0"/>
              <w:spacing w:before="0" w:after="0"/>
              <w:ind w:left="0" w:right="36" w:hanging="0"/>
              <w:jc w:val="right"/>
              <w:rPr>
                <w:rFonts w:ascii="Times New Roman;Times;serif" w:hAnsi="Times New Roman;Times;serif"/>
                <w:b/>
                <w:sz w:val="12"/>
              </w:rPr>
            </w:pPr>
            <w:r>
              <w:rPr>
                <w:rFonts w:ascii="Times New Roman;Times;serif" w:hAnsi="Times New Roman;Times;serif"/>
                <w:b/>
                <w:sz w:val="12"/>
              </w:rPr>
              <w:t>203,520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749"/>
        <w:gridCol w:w="346"/>
        <w:gridCol w:w="166"/>
        <w:gridCol w:w="660"/>
        <w:gridCol w:w="109"/>
        <w:gridCol w:w="166"/>
        <w:gridCol w:w="586"/>
        <w:gridCol w:w="346"/>
        <w:gridCol w:w="166"/>
        <w:gridCol w:w="436"/>
        <w:gridCol w:w="346"/>
        <w:gridCol w:w="166"/>
        <w:gridCol w:w="563"/>
        <w:gridCol w:w="346"/>
        <w:gridCol w:w="166"/>
        <w:gridCol w:w="496"/>
        <w:gridCol w:w="392"/>
      </w:tblGrid>
      <w:tr>
        <w:trPr/>
        <w:tc>
          <w:tcPr>
            <w:tcW w:w="474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04"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05410" cy="175260"/>
                      <wp:effectExtent l="0" t="0" r="0" b="0"/>
                      <wp:wrapNone/>
                      <wp:docPr id="105" name="Frame101"/>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19100" cy="175260"/>
                      <wp:effectExtent l="0" t="0" r="0" b="0"/>
                      <wp:wrapNone/>
                      <wp:docPr id="106" name="Frame102"/>
                      <a:graphic xmlns:a="http://schemas.openxmlformats.org/drawingml/2006/main">
                        <a:graphicData uri="http://schemas.microsoft.com/office/word/2010/wordprocessingShape">
                          <wps:wsp>
                            <wps:cNvSpPr txBox="1"/>
                            <wps:spPr>
                              <a:xfrm>
                                <a:off x="0" y="0"/>
                                <a:ext cx="419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07" name="Frame1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05410" cy="175260"/>
                      <wp:effectExtent l="0" t="0" r="0" b="0"/>
                      <wp:wrapNone/>
                      <wp:docPr id="108" name="Frame104"/>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72110" cy="175260"/>
                      <wp:effectExtent l="0" t="0" r="0" b="0"/>
                      <wp:wrapNone/>
                      <wp:docPr id="109" name="Frame10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0"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05410" cy="175260"/>
                      <wp:effectExtent l="0" t="0" r="0" b="0"/>
                      <wp:wrapNone/>
                      <wp:docPr id="111" name="Frame107"/>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76860" cy="175260"/>
                      <wp:effectExtent l="0" t="0" r="0" b="0"/>
                      <wp:wrapNone/>
                      <wp:docPr id="112" name="Frame108"/>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3"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05410" cy="175260"/>
                      <wp:effectExtent l="0" t="0" r="0" b="0"/>
                      <wp:wrapNone/>
                      <wp:docPr id="114" name="Frame110"/>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57505" cy="175260"/>
                      <wp:effectExtent l="0" t="0" r="0" b="0"/>
                      <wp:wrapNone/>
                      <wp:docPr id="115" name="Frame111"/>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16"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05410" cy="175260"/>
                      <wp:effectExtent l="0" t="0" r="0" b="0"/>
                      <wp:wrapNone/>
                      <wp:docPr id="117" name="Frame113"/>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314960" cy="175260"/>
                      <wp:effectExtent l="0" t="0" r="0" b="0"/>
                      <wp:wrapNone/>
                      <wp:docPr id="118" name="Frame114"/>
                      <a:graphic xmlns:a="http://schemas.openxmlformats.org/drawingml/2006/main">
                        <a:graphicData uri="http://schemas.microsoft.com/office/word/2010/wordprocessingShape">
                          <wps:wsp>
                            <wps:cNvSpPr txBox="1"/>
                            <wps:spPr>
                              <a:xfrm>
                                <a:off x="0" y="0"/>
                                <a:ext cx="314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48920" cy="175260"/>
                      <wp:effectExtent l="0" t="0" r="0" b="0"/>
                      <wp:wrapNone/>
                      <wp:docPr id="119" name="Frame115"/>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49"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Adjustments to Determine CAP for Non-PEO NEOs</w:t>
            </w:r>
          </w:p>
        </w:tc>
        <w:tc>
          <w:tcPr>
            <w:tcW w:w="346" w:type="dxa"/>
            <w:tcBorders/>
            <w:vAlign w:val="center"/>
          </w:tcPr>
          <w:p>
            <w:pPr>
              <w:pStyle w:val="TableContents"/>
              <w:bidi w:val="0"/>
              <w:spacing w:before="0" w:after="1"/>
              <w:ind w:left="0" w:right="0" w:hanging="0"/>
              <w:jc w:val="left"/>
              <w:rPr/>
            </w:pPr>
            <w:r>
              <w:rPr/>
              <w:t>  ​ ​ ​</w:t>
            </w:r>
          </w:p>
        </w:tc>
        <w:tc>
          <w:tcPr>
            <w:tcW w:w="8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2025</w:t>
            </w:r>
          </w:p>
        </w:tc>
        <w:tc>
          <w:tcPr>
            <w:tcW w:w="109" w:type="dxa"/>
            <w:tcBorders/>
            <w:vAlign w:val="center"/>
          </w:tcPr>
          <w:p>
            <w:pPr>
              <w:pStyle w:val="TableContents"/>
              <w:bidi w:val="0"/>
              <w:spacing w:before="0" w:after="1"/>
              <w:ind w:left="0" w:right="0" w:hanging="0"/>
              <w:jc w:val="center"/>
              <w:rPr/>
            </w:pPr>
            <w:r>
              <w:rPr/>
              <w:t>​</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2024</w:t>
            </w:r>
          </w:p>
        </w:tc>
        <w:tc>
          <w:tcPr>
            <w:tcW w:w="346" w:type="dxa"/>
            <w:tcBorders/>
            <w:vAlign w:val="center"/>
          </w:tcPr>
          <w:p>
            <w:pPr>
              <w:pStyle w:val="TableContents"/>
              <w:bidi w:val="0"/>
              <w:spacing w:before="0" w:after="1"/>
              <w:ind w:left="0" w:right="0" w:hanging="0"/>
              <w:jc w:val="left"/>
              <w:rPr/>
            </w:pPr>
            <w:r>
              <w:rPr/>
              <w:t>  ​ ​ ​</w:t>
            </w:r>
          </w:p>
        </w:tc>
        <w:tc>
          <w:tcPr>
            <w:tcW w:w="6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2023</w:t>
            </w:r>
          </w:p>
        </w:tc>
        <w:tc>
          <w:tcPr>
            <w:tcW w:w="346" w:type="dxa"/>
            <w:tcBorders/>
            <w:vAlign w:val="center"/>
          </w:tcPr>
          <w:p>
            <w:pPr>
              <w:pStyle w:val="TableContents"/>
              <w:bidi w:val="0"/>
              <w:spacing w:before="0" w:after="1"/>
              <w:ind w:left="0" w:right="0" w:hanging="0"/>
              <w:jc w:val="left"/>
              <w:rPr/>
            </w:pPr>
            <w:r>
              <w:rPr/>
              <w:t>  ​ ​ ​</w:t>
            </w:r>
          </w:p>
        </w:tc>
        <w:tc>
          <w:tcPr>
            <w:tcW w:w="72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2022</w:t>
            </w:r>
          </w:p>
        </w:tc>
        <w:tc>
          <w:tcPr>
            <w:tcW w:w="346" w:type="dxa"/>
            <w:tcBorders/>
            <w:vAlign w:val="center"/>
          </w:tcPr>
          <w:p>
            <w:pPr>
              <w:pStyle w:val="TableContents"/>
              <w:bidi w:val="0"/>
              <w:spacing w:before="0" w:after="1"/>
              <w:ind w:left="0" w:right="0" w:hanging="0"/>
              <w:jc w:val="left"/>
              <w:rPr/>
            </w:pPr>
            <w:r>
              <w:rPr/>
              <w:t>  ​ ​ ​</w:t>
            </w:r>
          </w:p>
        </w:tc>
        <w:tc>
          <w:tcPr>
            <w:tcW w:w="6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2021</w:t>
            </w:r>
          </w:p>
        </w:tc>
        <w:tc>
          <w:tcPr>
            <w:tcW w:w="392" w:type="dxa"/>
            <w:tcBorders/>
            <w:vAlign w:val="center"/>
          </w:tcPr>
          <w:p>
            <w:pPr>
              <w:pStyle w:val="TableContents"/>
              <w:bidi w:val="0"/>
              <w:spacing w:before="0" w:after="1"/>
              <w:ind w:left="0" w:right="0" w:hanging="0"/>
              <w:jc w:val="left"/>
              <w:rPr/>
            </w:pPr>
            <w:r>
              <w:rPr/>
              <w:t>  ​ ​ ​</w:t>
            </w:r>
          </w:p>
        </w:tc>
      </w:tr>
      <w:tr>
        <w:trPr/>
        <w:tc>
          <w:tcPr>
            <w:tcW w:w="474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 xml:space="preserve">Deduction for amounts reported under the “Stock Awards” column in the Summary Compensation Table </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60"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(2,585,000)</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(290,700)</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6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96" w:type="dxa"/>
            <w:tcBorders/>
            <w:shd w:fill="CCEEFF" w:val="clear"/>
            <w:vAlign w:val="center"/>
          </w:tcPr>
          <w:p>
            <w:pPr>
              <w:pStyle w:val="TableContents"/>
              <w:bidi w:val="0"/>
              <w:spacing w:before="0" w:after="1"/>
              <w:ind w:left="0" w:right="0" w:hanging="0"/>
              <w:jc w:val="righ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474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 xml:space="preserve">Deduction for amounts reported under the “Option Awards” column in the Summary Compensation Table </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60"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(906,439)</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(792,505)</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(869,344)</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c>
          <w:tcPr>
            <w:tcW w:w="392" w:type="dxa"/>
            <w:tcBorders/>
            <w:vAlign w:val="center"/>
          </w:tcPr>
          <w:p>
            <w:pPr>
              <w:pStyle w:val="TableContents"/>
              <w:bidi w:val="0"/>
              <w:spacing w:before="0" w:after="1"/>
              <w:ind w:left="0" w:right="0" w:hanging="0"/>
              <w:jc w:val="left"/>
              <w:rPr/>
            </w:pPr>
            <w:r>
              <w:rPr/>
              <w:t>​</w:t>
            </w:r>
          </w:p>
        </w:tc>
      </w:tr>
      <w:tr>
        <w:trPr/>
        <w:tc>
          <w:tcPr>
            <w:tcW w:w="474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Increase for fair value of awards granted during year that remain outstanding as of covered year end  (Options)</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660"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8,474,433</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1,266,016</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467,569</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474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 xml:space="preserve">Increase for fair value of awards granted during year that vested during covered year  </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60"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503,577</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pPr>
            <w:r>
              <w:rPr/>
              <w:t>—</w:t>
            </w:r>
          </w:p>
        </w:tc>
        <w:tc>
          <w:tcPr>
            <w:tcW w:w="392" w:type="dxa"/>
            <w:tcBorders/>
            <w:vAlign w:val="center"/>
          </w:tcPr>
          <w:p>
            <w:pPr>
              <w:pStyle w:val="TableContents"/>
              <w:bidi w:val="0"/>
              <w:spacing w:before="0" w:after="1"/>
              <w:ind w:left="0" w:right="0" w:hanging="0"/>
              <w:jc w:val="left"/>
              <w:rPr/>
            </w:pPr>
            <w:r>
              <w:rPr/>
              <w:t>​</w:t>
            </w:r>
          </w:p>
        </w:tc>
      </w:tr>
      <w:tr>
        <w:trPr/>
        <w:tc>
          <w:tcPr>
            <w:tcW w:w="474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 xml:space="preserve">Increase/deduction for change in fair value from prior year-end to covered year-end of awards granted prior to covered year that were outstanding and unvested as of year-end </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660"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11,856,671</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2,053,195</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47,383</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(62,520)</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9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161,100</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474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 xml:space="preserve">Increase/deduction for change in fair value from prior year-end to vesting date of awards granted prior to covered year that vested during covered year </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60"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999,770</w:t>
            </w:r>
          </w:p>
        </w:tc>
        <w:tc>
          <w:tcPr>
            <w:tcW w:w="109"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90,557</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13,086</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(33,540)</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9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55,714</w:t>
            </w:r>
          </w:p>
        </w:tc>
        <w:tc>
          <w:tcPr>
            <w:tcW w:w="392" w:type="dxa"/>
            <w:tcBorders/>
            <w:vAlign w:val="center"/>
          </w:tcPr>
          <w:p>
            <w:pPr>
              <w:pStyle w:val="TableContents"/>
              <w:bidi w:val="0"/>
              <w:spacing w:before="0" w:after="1"/>
              <w:ind w:left="0" w:right="0" w:hanging="0"/>
              <w:jc w:val="left"/>
              <w:rPr/>
            </w:pPr>
            <w:r>
              <w:rPr/>
              <w:t>​</w:t>
            </w:r>
          </w:p>
        </w:tc>
      </w:tr>
      <w:tr>
        <w:trPr/>
        <w:tc>
          <w:tcPr>
            <w:tcW w:w="474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 xml:space="preserve">Deduction of fair value of awards granted prior to covered year that were forfeited during covered year </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(133,275)</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4749" w:type="dxa"/>
            <w:tcBorders/>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Total Adjustments</w:t>
            </w:r>
          </w:p>
        </w:tc>
        <w:tc>
          <w:tcPr>
            <w:tcW w:w="346" w:type="dxa"/>
            <w:tcBorders/>
            <w:vAlign w:val="center"/>
          </w:tcPr>
          <w:p>
            <w:pPr>
              <w:pStyle w:val="TableContents"/>
              <w:bidi w:val="0"/>
              <w:spacing w:before="0" w:after="1"/>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66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18,343,012</w:t>
            </w:r>
          </w:p>
        </w:tc>
        <w:tc>
          <w:tcPr>
            <w:tcW w:w="109" w:type="dxa"/>
            <w:tcBorders/>
            <w:vAlign w:val="center"/>
          </w:tcPr>
          <w:p>
            <w:pPr>
              <w:pStyle w:val="TableContents"/>
              <w:bidi w:val="0"/>
              <w:spacing w:before="0" w:after="1"/>
              <w:ind w:left="0" w:right="0" w:hanging="0"/>
              <w:jc w:val="right"/>
              <w:rPr/>
            </w:pPr>
            <w:r>
              <w:rPr/>
              <w:t>​</w:t>
            </w:r>
          </w:p>
        </w:tc>
        <w:tc>
          <w:tcPr>
            <w:tcW w:w="16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2,326,563</w:t>
            </w:r>
          </w:p>
        </w:tc>
        <w:tc>
          <w:tcPr>
            <w:tcW w:w="346" w:type="dxa"/>
            <w:tcBorders/>
            <w:vAlign w:val="center"/>
          </w:tcPr>
          <w:p>
            <w:pPr>
              <w:pStyle w:val="TableContents"/>
              <w:bidi w:val="0"/>
              <w:spacing w:before="0" w:after="1"/>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4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60,469</w:t>
            </w:r>
          </w:p>
        </w:tc>
        <w:tc>
          <w:tcPr>
            <w:tcW w:w="346" w:type="dxa"/>
            <w:tcBorders/>
            <w:vAlign w:val="center"/>
          </w:tcPr>
          <w:p>
            <w:pPr>
              <w:pStyle w:val="TableContents"/>
              <w:bidi w:val="0"/>
              <w:spacing w:before="0" w:after="1"/>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563"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(631,110)</w:t>
            </w:r>
          </w:p>
        </w:tc>
        <w:tc>
          <w:tcPr>
            <w:tcW w:w="346" w:type="dxa"/>
            <w:tcBorders/>
            <w:vAlign w:val="center"/>
          </w:tcPr>
          <w:p>
            <w:pPr>
              <w:pStyle w:val="TableContents"/>
              <w:bidi w:val="0"/>
              <w:spacing w:before="0" w:after="1"/>
              <w:ind w:left="0" w:right="0" w:hanging="0"/>
              <w:jc w:val="left"/>
              <w:rPr/>
            </w:pPr>
            <w:r>
              <w:rPr/>
              <w:t>​</w:t>
            </w:r>
          </w:p>
        </w:tc>
        <w:tc>
          <w:tcPr>
            <w:tcW w:w="16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4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2"/>
              </w:rPr>
            </w:pPr>
            <w:r>
              <w:rPr>
                <w:rFonts w:ascii="Times New Roman;Times;serif" w:hAnsi="Times New Roman;Times;serif"/>
                <w:b/>
                <w:sz w:val="12"/>
              </w:rPr>
              <w:t>216,814</w:t>
            </w:r>
          </w:p>
        </w:tc>
        <w:tc>
          <w:tcPr>
            <w:tcW w:w="392"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14" w:name="RelationshipBetweenCompensationActuallyP"/>
      <w:bookmarkEnd w:id="414"/>
      <w:r>
        <w:rPr>
          <w:rFonts w:ascii="Times New Roman;Times;serif" w:hAnsi="Times New Roman;Times;serif"/>
          <w:b/>
          <w:sz w:val="20"/>
        </w:rPr>
        <w:t>Relationship Between “Compensation Actually Paid” and Performance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The following graphs set forth the relationship between our PEO’s CAP and the average of our Other NEOs’ CAP, to:  (i) cumulative TSR over the five most recently completed fiscal years for the Company and our established peer group, (ii) our net income and (iii) our total revenue.  </w:t>
      </w:r>
      <w:r>
        <w:rPr>
          <w:rFonts w:ascii="Times New Roman;Times;serif" w:hAnsi="Times New Roman;Times;serif"/>
          <w:sz w:val="20"/>
        </w:rPr>
        <w:t>As described in more detail in the section “Compensation Discussion and Analysis,” our executive compensation program reflects a variable pay-for-performance philosophy. While the Corporation utilizes several performance measures to align executive compensation with its performance, all of those measures are not presented in the Pay versus Performance table. Moreover, the Corporation generally seeks to incentivize long-term performance, and therefore does not specifically align its performance measures with compensation that is actually paid (as computed in accordance with SEC rules) for a particular year.  On December 31, 2023, we completed the acquisition of DISH pursuant to the Merger.  The graphs below represent the relationships between CAP and the specified performance measures for periods prior to and following the Merger.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Compensation Actually Paid and Company TSR</w:t>
      </w:r>
    </w:p>
    <w:p>
      <w:pPr>
        <w:pStyle w:val="TextBody"/>
        <w:bidi w:val="0"/>
        <w:spacing w:before="0" w:after="0"/>
        <w:ind w:left="0" w:right="0" w:hanging="0"/>
        <w:jc w:val="center"/>
        <w:rPr/>
      </w:pPr>
      <w:r>
        <w:rPr/>
        <w:drawing>
          <wp:inline distT="0" distB="0" distL="0" distR="0">
            <wp:extent cx="5943600" cy="2493010"/>
            <wp:effectExtent l="0" t="0" r="0" b="0"/>
            <wp:docPr id="1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5" descr=""/>
                    <pic:cNvPicPr>
                      <a:picLocks noChangeAspect="1" noChangeArrowheads="1"/>
                    </pic:cNvPicPr>
                  </pic:nvPicPr>
                  <pic:blipFill>
                    <a:blip r:embed="rId6"/>
                    <a:stretch>
                      <a:fillRect/>
                    </a:stretch>
                  </pic:blipFill>
                  <pic:spPr bwMode="auto">
                    <a:xfrm>
                      <a:off x="0" y="0"/>
                      <a:ext cx="5943600" cy="249301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Compensation Actually Paid and Net Income</w:t>
      </w:r>
    </w:p>
    <w:p>
      <w:pPr>
        <w:pStyle w:val="TextBody"/>
        <w:bidi w:val="0"/>
        <w:spacing w:before="0" w:after="0"/>
        <w:ind w:left="0" w:right="0" w:hanging="0"/>
        <w:jc w:val="center"/>
        <w:rPr/>
      </w:pPr>
      <w:r>
        <w:rPr/>
        <w:drawing>
          <wp:inline distT="0" distB="0" distL="0" distR="0">
            <wp:extent cx="5943600" cy="3245485"/>
            <wp:effectExtent l="0" t="0" r="0" b="0"/>
            <wp:docPr id="1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6" descr=""/>
                    <pic:cNvPicPr>
                      <a:picLocks noChangeAspect="1" noChangeArrowheads="1"/>
                    </pic:cNvPicPr>
                  </pic:nvPicPr>
                  <pic:blipFill>
                    <a:blip r:embed="rId7"/>
                    <a:stretch>
                      <a:fillRect/>
                    </a:stretch>
                  </pic:blipFill>
                  <pic:spPr bwMode="auto">
                    <a:xfrm>
                      <a:off x="0" y="0"/>
                      <a:ext cx="5943600" cy="324548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Compensation Actually Paid and Revenue</w:t>
      </w:r>
    </w:p>
    <w:p>
      <w:pPr>
        <w:pStyle w:val="TextBody"/>
        <w:bidi w:val="0"/>
        <w:spacing w:before="0" w:after="0"/>
        <w:ind w:left="0" w:right="0" w:hanging="0"/>
        <w:jc w:val="center"/>
        <w:rPr/>
      </w:pPr>
      <w:r>
        <w:rPr/>
        <w:drawing>
          <wp:inline distT="0" distB="0" distL="0" distR="0">
            <wp:extent cx="5943600" cy="2941955"/>
            <wp:effectExtent l="0" t="0" r="0" b="0"/>
            <wp:docPr id="1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7" descr=""/>
                    <pic:cNvPicPr>
                      <a:picLocks noChangeAspect="1" noChangeArrowheads="1"/>
                    </pic:cNvPicPr>
                  </pic:nvPicPr>
                  <pic:blipFill>
                    <a:blip r:embed="rId8"/>
                    <a:stretch>
                      <a:fillRect/>
                    </a:stretch>
                  </pic:blipFill>
                  <pic:spPr bwMode="auto">
                    <a:xfrm>
                      <a:off x="0" y="0"/>
                      <a:ext cx="5943600" cy="294195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415" w:name="Tc_HqtDGhiUvk-yk7AVDEBOBQ_0_0"/>
      <w:bookmarkStart w:id="416" w:name="_291c6dd8_de21_441b_aad8_0d99d8193c0e"/>
      <w:bookmarkEnd w:id="415"/>
      <w:bookmarkEnd w:id="416"/>
      <w:r>
        <w:rPr>
          <w:rFonts w:ascii="Times New Roman;Times;serif" w:hAnsi="Times New Roman;Times;serif"/>
          <w:b/>
          <w:sz w:val="20"/>
        </w:rPr>
        <w:t>Tabular List of Most Important Financial Performance Measures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presents the performance measures the Compensation Committee and Board of Directors consider to have been the most important in its executive compensation program linking pay to performance for 2025. The role of each of these performance measures on our NEOs’ compensation is discussed in the “Compensation Discussion and Analysis” section.</w:t>
      </w:r>
    </w:p>
    <w:p>
      <w:pPr>
        <w:pStyle w:val="TextBody"/>
        <w:bidi w:val="0"/>
        <w:spacing w:before="0" w:after="240"/>
        <w:ind w:left="0" w:right="0" w:hanging="0"/>
        <w:jc w:val="both"/>
        <w:rPr/>
      </w:pPr>
      <w:r>
        <w:rPr/>
        <w:t>​</w:t>
      </w:r>
    </w:p>
    <w:tbl>
      <w:tblPr>
        <w:tblW w:w="3736" w:type="dxa"/>
        <w:jc w:val="left"/>
        <w:tblInd w:w="0" w:type="dxa"/>
        <w:tblLayout w:type="fixed"/>
        <w:tblCellMar>
          <w:top w:w="28" w:type="dxa"/>
          <w:left w:w="103" w:type="dxa"/>
          <w:bottom w:w="28" w:type="dxa"/>
          <w:right w:w="103" w:type="dxa"/>
        </w:tblCellMar>
      </w:tblPr>
      <w:tblGrid>
        <w:gridCol w:w="3736"/>
      </w:tblGrid>
      <w:tr>
        <w:trPr/>
        <w:tc>
          <w:tcPr>
            <w:tcW w:w="3736"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Performance Measures</w:t>
            </w:r>
          </w:p>
        </w:tc>
      </w:tr>
      <w:tr>
        <w:trPr/>
        <w:tc>
          <w:tcPr>
            <w:tcW w:w="373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Free Cash Flow </w:t>
            </w:r>
          </w:p>
        </w:tc>
      </w:tr>
      <w:tr>
        <w:trPr/>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Revenue</w:t>
            </w:r>
          </w:p>
        </w:tc>
      </w:tr>
      <w:tr>
        <w:trPr/>
        <w:tc>
          <w:tcPr>
            <w:tcW w:w="373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Pay TV and/or Wireless Subscribers</w:t>
            </w:r>
          </w:p>
        </w:tc>
      </w:tr>
      <w:tr>
        <w:trPr/>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North America Consumer Creation Multiple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417" w:name="EQUITYSECURITYOWNERSHIPANDRELATEDMATTERS"/>
      <w:bookmarkStart w:id="418" w:name="_b9257d23_ffe5_4567_81a0_71312e6b7c8a"/>
      <w:bookmarkEnd w:id="417"/>
      <w:bookmarkEnd w:id="418"/>
      <w:r>
        <w:rPr>
          <w:rFonts w:ascii="Times New Roman;Times;serif" w:hAnsi="Times New Roman;Times;serif"/>
          <w:b/>
          <w:sz w:val="20"/>
        </w:rPr>
        <w:t>EQUITY SECURITY OWNERSHIP AND RELATED MATTERS</w:t>
      </w:r>
    </w:p>
    <w:p>
      <w:pPr>
        <w:pStyle w:val="TextBody"/>
        <w:bidi w:val="0"/>
        <w:spacing w:before="0" w:after="240"/>
        <w:ind w:left="0" w:right="0" w:hanging="0"/>
        <w:jc w:val="left"/>
        <w:rPr>
          <w:rFonts w:ascii="Times New Roman;Times;serif" w:hAnsi="Times New Roman;Times;serif"/>
          <w:b/>
          <w:sz w:val="20"/>
        </w:rPr>
      </w:pPr>
      <w:bookmarkStart w:id="419" w:name="EquitySecurityOwnershipofCertainBenefici"/>
      <w:bookmarkEnd w:id="419"/>
      <w:r>
        <w:rPr>
          <w:rFonts w:ascii="Times New Roman;Times;serif" w:hAnsi="Times New Roman;Times;serif"/>
          <w:b/>
          <w:sz w:val="20"/>
        </w:rPr>
        <w:t>Equity Security Ownership of Certain Beneficial Owners and Management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to the best of our knowledge, the beneficial ownership of our voting securities as of the close of business on the Record Date by:  (i) each person known by us to be the beneficial owner of more than five percent of any class of our voting securities; (ii) each of our current directors; (iii) our Chief Executive Officer and Chief Financial Officer and the next three most highly compensated executive officers in 2025 (collectively, the “Named Executive Officers” or “NEOs”); and (iv) all of our current directors and executive officers as a group. Unless otherwise indicated, each person listed in the following table (alone or with family members) has sole voting and dispositive power over the shares listed opposite such person’s name.</w:t>
      </w:r>
    </w:p>
    <w:p>
      <w:pPr>
        <w:pStyle w:val="TextBody"/>
        <w:bidi w:val="0"/>
        <w:spacing w:before="0" w:after="240"/>
        <w:ind w:left="0" w:right="0" w:hanging="0"/>
        <w:jc w:val="both"/>
        <w:rPr/>
      </w:pPr>
      <w:r>
        <w:rPr/>
        <w:t>​</w:t>
      </w:r>
    </w:p>
    <w:tbl>
      <w:tblPr>
        <w:tblW w:w="8813" w:type="dxa"/>
        <w:jc w:val="left"/>
        <w:tblInd w:w="0" w:type="dxa"/>
        <w:tblLayout w:type="fixed"/>
        <w:tblCellMar>
          <w:top w:w="0" w:type="dxa"/>
          <w:left w:w="0" w:type="dxa"/>
          <w:bottom w:w="0" w:type="dxa"/>
          <w:right w:w="0" w:type="dxa"/>
        </w:tblCellMar>
      </w:tblPr>
      <w:tblGrid>
        <w:gridCol w:w="4696"/>
        <w:gridCol w:w="346"/>
        <w:gridCol w:w="1006"/>
        <w:gridCol w:w="346"/>
        <w:gridCol w:w="961"/>
        <w:gridCol w:w="346"/>
        <w:gridCol w:w="826"/>
        <w:gridCol w:w="286"/>
      </w:tblGrid>
      <w:tr>
        <w:trPr/>
        <w:tc>
          <w:tcPr>
            <w:tcW w:w="4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981960" cy="175260"/>
                      <wp:effectExtent l="0" t="0" r="0" b="0"/>
                      <wp:wrapNone/>
                      <wp:docPr id="123" name="Frame116"/>
                      <a:graphic xmlns:a="http://schemas.openxmlformats.org/drawingml/2006/main">
                        <a:graphicData uri="http://schemas.microsoft.com/office/word/2010/wordprocessingShape">
                          <wps:wsp>
                            <wps:cNvSpPr txBox="1"/>
                            <wps:spPr>
                              <a:xfrm>
                                <a:off x="0" y="0"/>
                                <a:ext cx="2981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4" name="Frame1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38810" cy="175260"/>
                      <wp:effectExtent l="0" t="0" r="0" b="0"/>
                      <wp:wrapNone/>
                      <wp:docPr id="125" name="Frame118"/>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6"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10235" cy="175260"/>
                      <wp:effectExtent l="0" t="0" r="0" b="0"/>
                      <wp:wrapNone/>
                      <wp:docPr id="127" name="Frame12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28"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24510" cy="175260"/>
                      <wp:effectExtent l="0" t="0" r="0" b="0"/>
                      <wp:wrapNone/>
                      <wp:docPr id="129" name="Frame12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81610" cy="175260"/>
                      <wp:effectExtent l="0" t="0" r="0" b="0"/>
                      <wp:wrapNone/>
                      <wp:docPr id="130" name="Frame123"/>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6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 and</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pPr>
            <w:r>
              <w:rPr/>
              <w:t>​</w:t>
            </w:r>
          </w:p>
        </w:tc>
        <w:tc>
          <w:tcPr>
            <w:tcW w:w="286" w:type="dxa"/>
            <w:tcBorders/>
            <w:vAlign w:val="center"/>
          </w:tcPr>
          <w:p>
            <w:pPr>
              <w:pStyle w:val="TableContents"/>
              <w:bidi w:val="0"/>
              <w:spacing w:before="0" w:after="1"/>
              <w:ind w:left="0" w:right="0" w:hanging="0"/>
              <w:jc w:val="center"/>
              <w:rPr/>
            </w:pPr>
            <w:r>
              <w:rPr/>
              <w:t>​</w:t>
            </w:r>
          </w:p>
        </w:tc>
      </w:tr>
      <w:tr>
        <w:trPr/>
        <w:tc>
          <w:tcPr>
            <w:tcW w:w="46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Nature of</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c>
          <w:tcPr>
            <w:tcW w:w="286" w:type="dxa"/>
            <w:tcBorders/>
            <w:vAlign w:val="center"/>
          </w:tcPr>
          <w:p>
            <w:pPr>
              <w:pStyle w:val="TableContents"/>
              <w:bidi w:val="0"/>
              <w:spacing w:before="0" w:after="1"/>
              <w:ind w:left="0" w:right="0" w:hanging="0"/>
              <w:jc w:val="center"/>
              <w:rPr/>
            </w:pPr>
            <w:r>
              <w:rPr/>
              <w:t>​</w:t>
            </w:r>
          </w:p>
        </w:tc>
      </w:tr>
      <w:tr>
        <w:trPr/>
        <w:tc>
          <w:tcPr>
            <w:tcW w:w="46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Beneficial</w:t>
            </w:r>
          </w:p>
        </w:tc>
        <w:tc>
          <w:tcPr>
            <w:tcW w:w="34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Percentage </w:t>
            </w:r>
          </w:p>
        </w:tc>
        <w:tc>
          <w:tcPr>
            <w:tcW w:w="34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Voting </w:t>
            </w:r>
          </w:p>
        </w:tc>
        <w:tc>
          <w:tcPr>
            <w:tcW w:w="286" w:type="dxa"/>
            <w:tcBorders/>
            <w:vAlign w:val="center"/>
          </w:tcPr>
          <w:p>
            <w:pPr>
              <w:pStyle w:val="TableContents"/>
              <w:bidi w:val="0"/>
              <w:spacing w:before="0" w:after="1"/>
              <w:ind w:left="0" w:right="0" w:hanging="0"/>
              <w:jc w:val="center"/>
              <w:rPr/>
            </w:pPr>
            <w:r>
              <w:rPr/>
              <w:t>​</w:t>
            </w:r>
          </w:p>
        </w:tc>
      </w:tr>
      <w:tr>
        <w:trPr/>
        <w:tc>
          <w:tcPr>
            <w:tcW w:w="46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Name (1)</w:t>
            </w:r>
          </w:p>
        </w:tc>
        <w:tc>
          <w:tcPr>
            <w:tcW w:w="346" w:type="dxa"/>
            <w:tcBorders/>
            <w:vAlign w:val="center"/>
          </w:tcPr>
          <w:p>
            <w:pPr>
              <w:pStyle w:val="TableContents"/>
              <w:bidi w:val="0"/>
              <w:spacing w:before="0" w:after="1"/>
              <w:ind w:left="0" w:right="0" w:hanging="0"/>
              <w:jc w:val="left"/>
              <w:rPr/>
            </w:pPr>
            <w:r>
              <w:rPr/>
              <w:t>  ​ ​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Ownership</w:t>
            </w:r>
          </w:p>
        </w:tc>
        <w:tc>
          <w:tcPr>
            <w:tcW w:w="346" w:type="dxa"/>
            <w:tcBorders/>
            <w:vAlign w:val="center"/>
          </w:tcPr>
          <w:p>
            <w:pPr>
              <w:pStyle w:val="TableContents"/>
              <w:bidi w:val="0"/>
              <w:spacing w:before="0" w:after="1"/>
              <w:ind w:left="0" w:right="0" w:hanging="0"/>
              <w:jc w:val="left"/>
              <w:rPr/>
            </w:pPr>
            <w:r>
              <w:rPr/>
              <w:t>  ​ ​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Class (2)</w:t>
            </w:r>
          </w:p>
        </w:tc>
        <w:tc>
          <w:tcPr>
            <w:tcW w:w="346" w:type="dxa"/>
            <w:tcBorders/>
            <w:vAlign w:val="center"/>
          </w:tcPr>
          <w:p>
            <w:pPr>
              <w:pStyle w:val="TableContents"/>
              <w:bidi w:val="0"/>
              <w:spacing w:before="0" w:after="1"/>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Power (3)</w:t>
            </w:r>
          </w:p>
        </w:tc>
        <w:tc>
          <w:tcPr>
            <w:tcW w:w="286" w:type="dxa"/>
            <w:tcBorders/>
            <w:vAlign w:val="center"/>
          </w:tcPr>
          <w:p>
            <w:pPr>
              <w:pStyle w:val="TableContents"/>
              <w:bidi w:val="0"/>
              <w:spacing w:before="0" w:after="1"/>
              <w:ind w:left="0" w:right="0" w:hanging="0"/>
              <w:jc w:val="center"/>
              <w:rPr/>
            </w:pPr>
            <w:r>
              <w:rPr/>
              <w:t>​</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b/>
                <w:i/>
                <w:sz w:val="16"/>
              </w:rPr>
            </w:pPr>
            <w:r>
              <w:rPr>
                <w:rFonts w:ascii="Times New Roman;Times;serif" w:hAnsi="Times New Roman;Times;serif"/>
                <w:b/>
                <w:i/>
                <w:sz w:val="16"/>
              </w:rPr>
              <w:t>Class A Common Stock:</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left"/>
              <w:rPr/>
            </w:pPr>
            <w:r>
              <w:rPr/>
              <w:t>​</w:t>
            </w:r>
          </w:p>
        </w:tc>
        <w:tc>
          <w:tcPr>
            <w:tcW w:w="286" w:type="dxa"/>
            <w:tcBorders/>
            <w:vAlign w:val="center"/>
          </w:tcPr>
          <w:p>
            <w:pPr>
              <w:pStyle w:val="TableContents"/>
              <w:bidi w:val="0"/>
              <w:spacing w:before="0" w:after="1"/>
              <w:ind w:left="0" w:right="0" w:hanging="0"/>
              <w:jc w:val="left"/>
              <w:rPr/>
            </w:pPr>
            <w:r>
              <w:rPr/>
              <w:t>​</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Charles W. Ergen (4), (5)</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148,681,347</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90.3</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Cantey M. Ergen (6)</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147,197,377</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90.3</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State Street Corporation (7)</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10,669,170</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BlackRock, Inc. (8)</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10,564,121</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86" w:type="dxa"/>
            <w:tcBorders/>
            <w:vAlign w:val="center"/>
          </w:tcPr>
          <w:p>
            <w:pPr>
              <w:pStyle w:val="TableContents"/>
              <w:bidi w:val="0"/>
              <w:spacing w:before="0" w:after="1"/>
              <w:ind w:left="0" w:right="0" w:hanging="0"/>
              <w:jc w:val="left"/>
              <w:rPr/>
            </w:pPr>
            <w:r>
              <w:rPr/>
              <w:t>​</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Vanguard Capital Management LLC (9)</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9,852,274</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James DeFranco (10)</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4,752,363</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86" w:type="dxa"/>
            <w:tcBorders/>
            <w:vAlign w:val="center"/>
          </w:tcPr>
          <w:p>
            <w:pPr>
              <w:pStyle w:val="TableContents"/>
              <w:bidi w:val="0"/>
              <w:spacing w:before="0" w:after="1"/>
              <w:ind w:left="0" w:right="0" w:hanging="0"/>
              <w:jc w:val="right"/>
              <w:rPr/>
            </w:pPr>
            <w:r>
              <w:rPr/>
              <w:t>​</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Hamid Akhavan (11)</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807,935</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86" w:type="dxa"/>
            <w:tcBorders/>
            <w:shd w:fill="CCEEFF" w:val="clear"/>
            <w:vAlign w:val="center"/>
          </w:tcPr>
          <w:p>
            <w:pPr>
              <w:pStyle w:val="TableContents"/>
              <w:bidi w:val="0"/>
              <w:spacing w:before="0" w:after="1"/>
              <w:ind w:left="0" w:right="0" w:hanging="0"/>
              <w:jc w:val="right"/>
              <w:rPr/>
            </w:pPr>
            <w:r>
              <w:rPr/>
              <w:t>​</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Tom A. Ortolf (12)</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62,920</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86" w:type="dxa"/>
            <w:tcBorders/>
            <w:vAlign w:val="center"/>
          </w:tcPr>
          <w:p>
            <w:pPr>
              <w:pStyle w:val="TableContents"/>
              <w:bidi w:val="0"/>
              <w:spacing w:before="0" w:after="1"/>
              <w:ind w:left="0" w:right="0" w:hanging="0"/>
              <w:jc w:val="right"/>
              <w:rPr/>
            </w:pPr>
            <w:r>
              <w:rPr/>
              <w:t>​</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 Stanton Dodge (13)</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56,792</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86" w:type="dxa"/>
            <w:tcBorders/>
            <w:shd w:fill="CCEEFF" w:val="clear"/>
            <w:vAlign w:val="center"/>
          </w:tcPr>
          <w:p>
            <w:pPr>
              <w:pStyle w:val="TableContents"/>
              <w:bidi w:val="0"/>
              <w:spacing w:before="0" w:after="1"/>
              <w:ind w:left="0" w:right="0" w:hanging="0"/>
              <w:jc w:val="right"/>
              <w:rPr/>
            </w:pPr>
            <w:r>
              <w:rPr/>
              <w:t>​</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John W. Swieringa (14)</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55,380</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86" w:type="dxa"/>
            <w:tcBorders/>
            <w:vAlign w:val="center"/>
          </w:tcPr>
          <w:p>
            <w:pPr>
              <w:pStyle w:val="TableContents"/>
              <w:bidi w:val="0"/>
              <w:spacing w:before="0" w:after="1"/>
              <w:ind w:left="0" w:right="0" w:hanging="0"/>
              <w:jc w:val="right"/>
              <w:rPr/>
            </w:pPr>
            <w:r>
              <w:rPr/>
              <w:t>​</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Paul W. Orban (15)</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53,108</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86" w:type="dxa"/>
            <w:tcBorders/>
            <w:shd w:fill="CCEEFF" w:val="clear"/>
            <w:vAlign w:val="center"/>
          </w:tcPr>
          <w:p>
            <w:pPr>
              <w:pStyle w:val="TableContents"/>
              <w:bidi w:val="0"/>
              <w:spacing w:before="0" w:after="1"/>
              <w:ind w:left="0" w:right="0" w:hanging="0"/>
              <w:jc w:val="right"/>
              <w:rPr/>
            </w:pPr>
            <w:r>
              <w:rPr/>
              <w:t>​</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Lisa W. Hershman (16)</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37,572</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86" w:type="dxa"/>
            <w:tcBorders/>
            <w:vAlign w:val="center"/>
          </w:tcPr>
          <w:p>
            <w:pPr>
              <w:pStyle w:val="TableContents"/>
              <w:bidi w:val="0"/>
              <w:spacing w:before="0" w:after="1"/>
              <w:ind w:left="0" w:right="0" w:hanging="0"/>
              <w:jc w:val="right"/>
              <w:rPr/>
            </w:pPr>
            <w:r>
              <w:rPr/>
              <w:t>​</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William D. Wade (17)</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30,767</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86" w:type="dxa"/>
            <w:tcBorders/>
            <w:shd w:fill="CCEEFF" w:val="clear"/>
            <w:vAlign w:val="center"/>
          </w:tcPr>
          <w:p>
            <w:pPr>
              <w:pStyle w:val="TableContents"/>
              <w:bidi w:val="0"/>
              <w:spacing w:before="0" w:after="1"/>
              <w:ind w:left="0" w:right="0" w:hanging="0"/>
              <w:jc w:val="right"/>
              <w:rPr/>
            </w:pPr>
            <w:r>
              <w:rPr/>
              <w:t>​</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George R. Brokaw (18)</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28,016</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86" w:type="dxa"/>
            <w:tcBorders/>
            <w:vAlign w:val="center"/>
          </w:tcPr>
          <w:p>
            <w:pPr>
              <w:pStyle w:val="TableContents"/>
              <w:bidi w:val="0"/>
              <w:spacing w:before="0" w:after="1"/>
              <w:ind w:left="0" w:right="0" w:hanging="0"/>
              <w:jc w:val="right"/>
              <w:rPr/>
            </w:pPr>
            <w:r>
              <w:rPr/>
              <w:t>​</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Paul Gaske (19)</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25,971</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86" w:type="dxa"/>
            <w:tcBorders/>
            <w:shd w:fill="CCEEFF" w:val="clear"/>
            <w:vAlign w:val="center"/>
          </w:tcPr>
          <w:p>
            <w:pPr>
              <w:pStyle w:val="TableContents"/>
              <w:bidi w:val="0"/>
              <w:spacing w:before="0" w:after="1"/>
              <w:ind w:left="0" w:right="0" w:hanging="0"/>
              <w:jc w:val="right"/>
              <w:rPr/>
            </w:pPr>
            <w:r>
              <w:rPr/>
              <w:t>​</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Stephen J. Bye (20)</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15,653</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86" w:type="dxa"/>
            <w:tcBorders/>
            <w:vAlign w:val="center"/>
          </w:tcPr>
          <w:p>
            <w:pPr>
              <w:pStyle w:val="TableContents"/>
              <w:bidi w:val="0"/>
              <w:spacing w:before="0" w:after="1"/>
              <w:ind w:left="0" w:right="0" w:hanging="0"/>
              <w:jc w:val="right"/>
              <w:rPr/>
            </w:pPr>
            <w:r>
              <w:rPr/>
              <w:t>​</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Dean A. Manson (21)</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11,282</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86" w:type="dxa"/>
            <w:tcBorders/>
            <w:shd w:fill="CCEEFF" w:val="clear"/>
            <w:vAlign w:val="center"/>
          </w:tcPr>
          <w:p>
            <w:pPr>
              <w:pStyle w:val="TableContents"/>
              <w:bidi w:val="0"/>
              <w:spacing w:before="0" w:after="1"/>
              <w:ind w:left="0" w:right="0" w:hanging="0"/>
              <w:jc w:val="right"/>
              <w:rPr/>
            </w:pPr>
            <w:r>
              <w:rPr/>
              <w:t>​</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Kathleen Q. Abernathy (22)</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7,020</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86" w:type="dxa"/>
            <w:tcBorders/>
            <w:vAlign w:val="center"/>
          </w:tcPr>
          <w:p>
            <w:pPr>
              <w:pStyle w:val="TableContents"/>
              <w:bidi w:val="0"/>
              <w:spacing w:before="0" w:after="1"/>
              <w:ind w:left="0" w:right="0" w:hanging="0"/>
              <w:jc w:val="right"/>
              <w:rPr/>
            </w:pPr>
            <w:r>
              <w:rPr/>
              <w:t>​</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Robert Rupczynski</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w:t>
            </w:r>
          </w:p>
        </w:tc>
        <w:tc>
          <w:tcPr>
            <w:tcW w:w="286" w:type="dxa"/>
            <w:tcBorders/>
            <w:shd w:fill="CCEEFF" w:val="clear"/>
            <w:vAlign w:val="center"/>
          </w:tcPr>
          <w:p>
            <w:pPr>
              <w:pStyle w:val="TableContents"/>
              <w:bidi w:val="0"/>
              <w:spacing w:before="0" w:after="1"/>
              <w:ind w:left="0" w:right="0" w:hanging="0"/>
              <w:jc w:val="right"/>
              <w:rPr/>
            </w:pPr>
            <w:r>
              <w:rPr/>
              <w:t>​</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All Directors and Executive Officers as a Group (13 persons) (23)</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154,636,321</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90.7</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b/>
                <w:i/>
                <w:sz w:val="16"/>
              </w:rPr>
            </w:pPr>
            <w:r>
              <w:rPr>
                <w:rFonts w:ascii="Times New Roman;Times;serif" w:hAnsi="Times New Roman;Times;serif"/>
                <w:b/>
                <w:i/>
                <w:sz w:val="16"/>
              </w:rPr>
              <w:t>Class B Common Stock:</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26" w:type="dxa"/>
            <w:tcBorders/>
            <w:shd w:fill="CCEEFF" w:val="clear"/>
            <w:vAlign w:val="center"/>
          </w:tcPr>
          <w:p>
            <w:pPr>
              <w:pStyle w:val="TableContents"/>
              <w:bidi w:val="0"/>
              <w:spacing w:before="0" w:after="1"/>
              <w:ind w:left="0" w:right="0" w:hanging="0"/>
              <w:jc w:val="right"/>
              <w:rPr/>
            </w:pPr>
            <w:r>
              <w:rPr/>
              <w:t>​</w:t>
            </w:r>
          </w:p>
        </w:tc>
        <w:tc>
          <w:tcPr>
            <w:tcW w:w="286" w:type="dxa"/>
            <w:tcBorders/>
            <w:shd w:fill="CCEEFF" w:val="clear"/>
            <w:vAlign w:val="center"/>
          </w:tcPr>
          <w:p>
            <w:pPr>
              <w:pStyle w:val="TableContents"/>
              <w:bidi w:val="0"/>
              <w:spacing w:before="0" w:after="1"/>
              <w:ind w:left="0" w:right="0" w:hanging="0"/>
              <w:jc w:val="left"/>
              <w:rPr/>
            </w:pPr>
            <w:r>
              <w:rPr/>
              <w:t>​</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Charles W. Ergen</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131,348,468</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46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Cantey M. Ergen</w:t>
            </w:r>
          </w:p>
        </w:tc>
        <w:tc>
          <w:tcPr>
            <w:tcW w:w="34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131,348,468</w:t>
            </w:r>
          </w:p>
        </w:tc>
        <w:tc>
          <w:tcPr>
            <w:tcW w:w="346" w:type="dxa"/>
            <w:tcBorders/>
            <w:shd w:fill="CCEEFF" w:val="clear"/>
            <w:vAlign w:val="center"/>
          </w:tcPr>
          <w:p>
            <w:pPr>
              <w:pStyle w:val="TableContents"/>
              <w:bidi w:val="0"/>
              <w:spacing w:before="0" w:after="1"/>
              <w:ind w:left="0" w:right="0" w:hanging="0"/>
              <w:jc w:val="left"/>
              <w:rPr/>
            </w:pPr>
            <w:r>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c>
          <w:tcPr>
            <w:tcW w:w="28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r>
        <w:trPr/>
        <w:tc>
          <w:tcPr>
            <w:tcW w:w="46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All Directors and Executive Officers as a Group (13 persons) (23)</w:t>
            </w:r>
          </w:p>
        </w:tc>
        <w:tc>
          <w:tcPr>
            <w:tcW w:w="34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131,348,468</w:t>
            </w:r>
          </w:p>
        </w:tc>
        <w:tc>
          <w:tcPr>
            <w:tcW w:w="346" w:type="dxa"/>
            <w:tcBorders/>
            <w:vAlign w:val="center"/>
          </w:tcPr>
          <w:p>
            <w:pPr>
              <w:pStyle w:val="TableContents"/>
              <w:bidi w:val="0"/>
              <w:spacing w:before="0" w:after="1"/>
              <w:ind w:left="0" w:right="0" w:hanging="0"/>
              <w:jc w:val="left"/>
              <w:rPr/>
            </w:pPr>
            <w:r>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0.0</w:t>
            </w:r>
          </w:p>
        </w:tc>
        <w:tc>
          <w:tcPr>
            <w:tcW w:w="28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r>
    </w:tbl>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*Less than 1%.</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noted below, the address of each such person is 9601 S. Meridian Blvd., Englewood, Colorado 80112. As of the close of business on the Record Date, there were 159,467,376 outstanding Class A Shares and 131,348,468 outstanding Class B Shares.  Each Class B Share is convertible, at the option of the holder, into one  Class A Share.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Describes the ownership percentage of each class of shares beneficially owned by each beneficial owner. For the Class A Shares, the calculation assumes the conversion only of the Class B Shares beneficially owned by the applicable beneficial owner into Class A Shares and gives effect to the exercise of options and vesting of restricted stock units, if any, held by the applicable beneficial owner that are either currently exercisable or vested as of, or may become exercisable or may vest within 60 days after, the Record Date.  </w:t>
            </w:r>
          </w:p>
        </w:tc>
      </w:tr>
    </w:tbl>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Describes the total voting power of each beneficial owner taking into account all classes of shares beneficially owned by the applicable beneficial owner. The calculation assumes no conversion of any Class B Shares owned by any beneficial owner and gives effect to the exercise of options and vesting of restricted stock units, if any, held by the applicable beneficial owner that are either currently exercisable or vested as of, or may become exercisable or vest within 60 days after, the Record Date. Each Class B Share is entitled to ten votes per share.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Ergen is deemed to own beneficially all of the Class A Shares owned by his spouse, Cantey M. Ergen, except for 13,508 Class A Shares subject to employee stock options that are either currently exercisable or may become exercisable within 60 days of the Record Date. Mr. Ergen’s beneficial ownership includes: (i) 11,140,269 Class A Shares; (ii) 11,404 Class A Shares held in our 401(k) Plan; (iii) 1,497,478 Class A Shares subject to employee stock options that are either currently exercisable or may become exercisable within 60 days of the Record Date; (iv) 2,000 Class A Shares held by Mrs. Ergen; (v) 1,313 Class A Shares held in our 401(k) Plan by Mrs. Ergen; (vi) 11,921 Class A Shares held by one of Mr. and Mrs. Ergen’s children; (vii) 766,443 Class A Shares held by a charitable foundation for which Mr. Ergen is an officer and for which he shares investment and voting power with Mrs. Ergen; (viii) 1,551,355 Class A Shares held by CONX Corp. (“CONX”) and beneficially owned indirectly by Mr. Ergen through nXgen Opportunities, LLC (“nXgen”), which controls CONX; (ix) 1,512,948 Class B Shares owned beneficially directly by Mr. Ergen; (x) 2,350,696 Class A Shares and 76,457,283 Class B Shares held by Telluray Holdings, LLC (“Telluray Holdings”), for which Mrs. Ergen has sole voting power as a manager of Telluray Holdings and for which Mr. Ergen and Mrs. Ergen share dispositive power as the managers of Telluray Holdings; and (xi) 53,378,237 Class B Shares owned beneficially by Mrs. Ergen solely by virtue of her position as trustee of certain trusts established by Mr. Ergen for the benefit of his family (see (5) below in the notes to the table). Mr. Ergen’s beneficial ownership excludes 313,649 Class A Shares held by certain trusts established by Mr. Ergen for the benefit of his family.</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each Class B Share is entitled to 10 votes per share, Mr. Ergen owns beneficially equity securities of the Corporation representing approximately 90.3% of the voting power of the Corporation (assuming no conversion of the Class B Shares and after giving effect to the exercise of Mr. Ergen’s employee stock options that are either currently exercisable or may become exercisable within 60 days of the Record Date). Mr. Ergen’s beneficial ownership includes: (i) 23,097,210 Class B Shares owned beneficially by Mrs. Ergen solely by virtue of her position as trustee of the Ergen Two-Year May 2025 SATS GRAT; (ii) 14,483,467 Class B Shares owned beneficially by Mrs. Ergen solely by virtue of her position as trustee of the Ergen Two-Year June 2025 SATS GRAT; (iii) 6,497,560 Class B Shares owned beneficially by Mrs. Ergen solely by virtue of her position as trustee of the Ergen Two-Year July 2025 SATS GRAT; (iv) 4,300,000 Class B Shares owned beneficially by Mrs. Ergen solely by virtue of her position as trustee of the Ergen Two-Year June 2026 SATS GRAT; and (v) 5,000,000 Class B Shares owned beneficially by Mrs. Ergen solely by virtue of her position as trustee of the Ergen Two-Year July 2026 ECHO GRAT. Pursuant to the Amended Support Agreement (which was signed as part of the Merger), Mr. Ergen and certain related other Ergen stockholders have agreed not to vote, or cause or direct to be voted, the Class A Shares owned by them, other than with respect to any matter presented to the holders of Class A Shares on which holders of Class B Shares are not entitled to vote, for three years following the closing of the Merger. As a result, Mr. Ergen’s effective total voting power is approximately 89.3%.</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Mrs. Ergen beneficially owns all of the Class A Shares owned by her spouse, Mr. Ergen, except for 1,497,478 Class A Shares subject to employee stock options that are either currently exercisable or may become exercisable within 60 days of the Record Date. Mrs. Ergen also beneficially owns 13,508 Class A Shares subject to employee stock options that are either currently exercisable or may become exercisable within 60 days of the Record Date.</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State Street Corporation (“State Street”) is One Congress Street, Suite 1, Boston, Massachusetts 02114. Of the Class A Shares beneficially owned, State Street has shared voting power as to 8,299,601 Class A Shares and shared dispositive power as to 10,661,974 Class A Shares. The foregoing information is based solely upon a Schedule 13G filed by State Street with the SEC on August 7, 2026.</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BlackRock, Inc. (“BlackRock”) is 50 Hudson Yards, New York, New York 10001. Of the Class A Shares beneficially owned, BlackRock has sole voting power as to 9,946,119 Class A Shares and sole dispositive power as to 10,564,121 Class A Shares. The foregoing information is based solely upon a Schedule 13G filed by BlackRock with the SEC on July 28, 2026.</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Vanguard Capital Management LLC (“Vanguard”) is 100 Vanguard Blvd, Malvern, Pennsylvania 19355. Of the Class A Shares beneficially owned, Vanguard has sole voting power as to 1,158,656 Class A Shares and sole dispositive power as to 9,852,274 Class A Shares. The foregoing information is based solely upon a Schedule 13G filed by Vanguard with the SEC on April 29, 2026.</w:t>
            </w:r>
          </w:p>
        </w:tc>
      </w:tr>
    </w:tbl>
    <w:tbl>
      <w:tblPr>
        <w:tblW w:w="10205" w:type="dxa"/>
        <w:jc w:val="left"/>
        <w:tblInd w:w="0" w:type="dxa"/>
        <w:tblLayout w:type="fixed"/>
        <w:tblCellMar>
          <w:top w:w="0" w:type="dxa"/>
          <w:left w:w="0" w:type="dxa"/>
          <w:bottom w:w="0" w:type="dxa"/>
          <w:right w:w="0" w:type="dxa"/>
        </w:tblCellMar>
      </w:tblPr>
      <w:tblGrid>
        <w:gridCol w:w="402"/>
        <w:gridCol w:w="9803"/>
      </w:tblGrid>
      <w:tr>
        <w:trPr/>
        <w:tc>
          <w:tcPr>
            <w:tcW w:w="4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DeFranco’s beneficial ownership includes: (i) 1,722 Class A Shares; (ii) 49,958 Class A Shares held in our 401(k) Plan; (iii) 27,370 Class A Shares subject to employee stock options that are either currently exercisable or may become exercisable within 60 days of the Record Date; (iv) 598,907 Class A Shares controlled by Mr. DeFranco as manager of a limited liability company; (v) 1,375,437 Class A Shares controlled by Mr. DeFranco as manager of a different limited liability company; (vi) 1,883,387 Class A Shares controlled by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DeFranco as general partner of a limited partnership; and (vii) 815,582 Class A Shares held by Mr. DeFranco as a general partner of a different limited partnership.</w:t>
            </w:r>
          </w:p>
        </w:tc>
      </w:tr>
    </w:tbl>
    <w:tbl>
      <w:tblPr>
        <w:tblW w:w="10205" w:type="dxa"/>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Akhavan beneficial ownership includes: (i) 278,537 Class A Shares; (ii) 364 Class A Shares held in our 401(k) Plan; and (iii) 600,000 Class A Shares held by Mr. Akhavan in an irrevocable trust.  Mr. Akhavan resigned from the Board and the Company effective July 6, 2026, after discussions with the Board regarding a change of strategic direction.  The foregoing information is based solely upon information available to the Corporation on July 6, 2026.</w:t>
            </w:r>
          </w:p>
        </w:tc>
      </w:tr>
    </w:tbl>
    <w:tbl>
      <w:tblPr>
        <w:tblW w:w="10205" w:type="dxa"/>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7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Ortolf’s beneficial ownership includes: (i) 3,698 Class A Shares; (ii) 23,508 Class A Shares subject to nonemployee director stock options that are either currently exercisable or may become exercisable within 60 days of the Record Date; (iii) 70 Class A Shares held in the name of one of his children; and (iv) 35,644 Class A Shares held by a partnership of which Mr. Ortolf is a partner and are held as collateral for a margin account.</w:t>
            </w:r>
          </w:p>
        </w:tc>
      </w:tr>
    </w:tbl>
    <w:tbl>
      <w:tblPr>
        <w:tblW w:w="10205" w:type="dxa"/>
        <w:jc w:val="left"/>
        <w:tblInd w:w="0" w:type="dxa"/>
        <w:tblLayout w:type="fixed"/>
        <w:tblCellMar>
          <w:top w:w="0" w:type="dxa"/>
          <w:left w:w="0" w:type="dxa"/>
          <w:bottom w:w="0" w:type="dxa"/>
          <w:right w:w="0" w:type="dxa"/>
        </w:tblCellMar>
      </w:tblPr>
      <w:tblGrid>
        <w:gridCol w:w="413"/>
        <w:gridCol w:w="9792"/>
      </w:tblGrid>
      <w:tr>
        <w:trPr/>
        <w:tc>
          <w:tcPr>
            <w:tcW w:w="4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7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Dodge’s beneficial ownership includes: (i) 25,151 Class A Shares; (ii) 30,000 Class A Shares subject to nonemployee director stock options that are either currently exercisable or may become exercisable within 60 days of the Record Date; and (iii) 1,641 Class A Shares held in our 401(k) Plans.</w:t>
            </w:r>
          </w:p>
        </w:tc>
      </w:tr>
    </w:tbl>
    <w:tbl>
      <w:tblPr>
        <w:tblW w:w="10205" w:type="dxa"/>
        <w:jc w:val="left"/>
        <w:tblInd w:w="0" w:type="dxa"/>
        <w:tblLayout w:type="fixed"/>
        <w:tblCellMar>
          <w:top w:w="0" w:type="dxa"/>
          <w:left w:w="0" w:type="dxa"/>
          <w:bottom w:w="0" w:type="dxa"/>
          <w:right w:w="0" w:type="dxa"/>
        </w:tblCellMar>
      </w:tblPr>
      <w:tblGrid>
        <w:gridCol w:w="414"/>
        <w:gridCol w:w="9791"/>
      </w:tblGrid>
      <w:tr>
        <w:trPr/>
        <w:tc>
          <w:tcPr>
            <w:tcW w:w="4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7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Swieringa’s beneficial ownership includes: (i) 4,426 Class A Shares; (ii) 809 Class A Shares held in our 401(k) Plan; and (iii) 50,145 Class A Shares subject to employee stock options that are either currently exercisable or may become exercisable within 60 days of the Record Date.</w:t>
            </w:r>
          </w:p>
        </w:tc>
      </w:tr>
    </w:tbl>
    <w:tbl>
      <w:tblPr>
        <w:tblW w:w="10205" w:type="dxa"/>
        <w:jc w:val="left"/>
        <w:tblInd w:w="0" w:type="dxa"/>
        <w:tblLayout w:type="fixed"/>
        <w:tblCellMar>
          <w:top w:w="0" w:type="dxa"/>
          <w:left w:w="0" w:type="dxa"/>
          <w:bottom w:w="0" w:type="dxa"/>
          <w:right w:w="0" w:type="dxa"/>
        </w:tblCellMar>
      </w:tblPr>
      <w:tblGrid>
        <w:gridCol w:w="415"/>
        <w:gridCol w:w="9790"/>
      </w:tblGrid>
      <w:tr>
        <w:trPr/>
        <w:tc>
          <w:tcPr>
            <w:tcW w:w="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Orban’s beneficial ownership includes: (i) 668 Class A Shares; (ii) 37 Class A Shares held in our 401(k) Plan; and (iii) 52,403 Class A Shares subject to employee stock options that are either currently exercisable or may become exercisable within 60 days of the Record Date.</w:t>
            </w:r>
          </w:p>
        </w:tc>
      </w:tr>
    </w:tbl>
    <w:tbl>
      <w:tblPr>
        <w:tblW w:w="10205" w:type="dxa"/>
        <w:jc w:val="left"/>
        <w:tblInd w:w="0" w:type="dxa"/>
        <w:tblLayout w:type="fixed"/>
        <w:tblCellMar>
          <w:top w:w="0" w:type="dxa"/>
          <w:left w:w="0" w:type="dxa"/>
          <w:bottom w:w="0" w:type="dxa"/>
          <w:right w:w="0" w:type="dxa"/>
        </w:tblCellMar>
      </w:tblPr>
      <w:tblGrid>
        <w:gridCol w:w="417"/>
        <w:gridCol w:w="9788"/>
      </w:tblGrid>
      <w:tr>
        <w:trPr/>
        <w:tc>
          <w:tcPr>
            <w:tcW w:w="4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7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Hershman’s beneficial ownership includes: (i) 7,572 Class A Shares; and (ii) 30,000 Class A Shares subject to nonemployee director stock options that are either currently exercisable or may become exercisable within 60 days of the Record Date.</w:t>
            </w:r>
          </w:p>
        </w:tc>
      </w:tr>
    </w:tbl>
    <w:tbl>
      <w:tblPr>
        <w:tblW w:w="10205" w:type="dxa"/>
        <w:jc w:val="left"/>
        <w:tblInd w:w="0" w:type="dxa"/>
        <w:tblLayout w:type="fixed"/>
        <w:tblCellMar>
          <w:top w:w="0" w:type="dxa"/>
          <w:left w:w="0" w:type="dxa"/>
          <w:bottom w:w="0" w:type="dxa"/>
          <w:right w:w="0" w:type="dxa"/>
        </w:tblCellMar>
      </w:tblPr>
      <w:tblGrid>
        <w:gridCol w:w="412"/>
        <w:gridCol w:w="9793"/>
      </w:tblGrid>
      <w:tr>
        <w:trPr/>
        <w:tc>
          <w:tcPr>
            <w:tcW w:w="4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(17)</w:t>
            </w:r>
          </w:p>
        </w:tc>
        <w:tc>
          <w:tcPr>
            <w:tcW w:w="97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Wade’s beneficial ownership includes: (i) 324 Class A Shares; (ii) 30,000 Class A Shares subject to nonemployee director stock options that are either currently exercisable or may become exercisable within 60 days of the Record Date; and (iii) 443 Class A Shares held by Mr. Wade in an irrevocable trust.</w:t>
            </w:r>
          </w:p>
        </w:tc>
      </w:tr>
    </w:tbl>
    <w:tbl>
      <w:tblPr>
        <w:tblW w:w="10205" w:type="dxa"/>
        <w:jc w:val="left"/>
        <w:tblInd w:w="0" w:type="dxa"/>
        <w:tblLayout w:type="fixed"/>
        <w:tblCellMar>
          <w:top w:w="0" w:type="dxa"/>
          <w:left w:w="0" w:type="dxa"/>
          <w:bottom w:w="0" w:type="dxa"/>
          <w:right w:w="0" w:type="dxa"/>
        </w:tblCellMar>
      </w:tblPr>
      <w:tblGrid>
        <w:gridCol w:w="418"/>
        <w:gridCol w:w="9787"/>
      </w:tblGrid>
      <w:tr>
        <w:trPr/>
        <w:tc>
          <w:tcPr>
            <w:tcW w:w="4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w:t>
            </w:r>
          </w:p>
        </w:tc>
        <w:tc>
          <w:tcPr>
            <w:tcW w:w="97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Brokaw’s beneficial ownership includes: (i) 4,508 Class A Shares; and (ii) 23,508 Class A Shares subject to nonemployee director stock options that are either currently exercisable or may become exercisable within 60 days of the Record Date.</w:t>
            </w:r>
          </w:p>
        </w:tc>
      </w:tr>
    </w:tbl>
    <w:tbl>
      <w:tblPr>
        <w:tblW w:w="10205" w:type="dxa"/>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(19)</w:t>
            </w:r>
          </w:p>
        </w:tc>
        <w:tc>
          <w:tcPr>
            <w:tcW w:w="98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Gaske’s beneficial ownership includes: (i) 303 Class A Shares; (ii) 37 Class A Shares held in our 401(k) Plan; and (iii) 25,631 Class A Shares subject to employee stock options that are either currently exercisable or may become exercisable within 60 days of the Record Date.  Effective July 28, 2026, Mr. Gaske, resigned from his executive position with EchoStar and remains employed by the Company as a senior advisor for a transition period.</w:t>
            </w:r>
          </w:p>
        </w:tc>
      </w:tr>
    </w:tbl>
    <w:tbl>
      <w:tblPr>
        <w:tblW w:w="10205" w:type="dxa"/>
        <w:jc w:val="left"/>
        <w:tblInd w:w="0" w:type="dxa"/>
        <w:tblLayout w:type="fixed"/>
        <w:tblCellMar>
          <w:top w:w="0" w:type="dxa"/>
          <w:left w:w="0" w:type="dxa"/>
          <w:bottom w:w="0" w:type="dxa"/>
          <w:right w:w="0" w:type="dxa"/>
        </w:tblCellMar>
      </w:tblPr>
      <w:tblGrid>
        <w:gridCol w:w="418"/>
        <w:gridCol w:w="9787"/>
      </w:tblGrid>
      <w:tr>
        <w:trPr/>
        <w:tc>
          <w:tcPr>
            <w:tcW w:w="4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w:t>
            </w:r>
          </w:p>
        </w:tc>
        <w:tc>
          <w:tcPr>
            <w:tcW w:w="97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Bye’s beneficial ownership includes: (i) 653 Class A Shares; and (ii) 15,000 Class A Shares subject to nonemployee director stock options that are either currently exercisable or may become exercisable within 60 days of the Record Date.</w:t>
            </w:r>
          </w:p>
        </w:tc>
      </w:tr>
    </w:tbl>
    <w:tbl>
      <w:tblPr>
        <w:tblW w:w="10205" w:type="dxa"/>
        <w:jc w:val="left"/>
        <w:tblInd w:w="0" w:type="dxa"/>
        <w:tblLayout w:type="fixed"/>
        <w:tblCellMar>
          <w:top w:w="0" w:type="dxa"/>
          <w:left w:w="0" w:type="dxa"/>
          <w:bottom w:w="0" w:type="dxa"/>
          <w:right w:w="0" w:type="dxa"/>
        </w:tblCellMar>
      </w:tblPr>
      <w:tblGrid>
        <w:gridCol w:w="405"/>
        <w:gridCol w:w="9800"/>
      </w:tblGrid>
      <w:tr>
        <w:trPr/>
        <w:tc>
          <w:tcPr>
            <w:tcW w:w="4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980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Mr. Manson’s beneficial ownership includes: (i) 5,139 Class A Shares; (ii) 1,143 Class A Shares held in our 401(k) Plan; and (iii) 5,000 Class A Shares subject to employee stock options that are either currently exercisable or may become exercisable within 60 days of the Record Date.  Effective June 26, 2026, Mr. Manson resigned </w:t>
            </w:r>
            <w:r>
              <w:rPr>
                <w:rFonts w:ascii="Times New Roman;Times;serif" w:hAnsi="Times New Roman;Times;serif"/>
                <w:b w:val="false"/>
                <w:i w:val="false"/>
                <w:caps w:val="false"/>
                <w:smallCaps w:val="false"/>
                <w:color w:val="222222"/>
                <w:sz w:val="20"/>
                <w:shd w:fill="FFFFFF" w:val="clear"/>
              </w:rPr>
              <w:t xml:space="preserve">as Chief Legal Officer and Secretary of EchoStar </w:t>
            </w:r>
            <w:r>
              <w:rPr>
                <w:rFonts w:ascii="Times New Roman;Times;serif" w:hAnsi="Times New Roman;Times;serif"/>
                <w:b w:val="false"/>
                <w:i w:val="false"/>
                <w:caps w:val="false"/>
                <w:smallCaps w:val="false"/>
                <w:sz w:val="20"/>
              </w:rPr>
              <w:t>and remains employed by the Company as a senior advisor for a transition period.</w:t>
            </w:r>
          </w:p>
        </w:tc>
      </w:tr>
    </w:tbl>
    <w:tbl>
      <w:tblPr>
        <w:tblW w:w="10205" w:type="dxa"/>
        <w:jc w:val="left"/>
        <w:tblInd w:w="0" w:type="dxa"/>
        <w:tblLayout w:type="fixed"/>
        <w:tblCellMar>
          <w:top w:w="0" w:type="dxa"/>
          <w:left w:w="0" w:type="dxa"/>
          <w:bottom w:w="0" w:type="dxa"/>
          <w:right w:w="0" w:type="dxa"/>
        </w:tblCellMar>
      </w:tblPr>
      <w:tblGrid>
        <w:gridCol w:w="417"/>
        <w:gridCol w:w="9788"/>
      </w:tblGrid>
      <w:tr>
        <w:trPr/>
        <w:tc>
          <w:tcPr>
            <w:tcW w:w="4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97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Abernathy’s beneficial ownership includes: (i) 266 Class A Shares; and (ii) 6,754 Class A Shares subject to nonemployee director stock options that are either currently exercisable or may become exercisable within 60 days of the Record Date.</w:t>
            </w:r>
          </w:p>
        </w:tc>
      </w:tr>
    </w:tbl>
    <w:tbl>
      <w:tblPr>
        <w:tblW w:w="10205" w:type="dxa"/>
        <w:jc w:val="left"/>
        <w:tblInd w:w="0" w:type="dxa"/>
        <w:tblLayout w:type="fixed"/>
        <w:tblCellMar>
          <w:top w:w="0" w:type="dxa"/>
          <w:left w:w="0" w:type="dxa"/>
          <w:bottom w:w="0" w:type="dxa"/>
          <w:right w:w="0" w:type="dxa"/>
        </w:tblCellMar>
      </w:tblPr>
      <w:tblGrid>
        <w:gridCol w:w="398"/>
        <w:gridCol w:w="9807"/>
      </w:tblGrid>
      <w:tr>
        <w:trPr/>
        <w:tc>
          <w:tcPr>
            <w:tcW w:w="3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98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11,990,227 Class A Shares; (ii) 65,429 Class A Shares held in our 401(k) Plans; (iii) 2,045,430 Class A Shares subject to employee and nonemployee director stock options that are either currently exercisable or may become exercisable within 60 days of the Record Date; (iv) 8,611,008 Class A Shares held in partnerships or limit liability companies; (v) 131,348,468 Class A Shares issuable upon conversion of Class B Shares; (vi) 12,434 Class A Shares held in the name of, or in trust for, children and other family members; and (vii) 766,443 Class A Shares held by a charitable foundation. Class A Shares and Class B Shares beneficially owned by both Mr. and Mrs. Ergen are only included once in calculating the aggregate number of shares owned by directors and executive officers as a group.</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20" w:name="DelinquentSection16aReports_662064"/>
      <w:bookmarkEnd w:id="420"/>
      <w:r>
        <w:rPr>
          <w:rFonts w:ascii="Times New Roman;Times;serif" w:hAnsi="Times New Roman;Times;serif"/>
          <w:b/>
          <w:sz w:val="20"/>
        </w:rPr>
        <w:t>Delinquent Section 16(a) Reports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Section 16(a) of the Exchange Act requires our directors, executive officers and holders of more than 10% of our common stock to file reports with the SEC regarding their ownership and changes in ownership of our equity securities. We believe that during 2025, our directors, executive officers and 10% shareholders complied with all Section 16(a) filing requirements. In making these statements, we have relied upon examination of copies of Forms 3, 4 and 5 provided to us and the written representations of our directors and officers.</w:t>
      </w:r>
    </w:p>
    <w:p>
      <w:pPr>
        <w:pStyle w:val="TextBody"/>
        <w:bidi w:val="0"/>
        <w:spacing w:before="0" w:after="240"/>
        <w:ind w:left="0" w:right="0" w:hanging="0"/>
        <w:jc w:val="center"/>
        <w:rPr>
          <w:rFonts w:ascii="Times New Roman;Times;serif" w:hAnsi="Times New Roman;Times;serif"/>
          <w:b/>
          <w:sz w:val="20"/>
        </w:rPr>
      </w:pPr>
      <w:bookmarkStart w:id="421" w:name="EXECUTIVECOMPENSATIONANDOTHERINFORMATION"/>
      <w:bookmarkStart w:id="422" w:name="_f22f5752_d98f_4c9d_b941_c72602a4fc78"/>
      <w:bookmarkEnd w:id="421"/>
      <w:bookmarkEnd w:id="422"/>
      <w:r>
        <w:rPr>
          <w:rFonts w:ascii="Times New Roman;Times;serif" w:hAnsi="Times New Roman;Times;serif"/>
          <w:b/>
          <w:sz w:val="20"/>
        </w:rPr>
        <w:t>EXECUTIVE COMPENSATION AND OTHER INFORMATION</w:t>
      </w:r>
    </w:p>
    <w:p>
      <w:pPr>
        <w:pStyle w:val="TextBody"/>
        <w:bidi w:val="0"/>
        <w:spacing w:before="0" w:after="240"/>
        <w:ind w:left="0" w:right="0" w:hanging="0"/>
        <w:jc w:val="left"/>
        <w:rPr>
          <w:rFonts w:ascii="Times New Roman;Times;serif" w:hAnsi="Times New Roman;Times;serif"/>
          <w:b/>
          <w:sz w:val="20"/>
        </w:rPr>
      </w:pPr>
      <w:bookmarkStart w:id="423" w:name="CompensationDiscussionandAnalysis_395506"/>
      <w:bookmarkEnd w:id="423"/>
      <w:r>
        <w:rPr>
          <w:rFonts w:ascii="Times New Roman;Times;serif" w:hAnsi="Times New Roman;Times;serif"/>
          <w:b/>
          <w:sz w:val="20"/>
        </w:rPr>
        <w:t>Compensation Discussion and Analysis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This Compensation Discussion and Analysis (“CD&amp;A”) addresses our compensation objectives and policies for our Named Executive Officers, or NEOs, our guiding principles and our decision-making process in determining NEO compensation, the elements of our NEO compensation and the application of those objectives and policies to each element of compensation for our NEOs for fiscal year 2025. Our NEOs in 2025 were Charles W. Ergen, Hamid Akhavan, John W. Swieringa, Paul W. Orban, Dean A. Manson and Paul Gaske. None of our NEOs were party to an employment agreement with us other than Messrs. Akhavan and Swieringa, who entered into offer letters on October 2, 2023 in connection with the Merger.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Mr. Akhavan resigned from the Board and the Company effective July 6, 2026, after discussions with the Board regarding a change of strategic direction.  Effective June 26, 2026, Mr. Manson resigned as Chief Legal Officer and Secretary of EchoStar and remains employed by the Company as a senior advisor for a transition period.  On July 28, 2026, Mr. Gaske, resigned from his executive position with EchoStar and remains employed by the Company as a senior advisor for a transition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Compensation Discussion and Analysis contains information regarding company performance targets and goals for our executive compensation program. These targets and goals were disclosed to provide information on how executive compensation was determined in 2025 but are not intended to be estimates of future results or other forward-looking guidance. We caution investors against using these targets and goals outside of the context of their use in our executive compensation program as described herein.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Overall Executive Compensation Program Objectives and Policies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Compensation Philosophy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design our executive compensation programs with the goal of creating long-term shareholder value and ensuring EchoStar’s long-term success. Such goals are dependent upon, among other things, our ability to motivate and retain talented and experienced executives and our ability to tie executive compensation to business performance. Accordingly, we design executive compensation programs to, among other things, attract and retain the best talent, reinforce stock ownership and emphasize performance as a basis for compensation. Within this framework, our executive compensation program was guided by the following key principles in 2025:</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attraction, retention and motivation of executive officers by offering base salaries, incentive compensation and employee benefits that are market-competitive and that facilitate hiring and retention of world-class talent;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management effectiveness and individual executive performance with annual review of performance for purposes of base salary increases and annual cash incentive awards;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the achievement of company-wide, business group and individual performance goals with respect to cash incentive awards;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creation of shareholder value by aligning the interests of management and shareholders through equity compensation whose value will be based upon the future performance of our common stock and through performance-based cash incentives.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Compensation Best Practices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our NEOs, we strive to follow sound corporate governance practices including:</w:t>
      </w:r>
    </w:p>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NEOs direct compensation is linked to our financial performance;</w:t>
            </w:r>
          </w:p>
        </w:tc>
      </w:tr>
    </w:tbl>
    <w:tbl>
      <w:tblPr>
        <w:tblW w:w="9771" w:type="dxa"/>
        <w:jc w:val="left"/>
        <w:tblInd w:w="0" w:type="dxa"/>
        <w:tblLayout w:type="fixed"/>
        <w:tblCellMar>
          <w:top w:w="28" w:type="dxa"/>
          <w:left w:w="28" w:type="dxa"/>
          <w:bottom w:w="28" w:type="dxa"/>
          <w:right w:w="28" w:type="dxa"/>
        </w:tblCellMar>
      </w:tblPr>
      <w:tblGrid>
        <w:gridCol w:w="124"/>
        <w:gridCol w:w="256"/>
        <w:gridCol w:w="93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our NEOs were at-will employees without employment agreements, other than Messrs. Akhavan and Swieringa;</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our NEOs with few perquisites, no long-term cash incentive, no defined benefit or retiree medical benefits;</w:t>
            </w:r>
          </w:p>
        </w:tc>
      </w:tr>
    </w:tbl>
    <w:tbl>
      <w:tblPr>
        <w:tblW w:w="4266" w:type="dxa"/>
        <w:jc w:val="left"/>
        <w:tblInd w:w="0" w:type="dxa"/>
        <w:tblLayout w:type="fixed"/>
        <w:tblCellMar>
          <w:top w:w="28" w:type="dxa"/>
          <w:left w:w="28" w:type="dxa"/>
          <w:bottom w:w="28" w:type="dxa"/>
          <w:right w:w="28" w:type="dxa"/>
        </w:tblCellMar>
      </w:tblPr>
      <w:tblGrid>
        <w:gridCol w:w="124"/>
        <w:gridCol w:w="256"/>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NEOs are not provided with tax gross-ups;</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NEOs are not entitled to cash severance;</w:t>
            </w:r>
          </w:p>
        </w:tc>
      </w:tr>
    </w:tbl>
    <w:tbl>
      <w:tblPr>
        <w:tblW w:w="7446" w:type="dxa"/>
        <w:jc w:val="left"/>
        <w:tblInd w:w="0" w:type="dxa"/>
        <w:tblLayout w:type="fixed"/>
        <w:tblCellMar>
          <w:top w:w="28" w:type="dxa"/>
          <w:left w:w="28" w:type="dxa"/>
          <w:bottom w:w="28" w:type="dxa"/>
          <w:right w:w="28" w:type="dxa"/>
        </w:tblCellMar>
      </w:tblPr>
      <w:tblGrid>
        <w:gridCol w:w="124"/>
        <w:gridCol w:w="256"/>
        <w:gridCol w:w="7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Compensation Committee composed entirely of independent directors.</w:t>
            </w:r>
          </w:p>
        </w:tc>
      </w:tr>
    </w:tbl>
    <w:p>
      <w:pPr>
        <w:pStyle w:val="TextBody"/>
        <w:bidi w:val="0"/>
        <w:spacing w:before="0" w:after="20"/>
        <w:ind w:left="36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Compensation Levels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stated above, the total compensation opportunities, including base salaries, incentives and other benefits and perquisites, offered to our NEOs have been designed to ensure that, for each executive as appropriate, they are competitive and support our executive recruitment, retention and motivation objectives, reward individual, group and company-wide performance and contribute to our success by aligning the interests of our executive officers with the interest of our shareholders.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determining the overall compensation of our NEOs, the Corporation considers the subjective recommendations of our Chairman, President and Chief Executive Officer (other than with respect to his own compensation), and the subjective determinations of the Compensation Committee, all of which may take into account one or more of the following factors: (i) information described in “Compilation of Certain Peer Group Data” below and other information obtained from media reports or other generally available sources related to executive compensation information, (ii) the executive’s performance and contributions and/or considerations of retention, including, without limitation, the executive’s success in achieving individual, business group and company-wide goals and the extent to which the executive’s individual efforts contributed to and/or resulted in increases in corporate, division, department or individual success, (iii) whether the performance goals of any short-term or long-term incentive plans were met and the payouts that would become payable upon achievement of those performance goals, (iv) the value of historic and current components of each NEO’s compensation, including the base salary and any bonus or incentive compensation paid to the NEO in the prior year, (v) the value of equity awards previously granted to the executive, (vi) our and our subsidiaries’ overall financial and business performance, (vii) if applicable, the performance of the NEO’s business unit, (viii) the rate of standard annual merit increases for employees who are performing at or above a satisfactory level, (ix) the expected compensation to be paid to other senior officers in the applicable year, (x) whether the NEO was promoted or newly hired in the prior or applicable year, and (xi) equity awards that would normally be granted upon a promotion in accordance with our policies for promotions. This approach to general compensation levels is not formulaic or standard and does not utilize formalized benchmarking, and the weight given to any particular factor in determining a particular NEO’s compensation depends on the subjective consideration of all factors described above in the aggregate.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respect to equity incentive compensation, we generally believe that our NEOs should have appropriate incentives tied to the performance of our Class A Shares. Therefore, we may grant equity awards to a particular NEO in a given year based on a number of subjective criteria, including, without limitation, the value of equity awards previously granted to the NEO, whether a substantial portion of the NEO’s equity incentives are vested and the underlying stock is capable of being sold, the amount of equity incentives of a NEO in a particular year, whether a NEO has recently been promoted, a NEO’s position and role in our success and whether a NEO has made any exceptional contributions to our success.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Mr. Ergen recommends, the Compensation Committee reviews and discusses and the Board of Directors ultimately approves the base salary compensation of our NEOs. After considering these recommendations and other considerations discussed above, the Board of Directors determines the annual base salary for each NEO. The Compensation Committee also makes and approves grants of options and other equity-based compensation to our NEOs, if any, as well as determines and establishes applicable payout targets and performance metrics for the payment of cash and equity incentive awards. The Compensation Committee and the Board of Directors place substantial weight on Mr. Ergen’s recommendations regarding all compensation matters in light of his role as our controlling shareholder, Chairman, President and Chief Executive Officer.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Furthermore, the Compensation Committee also makes a subjective determination as to whether an increase should be made to Mr. Ergen’s compensation based on its evaluation of, among other factors, Mr. Ergen’s contribution to the success of EchoStar, whether the performance goals of any short-term or long-term incentive plans were met, the respective payouts that would become payable to Mr. Ergen upon achievement of those performance goals and the respective options and other stock awards currently held by Mr. Ergen and whether such awards are sufficient to retain Mr. Ergen.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Compilation of Certain Peer Group Data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do not utilize a formulaic or standard, formalized benchmarking level or element in setting our executive compensation relative to that of other companies. Generally, the Corporation’s overall compensation lags behind competitors in the area of base pay, severance packages and short-term incentives but is intended to be competitive over time in equity compensation. If the Corporation’s stock performance substantially outperforms similar companies, executive compensation at the Corporation could exceed that at similar companies. Barring significant increases in the stock price, however, the Corporation’s compensation levels generally lag its peers.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Deductibility of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Section 162(m) of the U.S. Internal Revenue Code (the “Code”) places a limit on the tax deductibility of compensation in excess of $1 million paid to certain “covered employees” of a publicly held corporation (generally, the corporation’s principal executive officer, principal financial officer and its next three most highly compensated executive officers in the year that the compensation is paid). Prior to the adoption of the Tax Cuts and Jobs Act (the “Tax Reform”), this limitation only applied to compensation that was not considered performance-based under the Section 162(m) rules. The Tax Reform repealed this exception for performance-based compensation. We generally structure our compensation programs, where feasible, to minimize or eliminate the impact of the limitations of Section 162(m) of the Code. However, we have reserved the right to pay nondeductible compensation in excess of this limitation when we believe such payments are appropriate, after taking into consideration changing business conditions or the officer’s performance.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Use of Compensation Consultants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 compensation consultants were retained by the Corporation, the Board of Directors or the Compensation Committee in connection with recommending the setting of compensation for our executive officers during the past fiscal year.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Implementation of Executive Compensation Program Objectives and Policies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Elements of Executive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primary components of our executive compensation program include:</w:t>
      </w:r>
    </w:p>
    <w:tbl>
      <w:tblPr>
        <w:tblW w:w="1476" w:type="dxa"/>
        <w:jc w:val="left"/>
        <w:tblInd w:w="0" w:type="dxa"/>
        <w:tblLayout w:type="fixed"/>
        <w:tblCellMar>
          <w:top w:w="28" w:type="dxa"/>
          <w:left w:w="28" w:type="dxa"/>
          <w:bottom w:w="28" w:type="dxa"/>
          <w:right w:w="28" w:type="dxa"/>
        </w:tblCellMar>
      </w:tblPr>
      <w:tblGrid>
        <w:gridCol w:w="124"/>
        <w:gridCol w:w="256"/>
        <w:gridCol w:w="1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 salary;</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incentive compensation (short-term and/or long-term) in the form of stock options and/or restricted stock units offered under EchoStar’s stock incentive plans as well as eligibility to participate in an employee stock purchase plan;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cash incentive compensation, including conditional and/or performance-based cash incentive compensation and discretionary bonuses;</w:t>
            </w:r>
          </w:p>
        </w:tc>
      </w:tr>
    </w:tbl>
    <w:tbl>
      <w:tblPr>
        <w:tblW w:w="4701" w:type="dxa"/>
        <w:jc w:val="left"/>
        <w:tblInd w:w="0" w:type="dxa"/>
        <w:tblLayout w:type="fixed"/>
        <w:tblCellMar>
          <w:top w:w="28" w:type="dxa"/>
          <w:left w:w="28" w:type="dxa"/>
          <w:bottom w:w="28" w:type="dxa"/>
          <w:right w:w="28" w:type="dxa"/>
        </w:tblCellMar>
      </w:tblPr>
      <w:tblGrid>
        <w:gridCol w:w="124"/>
        <w:gridCol w:w="256"/>
        <w:gridCol w:w="43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401(k) Employee Savings Plan (“401(k) Plan”);</w:t>
            </w:r>
          </w:p>
        </w:tc>
      </w:tr>
    </w:tbl>
    <w:tbl>
      <w:tblPr>
        <w:tblW w:w="4416" w:type="dxa"/>
        <w:jc w:val="left"/>
        <w:tblInd w:w="0" w:type="dxa"/>
        <w:tblLayout w:type="fixed"/>
        <w:tblCellMar>
          <w:top w:w="28" w:type="dxa"/>
          <w:left w:w="28" w:type="dxa"/>
          <w:bottom w:w="28" w:type="dxa"/>
          <w:right w:w="28" w:type="dxa"/>
        </w:tblCellMar>
      </w:tblPr>
      <w:tblGrid>
        <w:gridCol w:w="124"/>
        <w:gridCol w:w="256"/>
        <w:gridCol w:w="40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nonqualified deferred compensation plan; and</w:t>
            </w:r>
          </w:p>
        </w:tc>
      </w:tr>
    </w:tbl>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compensation, including perquisites, personal benefits and post-termination compensation.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long and short-term incentive compensation generally include conditional and/or performance-based cash and/or equity incentive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components of our executive compensation program combine to promote the objectives and policies described above. Base salary, 401(k) Plan benefits and other benefits and perquisites provided generally to employees provide a minimum level of compensation for our NEOs. Long-term equity and/or performance-based incentive compensation align NEO compensation with the creation of long-term shareholder value and generally promote retention. Short-term cash and/or equity incentives reward individual, business group and/or company performance and achievement of shorter-term goals important to 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required that a certain percentage of an executive’s compensation be provided in one form versus another. However, our goal is to award compensation that is reasonable in relation to our compensation program and objectives when all elements of potential compensation are considered. Each element of our executive compensation and the rationale for each element are described below.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Base Salary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traditionally included salary in our executive compensation package under the belief that it is appropriate that some portion of the compensation paid to our executive officers be provided in a form that is fixed and liquid occurring over regular intervals. The Board of Directors has traditionally been free to set base salary at any level deemed appropriate, with the Compensation Committee setting the base salary of Mr. Ergen taking market trends and other factors into account. The Compensation Committee and the Board of Directors typically review base salaries of our NEOs. Any increases or decreases in base salary on a year-over-year basis have usually been dependent on a combination of the factors outlined above in “General Compensation Levels,” with particular emphasis on:</w:t>
      </w:r>
    </w:p>
    <w:p>
      <w:pPr>
        <w:pStyle w:val="TextBody"/>
        <w:bidi w:val="0"/>
        <w:spacing w:before="0" w:after="20"/>
        <w:ind w:left="360" w:right="0" w:hanging="0"/>
        <w:jc w:val="left"/>
        <w:rPr/>
      </w:pPr>
      <w:r>
        <w:rPr/>
        <w:t>●</w:t>
      </w:r>
      <w:r>
        <w:rPr>
          <w:rFonts w:ascii="Times New Roman;Times;serif" w:hAnsi="Times New Roman;Times;serif"/>
          <w:sz w:val="20"/>
        </w:rPr>
        <w:t>EchoStar’s and our subsidiaries’ overall financial and business performance;</w:t>
      </w:r>
    </w:p>
    <w:p>
      <w:pPr>
        <w:pStyle w:val="TextBody"/>
        <w:bidi w:val="0"/>
        <w:spacing w:before="0" w:after="20"/>
        <w:ind w:left="360" w:right="0" w:hanging="0"/>
        <w:jc w:val="left"/>
        <w:rPr/>
      </w:pPr>
      <w:r>
        <w:rPr/>
        <w:t>●</w:t>
      </w:r>
      <w:r>
        <w:rPr>
          <w:rFonts w:ascii="Times New Roman;Times;serif" w:hAnsi="Times New Roman;Times;serif"/>
          <w:sz w:val="20"/>
        </w:rPr>
        <w:t>the performance of the NEO’s business unit;</w:t>
      </w:r>
    </w:p>
    <w:p>
      <w:pPr>
        <w:pStyle w:val="TextBody"/>
        <w:bidi w:val="0"/>
        <w:spacing w:before="0" w:after="20"/>
        <w:ind w:left="360" w:right="0" w:hanging="0"/>
        <w:jc w:val="left"/>
        <w:rPr/>
      </w:pPr>
      <w:r>
        <w:rPr/>
        <w:t>●</w:t>
      </w:r>
      <w:r>
        <w:rPr>
          <w:rFonts w:ascii="Times New Roman;Times;serif" w:hAnsi="Times New Roman;Times;serif"/>
          <w:sz w:val="20"/>
        </w:rPr>
        <w:t>the NEO’s individual contributions to EchoStar and our subsidiaries;</w:t>
      </w:r>
    </w:p>
    <w:p>
      <w:pPr>
        <w:pStyle w:val="TextBody"/>
        <w:bidi w:val="0"/>
        <w:spacing w:before="0" w:after="20"/>
        <w:ind w:left="360" w:right="0" w:hanging="0"/>
        <w:jc w:val="left"/>
        <w:rPr/>
      </w:pPr>
      <w:r>
        <w:rPr/>
        <w:t>●</w:t>
      </w:r>
      <w:r>
        <w:rPr>
          <w:rFonts w:ascii="Times New Roman;Times;serif" w:hAnsi="Times New Roman;Times;serif"/>
          <w:sz w:val="20"/>
        </w:rPr>
        <w:t>the rate of standard annual merit increases for employees who are performing at a satisfactory or higher level; and</w:t>
      </w:r>
    </w:p>
    <w:p>
      <w:pPr>
        <w:pStyle w:val="TextBody"/>
        <w:bidi w:val="0"/>
        <w:ind w:left="360" w:right="0" w:hanging="0"/>
        <w:jc w:val="left"/>
        <w:rPr/>
      </w:pPr>
      <w:r>
        <w:rPr/>
        <w:t>●</w:t>
      </w:r>
      <w:r>
        <w:rPr>
          <w:rFonts w:ascii="Times New Roman;Times;serif" w:hAnsi="Times New Roman;Times;serif"/>
          <w:sz w:val="20"/>
        </w:rPr>
        <w:t>information described in “Compilation of Certain Peer Group Data.”</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Equity Incentive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our executive officers generally will be better able to contribute to our success and help build incremental shareholder value if they have a stake in our future success and value. We believe this stake helps retain executives and focuses the executive officers’ attention on managing as owners with equity positions and aligns their interests with the interests of our shareholders. Equity awards therefore have generally represented an important component of our compensation program for most of our NEOs. We have historically attempted to create general incentives with standard stock option grants and conditional or performance-based incentives through awards that include payouts in cash. Grants of equity incentive compensation have usually been dependent on a combination of the factors outlined above in “General Compensation Levels.”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aid in our retention of employees, options and restricted stock unit awards granted under our stock incentive plans, including those granted to our NEOs, generally have vested at rates between 20-33% per year (except with respect to certain grants or commitments to Mr. Akhavan, as described in his Letter Agreement) and, in the case of options, have had exercise prices not less than the fair market value of our Class A Shares on the date of grant or the last trading day prior to the date of grant (if the date of grant is not a trading day). Generally, our option agreements and restricted stock unit agreements with executive officers have included acceleration of vesting following a change in control for those executive officers who are terminated by us or the surviving entity, as applicable, for any reason other than for cause during the twenty-four month period following such change in control.</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Prior to our Merger, we had two general employee stock incentive plans, which we refer to as the Amended and Restated 2008 Stock Incentive Plan (the “2008 Stock Incentive Plan”) and the EchoStar Corporation 2017 Stock Incentive Plan (the “2017 Stock Incentive Plan”). In connection with the closing of the Merger, we assumed the existing DISH 2019 Stock Incentive Plan and DISH 2009 Stock Incentive Plan (all of our employee stock incentive plans are collectively referred to as the “Stock Incentive Plans”).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2008 Stock Incentive Plan expired on January 1, 2018. No new awards have been or will be granted under the 2008 Stock Incentive Plan after May 2, 2017, but any awards previously granted under this plan remain outstanding and vest and/or are exercised in accordance with their terms. The 2017 Stock Incentive Plan was approved by our shareholders on May 2, 2017, and we have used this plan for equity grants to our executive officers and other key employees since that date. Our adoption of the DISH 2009 Stock Incentive Plan and the DISH 2019 Stock Incentive Plan was approved as part of the overall Merger approval.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purpose of our Stock Incentive Plans is to provide incentives to attract, motivate and retain executive officers and employees, to offer participants incentives to put forth maximum efforts for the success of our business and to afford participants an opportunity to acquire a proprietary interest in EchoStar. The Stock Incentive Plans are administered by the Compensation Committee which retains the discretion, subject to plan limits, to modify the terms of outstanding awards and to re-price awards. Awards available to be granted under our Stock Incentive Plans include: (i) stock options; (ii) stock appreciation rights; (iii) restricted stock and restricted stock units; (iv) performance awards; (v) dividend equivalents; and (vi) other stock-based awards. We generally grant equity awards on the first day of each calendar quarter following the quarter in which the award was approved and have set exercise prices at not less than the fair market value of our Class A Shares on the date of grant or the last trading day prior to the date of grant (if the grant date is not a trading day). As of December 31, 2025, there were:  (i) outstanding options to purchase approximately 11.3 million of our Class A Shares under our Stock Incentive Plans; (ii) approximately 320 thousand outstanding restricted stock units; and (iii) approximately 20.5 million of our Class A Shares remaining available for issuance under our Stock Incentive Plans. Our outstanding option awards generally vest at rates between 20-33% per year commencing one year from the date of grant.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Class B Chairman Stock Option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adopted a Class B Chairman stock option plan, which we refer to as the 2008 Class B Chairman Stock Option Plan. The purpose of the 2008 Class B Chairman Stock Option Plan is to promote the interests of the Corporation by aiding in the retention of Mr. Ergen, who our Board of Directors believes is crucial to assuring our future success, to offer Mr. Ergen incentives to put forth maximum efforts for our future success and to afford Mr. Ergen an opportunity to acquire additional proprietary interests in the Corporation. Mr. Ergen abstained from our Board of Directors’ vote regarding the adoption of the 2008 Class B Chairman Stock Option Plan. Awards available to be granted under the 2008 Class B Chairman Stock Option Plan include nonqualified stock options and dividend equivalent rights with respect to our Class B Shares. Up to 4.0 million of our Class B Shares are available for award under the 2008 Class B Chairman Stock Option Plan. Only Mr. Ergen is eligible to participate in the 2008 Class B Chairman Stock Option Plan. No awards have been granted under the 2008 Class B Chairman Stock Option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Employee Stock Purchase Plan (“ESPP”)</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an employee stock purchase plan, which we refer to as the ESPP. The purpose of the ESPP is to provide our eligible employees with an opportunity to acquire a proprietary interest in the Corporation through the purchase of our Class A Shares. Generally, all full-time employees who have been employed by the Corporation or certain of our subsidiaries for at least one calendar quarter are eligible to participate in the ESPP. Employee stock purchases are made through payroll deductions during an offering period under the plan. Unless otherwise provided by the Board of Directors prior to the beginning of an offering period, stock purchases are made on the last trading day of each such quarterly purchase period at 85% of the closing price of the Class A Shares on that date. Beginning with any offering period commencing after October 20, 2022, shares purchased may not be sold or otherwise disposed of for 180 days after the purchase date. Under the terms of the ESPP, each employee’s deductions are limited so that the maximum such employee may purchase under our ESPP is $25,000 in fair market value of Class A Shares per year. The ESPP is intended to qualify under Section 423 of the Internal Revenue Code and thereby provide participating employees with an opportunity to receive certain favorable income tax consequences as to stock purchase rights under the ESPP. Our NEOs are eligible to participate in the ESPP on the same terms as our other employees.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Short-Term Cash Incentive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2021, we amended and restated our short-term cash incentive program for our NEOs, which we refer to as the Executive Incentive Plan (the “EIP”). The EIP is a cash incentive plan intended to promote our success by providing performance-oriented incentives to motivate our executive officers whose decisions and performance have a significant impact on our success and to reward them for superior managerial performance and our successful performance and growth. Participation in the EIP is limited to our executive officers. Under the EIP, cash payments are awarded and are based on target award amounts for each year determined by the Compensation Committee for each participant and on the achievement of corporate, business segment and/or individual executive performance metrics. For each participant in 2025, 80% of the payout target was based on the achievement of company-wide performance metrics, and the remaining 20% of the payout target was based on the Compensation Committee’s subjective assessment of each participant’s performance, taking into account the recommendation of the Chairman and, in the case of participants other than the President and Chief Executive Officer, the recommendation of the President and Chief Executive Officer. Individual awards under the EIP may range between zero and a maximum amount of 125% of the applicable target award amount as determined by the Compensation Committee for each participant. Messrs. Akhavan, Swieringa, Manson and Gaske were eligible to receive short-term cash incentive payments for 2025 pursuant to the EIP. See “Summary Compensation Table”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may provide a discretionary cash bonus to the extent that we consider an individual to have made an extraordinary contribution towards EchoStar’s performance. None of our NEOs received discretionary cash bonuses in 2025. See “Summary Compensation Table” below.</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Exchange Offer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4, 2024, we commenced a tender offer to eligible employees (which excludes our co-founders and the non-executive/non-employee members of our Board of Directors) to exchange eligible stock options (which excludes the Ergen 2020 Performance Award) for new options as detailed in our Schedule TO filed March 4, 2024 with the Securities and Exchange Commission (the “Exchange Offer”), to, among other things, further align employee incentives with the current market. The Exchange Offer expired on April 1, 2024 and we accepted for exchange approximately 7 million stock options. As a result of the Exchange Offer, during the second quarter of 2024, the exercise price of approximately 6 million new stock options, affecting approximately 1,000 eligible employees, was adjusted to $14.04.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Ergen 2020 Performance Award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closing of the Merger, we assumed the existing Ergen 2020 Performance Award which awards Mr. Ergen long-term performance-based options (the “Ergen 2020 Performance Award”) to purchase up to 4,385,962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Class A Shares. The Award is subject to the achievement of performance vesting goals based on specified stock price targets (the “EchoStar Stock Price Targets”) as set forth in the table below over the ten-year period following the date of grant (except for the first two DISH Stock Price Targets (Tranche 1 and Tranche 2)). The Award was granted on November 6, 2020, with an exercise price of $78.98. The Award will expire on February 6, 2031.</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approving the Ergen 2020 Performance Award, the DISH compensation committee recognized, among other things, the unique blend of leadership, experience and knowledge of our industry and business that Mr. Ergen brought to DISH and the continued importance of Mr. Ergen’s role as the individual who identifies strategic priorities and led the execution of DISH’s long-term strategy, including, without limitation, its wireless business, which was expected to drive long-term value for DISH and its shareholders. In an effort to further incentivize Mr. Ergen’s continued long-term performance, the DISH compensation committee designed the Ergen 2020 Performance Award to be a challenging long-term incentive for future performance, and the DISH compensation committee noted in particular that the performance thresholds could take many years to achieve, if they can be achieved at all. In addition, the DISH compensation committee sought to ensure that the Ergen 2020 Performance Award would further align Mr. Ergen’s interests with those of DISH Network’s shareholders over the long-term.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its design, evaluation and approval of the Ergen 2020 Performance Award, the DISH compensation committee retained an independent compensation consultant, Compensia, to consider various designs for the structure of the award related to the grant value and award structure. Compensia’s review included an assessment of comparable long-term incentive awards granted to other leaders of a range of technology and media companies. In addition, Compensia prepared a competitive market assessment of Mr. Ergen’s projected annual compensation relative to the annual pay of leaders at a peer set of similar industry and size/value competitors to DISH Network. This analysis determined that Mr. Ergen’s annual compensation (including the annualized fair value of the Ergen 2020 Performance Award) was generally lower than the compensation of the leaders of these peer companies.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Subject to Mr. Ergen’s continued employment in his position as Chairman of DISH Network (or, following the Merger, EchoStar) through the date on which the EchoStar Stock Price Targets are achieved, the Ergen 2020 Performance Award will vest in the following tranches upon achievement of the following EchoStar Stock Price Targets:</w:t>
      </w:r>
    </w:p>
    <w:p>
      <w:pPr>
        <w:pStyle w:val="TextBody"/>
        <w:bidi w:val="0"/>
        <w:spacing w:before="0" w:after="240"/>
        <w:ind w:left="0" w:right="0" w:hanging="0"/>
        <w:jc w:val="both"/>
        <w:rPr/>
      </w:pPr>
      <w:r>
        <w:rPr/>
        <w:t>​</w:t>
      </w:r>
    </w:p>
    <w:tbl>
      <w:tblPr>
        <w:tblW w:w="5028" w:type="dxa"/>
        <w:jc w:val="left"/>
        <w:tblInd w:w="0" w:type="dxa"/>
        <w:tblLayout w:type="fixed"/>
        <w:tblCellMar>
          <w:top w:w="28" w:type="dxa"/>
          <w:left w:w="103" w:type="dxa"/>
          <w:bottom w:w="28" w:type="dxa"/>
          <w:right w:w="103" w:type="dxa"/>
        </w:tblCellMar>
      </w:tblPr>
      <w:tblGrid>
        <w:gridCol w:w="841"/>
        <w:gridCol w:w="2611"/>
        <w:gridCol w:w="1576"/>
      </w:tblGrid>
      <w:tr>
        <w:trPr/>
        <w:tc>
          <w:tcPr>
            <w:tcW w:w="84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Tranche</w:t>
            </w:r>
          </w:p>
        </w:tc>
        <w:tc>
          <w:tcPr>
            <w:tcW w:w="2611"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EchoStar Stock Price Targets</w:t>
            </w:r>
          </w:p>
        </w:tc>
        <w:tc>
          <w:tcPr>
            <w:tcW w:w="1576" w:type="dxa"/>
            <w:tcBorders>
              <w:top w:val="single" w:sz="2" w:space="0" w:color="000000"/>
              <w:left w:val="single" w:sz="2" w:space="0" w:color="000000"/>
              <w:bottom w:val="single" w:sz="2" w:space="0" w:color="000000"/>
              <w:right w:val="single" w:sz="2" w:space="0" w:color="000000"/>
            </w:tcBorders>
            <w:shd w:fill="D9D9D9"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Vesting Schedule</w:t>
            </w:r>
          </w:p>
        </w:tc>
      </w:tr>
      <w:tr>
        <w:trPr/>
        <w:tc>
          <w:tcPr>
            <w:tcW w:w="84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261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$ 98.72</w:t>
            </w:r>
          </w:p>
        </w:tc>
        <w:tc>
          <w:tcPr>
            <w:tcW w:w="157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26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$123.40</w:t>
            </w:r>
          </w:p>
        </w:tc>
        <w:tc>
          <w:tcPr>
            <w:tcW w:w="15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84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261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$154.24</w:t>
            </w:r>
          </w:p>
        </w:tc>
        <w:tc>
          <w:tcPr>
            <w:tcW w:w="157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c>
          <w:tcPr>
            <w:tcW w:w="26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$192.80</w:t>
            </w:r>
          </w:p>
        </w:tc>
        <w:tc>
          <w:tcPr>
            <w:tcW w:w="15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84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261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$241.00</w:t>
            </w:r>
          </w:p>
        </w:tc>
        <w:tc>
          <w:tcPr>
            <w:tcW w:w="157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26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$301.27</w:t>
            </w:r>
          </w:p>
        </w:tc>
        <w:tc>
          <w:tcPr>
            <w:tcW w:w="15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84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261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$376.57</w:t>
            </w:r>
          </w:p>
        </w:tc>
        <w:tc>
          <w:tcPr>
            <w:tcW w:w="157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26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$470.71</w:t>
            </w:r>
          </w:p>
        </w:tc>
        <w:tc>
          <w:tcPr>
            <w:tcW w:w="15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84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c>
          <w:tcPr>
            <w:tcW w:w="2611"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$588.41</w:t>
            </w:r>
          </w:p>
        </w:tc>
        <w:tc>
          <w:tcPr>
            <w:tcW w:w="1576" w:type="dxa"/>
            <w:tcBorders>
              <w:top w:val="single" w:sz="2" w:space="0" w:color="000000"/>
              <w:left w:val="single" w:sz="2" w:space="0" w:color="000000"/>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8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26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$735.50</w:t>
            </w:r>
          </w:p>
        </w:tc>
        <w:tc>
          <w:tcPr>
            <w:tcW w:w="15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that a EchoStar Stock Price Target is determined by the Compensation Committee to have been achieved during an applicable calendar quarter (or at its ten-year anniversary) as set forth below: (i) that applicable EchoStar Stock Price Target will be retired; and (ii) the corresponding tranche of the option will vest and shall become exercisable contemporaneously with the filing of the Corporation’s financial results for that quarter or year, as applicable, with the SEC.</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purposes of the EchoStar Stock Price Targets, except for Tranches 1 and 2, the EchoStar Stock Price Target will be considered achieved if the average closing stock price, as reported on Nasdaq, of the Class A Shares for the thirty (30) calendar day period immediately prior to the end of any calendar quarter exceeds the respective EchoStar Stock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Price Target (and the thirty (30) calendar day period prior to the Award’s ten-year anniversary on November 6, 2030) during the period that is ten years following the date of the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respect to Tranche 1, the applicable EchoStar Stock Price Target will be considered achieved if the average closing stock price, as reported on Nasdaq, of the Class A Shares for the thirty (30) calendar day period immediately prior to the end of any calendar quarter exceeds the respective EchoStar Stock Price Target during the first four years following the date of the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respect to Tranche 2, the applicable EchoStar Stock Price Target will be considered achieved if the average closing stock price, as reported on Nasdaq, of the Class A Shares for the thirty (30) calendar day period immediately prior to the end of any calendar quarter exceeds the respective EchoStar Stock Price Target during the first seven years following the date of the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event a “change in control” of the Corporation occurs while any portion of the 2020 Ergen Performance Award is unvested, the value of the transaction consideration per share for a Class A Share will be used to determine whether any additional portion of the Ergen 2020 Performance Award will vest. For purposes of the Award, a “change in control” of the Corporation is generally deemed to occur upon: (i) a transaction or a series of transactions the result of which is that any person (other than Mr. Ergen (our controlling shareholder) or a related party) individually owns more than fifty percent (50%) of the total equity interests of either: (A) the Corporation; or (B) the surviving entity in any such transaction(s) or a controlling affiliate of such surviving entity in such transaction(s); and (ii) the first day on which a majority of the members of the Board of Directors are not continuing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Ergen 2020 Performance Award was granted under the terms of the Corporation’s 2019 Stock Incentive Plan and a non-qualified stock option agreement that includes, among other terms and conditions, a post-exercise holding period requirement (net of taxes and exercise price) on the Class A Shares obtained upon exercise that is equal to the longer of: (i) five years from the date of grant; or (ii) one year following the date of exercise for applicable shares exercised under the Award.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2021, the price targets for Tranche 1 and Tranche 2 were achieved, resulting in the vesting of 877,192 stock options, as determined by the DISH compensation committee. No additional price targets were achieved during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2019 Long-Term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closing of the Merger, we assumed DISH Network’s existing long-term, performance-based stock incentive plan (the “2019 Long-Term Incentive Plan” or “2019 LTIP”), within the terms of DISH Network’s 2009 Stock Incentive Plan. The purpose of the 2019 LTIP is to promote the Company’s interests and the interests of its shareholders by providing key employees with financial rewards through equity participation upon achievement of specified long-term goals. The employees eligible to participate in the 2019 LTIP generally included DISH Network’s executive officers, senior vice presidents, vice presidents and director-level employees. Employees participating in the 2019 LTIP receive a one-time award of an option to acquire a specified number of shares priced at the market value as of the first day of the calendar quarter in which the option was granted or, if the first day of the calendar quarter is not a trading day, the last trading day prior to the date of grant. Initial awards granted under the 2019 LTIP were made as of October 1, 2018.</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2019 LTIP: (i) the net Pay-TV subscriber growth goals, top-line revenue growth goals, top award for customer service and/or satisfaction goals and annual average employee survey score goals are measured at the end of each calendar year during the period between and including January 1, 2019 and December 31, 2023; and (ii) the wireless buildout and revenue goal, Smart Home Services and fulfillment third-party revenue goals and cumulative free cash flow goals are measured at the end of each calendar quarter during the period between and including October 1, 2018 and December 31, 2023.  As of December 31, 2023 final measurement date, we determined that 85% of the 2019 LTIP performance conditions were probable of achievement and approximately 78% of the 2019 LTIP awards had vested.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previously discussed, on March 4, 2024, we commenced an Exchange Offer to eligible employees (which excludes our co-founders and the independent members of our Board of Directors) to exchange eligible stock options for new options to, among other things, further align employee incentives with the current market. As a result of the Exchange Offer, options to purchase shares under the 2019 LTIP were exchanged and the exercise price of these options was adjusted to $14.04 effective April 1,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2022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closing of the Merger, we assumed DISH’s existing performance-based incentive plan (the “2022 Incentive Plan”) under DISH’s 2019 Stock Incentive Plan. The purpose of the 2022 Incentive Plan is to promote the Corporation’s interests and the interests of the Corporation’s shareholders by generally providing certain executive officers, senior vice presidents, vice presidents and director-level employees within our established businesses with financial rewards through equity participation and cash incentives upon achievement of certain specified goals. Employees participating in the 2022 Incentive Plan are generally expected to receive cash awards and a one-time option to purchase a specified number of Class A Shares with an exercise price per share equal to the closing price of the Class A Shares on the date of grant or the last trading day prior to the date of grant (if the date of grant is not a trading day). The options were granted as of February 1, 2022. The amount of the cash award is tied to a certain percentage (based on the employee’s level) of the applicable employee’s base salary.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the 2022 Incentive Plan, all goals are measured at the end of each calendar quarter during the period between and including January 1, 2022 and December 31, 2026 (the “measurement period”).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event that a goal under the 2022 Incentive Plan is achieved as of the last day of any calendar quarter or year, as applicable, as determined by the Compensation Committee: (i) the applicable goal will be retired; (ii) the corresponding increment of the options (if applicable) will vest and become exercisable contemporaneously with filing of the Corporation’s financial results for that quarter or year, as applicable, filed with the SEC; and (iii) the corresponding increment of the cash award will be paid out. The 2022 Incentive Plan goals are below:</w:t>
      </w:r>
    </w:p>
    <w:p>
      <w:pPr>
        <w:pStyle w:val="TextBody"/>
        <w:bidi w:val="0"/>
        <w:spacing w:before="0" w:after="240"/>
        <w:ind w:left="0" w:right="0" w:hanging="0"/>
        <w:jc w:val="both"/>
        <w:rPr/>
      </w:pPr>
      <w:r>
        <w:rPr/>
        <w:t>​</w:t>
      </w:r>
    </w:p>
    <w:tbl>
      <w:tblPr>
        <w:tblW w:w="6183" w:type="dxa"/>
        <w:jc w:val="left"/>
        <w:tblInd w:w="0" w:type="dxa"/>
        <w:tblLayout w:type="fixed"/>
        <w:tblCellMar>
          <w:top w:w="28" w:type="dxa"/>
          <w:left w:w="139" w:type="dxa"/>
          <w:bottom w:w="0" w:type="dxa"/>
          <w:right w:w="0" w:type="dxa"/>
        </w:tblCellMar>
      </w:tblPr>
      <w:tblGrid>
        <w:gridCol w:w="3376"/>
        <w:gridCol w:w="1981"/>
        <w:gridCol w:w="826"/>
      </w:tblGrid>
      <w:tr>
        <w:trPr/>
        <w:tc>
          <w:tcPr>
            <w:tcW w:w="3376" w:type="dxa"/>
            <w:tcBorders>
              <w:top w:val="single" w:sz="2" w:space="0" w:color="000000"/>
              <w:left w:val="single" w:sz="2" w:space="0" w:color="000000"/>
            </w:tcBorders>
            <w:shd w:fill="D9D9D9" w:val="clear"/>
            <w:vAlign w:val="center"/>
          </w:tcPr>
          <w:p>
            <w:pPr>
              <w:pStyle w:val="TableContents"/>
              <w:bidi w:val="0"/>
              <w:spacing w:before="0" w:after="60"/>
              <w:ind w:left="0" w:right="0" w:hanging="0"/>
              <w:jc w:val="left"/>
              <w:rPr/>
            </w:pPr>
            <w:r>
              <w:rPr/>
              <w:t>​</w:t>
            </w:r>
          </w:p>
        </w:tc>
        <w:tc>
          <w:tcPr>
            <w:tcW w:w="2807" w:type="dxa"/>
            <w:gridSpan w:val="2"/>
            <w:tcBorders>
              <w:top w:val="single" w:sz="2" w:space="0" w:color="000000"/>
              <w:right w:val="single" w:sz="2" w:space="0" w:color="000000"/>
            </w:tcBorders>
            <w:shd w:fill="D9D9D9" w:val="clear"/>
            <w:tcMar>
              <w:left w:w="0" w:type="dxa"/>
              <w:right w:w="139" w:type="dxa"/>
            </w:tcMar>
            <w:vAlign w:val="center"/>
          </w:tcPr>
          <w:p>
            <w:pPr>
              <w:pStyle w:val="TableContents"/>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Vesting Schedule</w:t>
            </w:r>
          </w:p>
        </w:tc>
      </w:tr>
      <w:tr>
        <w:trPr/>
        <w:tc>
          <w:tcPr>
            <w:tcW w:w="3376" w:type="dxa"/>
            <w:tcBorders>
              <w:left w:val="single" w:sz="2" w:space="0" w:color="000000"/>
              <w:bottom w:val="single" w:sz="2" w:space="0" w:color="000000"/>
            </w:tcBorders>
            <w:shd w:fill="D9D9D9" w:val="clear"/>
            <w:tcMar>
              <w:top w:w="0" w:type="dxa"/>
              <w:bottom w:w="28" w:type="dxa"/>
            </w:tcMar>
            <w:vAlign w:val="center"/>
          </w:tcPr>
          <w:p>
            <w:pPr>
              <w:pStyle w:val="TableContents"/>
              <w:pBdr/>
              <w:bidi w:val="0"/>
              <w:spacing w:before="0" w:after="60"/>
              <w:ind w:left="0" w:right="0" w:hanging="0"/>
              <w:jc w:val="left"/>
              <w:rPr>
                <w:rFonts w:ascii="Times New Roman;Times;serif" w:hAnsi="Times New Roman;Times;serif"/>
                <w:b/>
                <w:sz w:val="20"/>
              </w:rPr>
            </w:pPr>
            <w:r>
              <w:rPr>
                <w:rFonts w:ascii="Times New Roman;Times;serif" w:hAnsi="Times New Roman;Times;serif"/>
                <w:b/>
                <w:sz w:val="20"/>
              </w:rPr>
              <w:t>Goals</w:t>
            </w:r>
          </w:p>
        </w:tc>
        <w:tc>
          <w:tcPr>
            <w:tcW w:w="1981" w:type="dxa"/>
            <w:tcBorders>
              <w:bottom w:val="single" w:sz="2" w:space="0" w:color="000000"/>
            </w:tcBorders>
            <w:shd w:fill="D9D9D9" w:val="clear"/>
            <w:tcMar>
              <w:top w:w="0" w:type="dxa"/>
              <w:left w:w="0" w:type="dxa"/>
              <w:bottom w:w="28" w:type="dxa"/>
            </w:tcMar>
            <w:vAlign w:val="center"/>
          </w:tcPr>
          <w:p>
            <w:pPr>
              <w:pStyle w:val="TableContents"/>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Cash (1)</w:t>
            </w:r>
          </w:p>
        </w:tc>
        <w:tc>
          <w:tcPr>
            <w:tcW w:w="826" w:type="dxa"/>
            <w:tcBorders>
              <w:bottom w:val="single" w:sz="2" w:space="0" w:color="000000"/>
              <w:right w:val="single" w:sz="2" w:space="0" w:color="000000"/>
            </w:tcBorders>
            <w:shd w:fill="D9D9D9" w:val="clear"/>
            <w:tcMar>
              <w:top w:w="0" w:type="dxa"/>
              <w:left w:w="0" w:type="dxa"/>
              <w:bottom w:w="28" w:type="dxa"/>
              <w:right w:w="139" w:type="dxa"/>
            </w:tcMar>
            <w:vAlign w:val="center"/>
          </w:tcPr>
          <w:p>
            <w:pPr>
              <w:pStyle w:val="TableContents"/>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Equity</w:t>
            </w:r>
          </w:p>
        </w:tc>
      </w:tr>
      <w:tr>
        <w:trPr/>
        <w:tc>
          <w:tcPr>
            <w:tcW w:w="3376" w:type="dxa"/>
            <w:tcBorders>
              <w:top w:val="single" w:sz="2" w:space="0" w:color="000000"/>
              <w:left w:val="single" w:sz="2" w:space="0" w:color="000000"/>
              <w:bottom w:val="single" w:sz="2" w:space="0" w:color="000000"/>
              <w:right w:val="single" w:sz="2" w:space="0" w:color="000000"/>
            </w:tcBorders>
            <w:shd w:fill="CCEEFF" w:val="clear"/>
            <w:tcMar>
              <w:bottom w:w="28" w:type="dxa"/>
              <w:right w:w="139" w:type="dxa"/>
            </w:tcMar>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$1.0 billion Cumulative Free Cash Flow</w:t>
            </w:r>
          </w:p>
        </w:tc>
        <w:tc>
          <w:tcPr>
            <w:tcW w:w="1981" w:type="dxa"/>
            <w:tcBorders>
              <w:top w:val="single" w:sz="2" w:space="0" w:color="000000"/>
              <w:left w:val="single" w:sz="2" w:space="0" w:color="000000"/>
              <w:bottom w:val="single" w:sz="2" w:space="0" w:color="000000"/>
              <w:right w:val="single" w:sz="2" w:space="0" w:color="000000"/>
            </w:tcBorders>
            <w:shd w:fill="CCEEFF" w:val="clear"/>
            <w:tcMar>
              <w:bottom w:w="28" w:type="dxa"/>
              <w:right w:w="139"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Applicable % of Salary</w:t>
            </w:r>
          </w:p>
        </w:tc>
        <w:tc>
          <w:tcPr>
            <w:tcW w:w="826" w:type="dxa"/>
            <w:tcBorders>
              <w:top w:val="single" w:sz="2" w:space="0" w:color="000000"/>
              <w:left w:val="single" w:sz="2" w:space="0" w:color="000000"/>
              <w:bottom w:val="single" w:sz="2" w:space="0" w:color="000000"/>
              <w:right w:val="single" w:sz="2" w:space="0" w:color="000000"/>
            </w:tcBorders>
            <w:shd w:fill="CCEEFF" w:val="clear"/>
            <w:tcMar>
              <w:bottom w:w="28" w:type="dxa"/>
              <w:right w:w="139" w:type="dxa"/>
            </w:tcMar>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16.67 %</w:t>
            </w:r>
          </w:p>
        </w:tc>
      </w:tr>
      <w:tr>
        <w:trPr/>
        <w:tc>
          <w:tcPr>
            <w:tcW w:w="3376" w:type="dxa"/>
            <w:tcBorders>
              <w:top w:val="single" w:sz="2" w:space="0" w:color="000000"/>
              <w:left w:val="single" w:sz="2" w:space="0" w:color="000000"/>
              <w:bottom w:val="single" w:sz="2" w:space="0" w:color="000000"/>
              <w:right w:val="single" w:sz="2" w:space="0" w:color="000000"/>
            </w:tcBorders>
            <w:tcMar>
              <w:bottom w:w="28" w:type="dxa"/>
              <w:right w:w="139" w:type="dxa"/>
            </w:tcMar>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$2.0 billion Cumulative Free Cash Flow</w:t>
            </w:r>
          </w:p>
        </w:tc>
        <w:tc>
          <w:tcPr>
            <w:tcW w:w="1981" w:type="dxa"/>
            <w:tcBorders>
              <w:top w:val="single" w:sz="2" w:space="0" w:color="000000"/>
              <w:left w:val="single" w:sz="2" w:space="0" w:color="000000"/>
              <w:bottom w:val="single" w:sz="2" w:space="0" w:color="000000"/>
              <w:right w:val="single" w:sz="2" w:space="0" w:color="000000"/>
            </w:tcBorders>
            <w:tcMar>
              <w:bottom w:w="28" w:type="dxa"/>
              <w:right w:w="139"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Applicable % of Salary</w:t>
            </w:r>
          </w:p>
        </w:tc>
        <w:tc>
          <w:tcPr>
            <w:tcW w:w="826" w:type="dxa"/>
            <w:tcBorders>
              <w:top w:val="single" w:sz="2" w:space="0" w:color="000000"/>
              <w:left w:val="single" w:sz="2" w:space="0" w:color="000000"/>
              <w:bottom w:val="single" w:sz="2" w:space="0" w:color="000000"/>
              <w:right w:val="single" w:sz="2" w:space="0" w:color="000000"/>
            </w:tcBorders>
            <w:tcMar>
              <w:bottom w:w="28" w:type="dxa"/>
              <w:right w:w="139" w:type="dxa"/>
            </w:tcMar>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16.67 %</w:t>
            </w:r>
          </w:p>
        </w:tc>
      </w:tr>
      <w:tr>
        <w:trPr/>
        <w:tc>
          <w:tcPr>
            <w:tcW w:w="3376" w:type="dxa"/>
            <w:tcBorders>
              <w:top w:val="single" w:sz="2" w:space="0" w:color="000000"/>
              <w:left w:val="single" w:sz="2" w:space="0" w:color="000000"/>
              <w:bottom w:val="single" w:sz="2" w:space="0" w:color="000000"/>
              <w:right w:val="single" w:sz="2" w:space="0" w:color="000000"/>
            </w:tcBorders>
            <w:shd w:fill="CCEEFF" w:val="clear"/>
            <w:tcMar>
              <w:bottom w:w="28" w:type="dxa"/>
              <w:right w:w="139" w:type="dxa"/>
            </w:tcMar>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$3.0 billion Cumulative Free Cash Flow</w:t>
            </w:r>
          </w:p>
        </w:tc>
        <w:tc>
          <w:tcPr>
            <w:tcW w:w="1981" w:type="dxa"/>
            <w:tcBorders>
              <w:top w:val="single" w:sz="2" w:space="0" w:color="000000"/>
              <w:left w:val="single" w:sz="2" w:space="0" w:color="000000"/>
              <w:bottom w:val="single" w:sz="2" w:space="0" w:color="000000"/>
              <w:right w:val="single" w:sz="2" w:space="0" w:color="000000"/>
            </w:tcBorders>
            <w:shd w:fill="CCEEFF" w:val="clear"/>
            <w:tcMar>
              <w:bottom w:w="28" w:type="dxa"/>
              <w:right w:w="139"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Applicable % of Salary</w:t>
            </w:r>
          </w:p>
        </w:tc>
        <w:tc>
          <w:tcPr>
            <w:tcW w:w="826" w:type="dxa"/>
            <w:tcBorders>
              <w:top w:val="single" w:sz="2" w:space="0" w:color="000000"/>
              <w:left w:val="single" w:sz="2" w:space="0" w:color="000000"/>
              <w:bottom w:val="single" w:sz="2" w:space="0" w:color="000000"/>
              <w:right w:val="single" w:sz="2" w:space="0" w:color="000000"/>
            </w:tcBorders>
            <w:shd w:fill="CCEEFF" w:val="clear"/>
            <w:tcMar>
              <w:bottom w:w="28" w:type="dxa"/>
              <w:right w:w="139" w:type="dxa"/>
            </w:tcMar>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16.67 %</w:t>
            </w:r>
          </w:p>
        </w:tc>
      </w:tr>
      <w:tr>
        <w:trPr/>
        <w:tc>
          <w:tcPr>
            <w:tcW w:w="3376" w:type="dxa"/>
            <w:tcBorders>
              <w:top w:val="single" w:sz="2" w:space="0" w:color="000000"/>
              <w:left w:val="single" w:sz="2" w:space="0" w:color="000000"/>
              <w:bottom w:val="single" w:sz="2" w:space="0" w:color="000000"/>
              <w:right w:val="single" w:sz="2" w:space="0" w:color="000000"/>
            </w:tcBorders>
            <w:tcMar>
              <w:bottom w:w="28" w:type="dxa"/>
              <w:right w:w="139" w:type="dxa"/>
            </w:tcMar>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$4.5 billion Cumulative Free Cash Flow</w:t>
            </w:r>
          </w:p>
        </w:tc>
        <w:tc>
          <w:tcPr>
            <w:tcW w:w="1981" w:type="dxa"/>
            <w:tcBorders>
              <w:top w:val="single" w:sz="2" w:space="0" w:color="000000"/>
              <w:left w:val="single" w:sz="2" w:space="0" w:color="000000"/>
              <w:bottom w:val="single" w:sz="2" w:space="0" w:color="000000"/>
              <w:right w:val="single" w:sz="2" w:space="0" w:color="000000"/>
            </w:tcBorders>
            <w:tcMar>
              <w:bottom w:w="28" w:type="dxa"/>
              <w:right w:w="139"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Applicable % of Salary</w:t>
            </w:r>
          </w:p>
        </w:tc>
        <w:tc>
          <w:tcPr>
            <w:tcW w:w="826" w:type="dxa"/>
            <w:tcBorders>
              <w:top w:val="single" w:sz="2" w:space="0" w:color="000000"/>
              <w:left w:val="single" w:sz="2" w:space="0" w:color="000000"/>
              <w:bottom w:val="single" w:sz="2" w:space="0" w:color="000000"/>
              <w:right w:val="single" w:sz="2" w:space="0" w:color="000000"/>
            </w:tcBorders>
            <w:tcMar>
              <w:bottom w:w="28" w:type="dxa"/>
              <w:right w:w="139" w:type="dxa"/>
            </w:tcMar>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16.67 %</w:t>
            </w:r>
          </w:p>
        </w:tc>
      </w:tr>
      <w:tr>
        <w:trPr/>
        <w:tc>
          <w:tcPr>
            <w:tcW w:w="3376" w:type="dxa"/>
            <w:tcBorders>
              <w:top w:val="single" w:sz="2" w:space="0" w:color="000000"/>
              <w:left w:val="single" w:sz="2" w:space="0" w:color="000000"/>
              <w:bottom w:val="single" w:sz="2" w:space="0" w:color="000000"/>
              <w:right w:val="single" w:sz="2" w:space="0" w:color="000000"/>
            </w:tcBorders>
            <w:shd w:fill="CCEEFF" w:val="clear"/>
            <w:tcMar>
              <w:bottom w:w="28" w:type="dxa"/>
              <w:right w:w="139" w:type="dxa"/>
            </w:tcMar>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$40 billion Cumulative Revenue</w:t>
            </w:r>
          </w:p>
        </w:tc>
        <w:tc>
          <w:tcPr>
            <w:tcW w:w="1981" w:type="dxa"/>
            <w:tcBorders>
              <w:top w:val="single" w:sz="2" w:space="0" w:color="000000"/>
              <w:left w:val="single" w:sz="2" w:space="0" w:color="000000"/>
              <w:bottom w:val="single" w:sz="2" w:space="0" w:color="000000"/>
              <w:right w:val="single" w:sz="2" w:space="0" w:color="000000"/>
            </w:tcBorders>
            <w:shd w:fill="CCEEFF" w:val="clear"/>
            <w:tcMar>
              <w:bottom w:w="28" w:type="dxa"/>
              <w:right w:w="139"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Applicable % of Salary</w:t>
            </w:r>
          </w:p>
        </w:tc>
        <w:tc>
          <w:tcPr>
            <w:tcW w:w="826" w:type="dxa"/>
            <w:tcBorders>
              <w:top w:val="single" w:sz="2" w:space="0" w:color="000000"/>
              <w:left w:val="single" w:sz="2" w:space="0" w:color="000000"/>
              <w:bottom w:val="single" w:sz="2" w:space="0" w:color="000000"/>
              <w:right w:val="single" w:sz="2" w:space="0" w:color="000000"/>
            </w:tcBorders>
            <w:shd w:fill="CCEEFF" w:val="clear"/>
            <w:tcMar>
              <w:bottom w:w="28" w:type="dxa"/>
              <w:right w:w="139" w:type="dxa"/>
            </w:tcMar>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16.67 %</w:t>
            </w:r>
          </w:p>
        </w:tc>
      </w:tr>
      <w:tr>
        <w:trPr/>
        <w:tc>
          <w:tcPr>
            <w:tcW w:w="3376" w:type="dxa"/>
            <w:tcBorders>
              <w:top w:val="single" w:sz="2" w:space="0" w:color="000000"/>
              <w:left w:val="single" w:sz="2" w:space="0" w:color="000000"/>
              <w:bottom w:val="single" w:sz="2" w:space="0" w:color="000000"/>
              <w:right w:val="single" w:sz="2" w:space="0" w:color="000000"/>
            </w:tcBorders>
            <w:tcMar>
              <w:bottom w:w="28" w:type="dxa"/>
              <w:right w:w="139" w:type="dxa"/>
            </w:tcMar>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$60 billion Cumulative Revenue</w:t>
            </w:r>
          </w:p>
        </w:tc>
        <w:tc>
          <w:tcPr>
            <w:tcW w:w="1981" w:type="dxa"/>
            <w:tcBorders>
              <w:top w:val="single" w:sz="2" w:space="0" w:color="000000"/>
              <w:left w:val="single" w:sz="2" w:space="0" w:color="000000"/>
              <w:bottom w:val="single" w:sz="2" w:space="0" w:color="000000"/>
              <w:right w:val="single" w:sz="2" w:space="0" w:color="000000"/>
            </w:tcBorders>
            <w:tcMar>
              <w:bottom w:w="28" w:type="dxa"/>
              <w:right w:w="139"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Applicable % of Salary</w:t>
            </w:r>
          </w:p>
        </w:tc>
        <w:tc>
          <w:tcPr>
            <w:tcW w:w="826" w:type="dxa"/>
            <w:tcBorders>
              <w:top w:val="single" w:sz="2" w:space="0" w:color="000000"/>
              <w:left w:val="single" w:sz="2" w:space="0" w:color="000000"/>
              <w:bottom w:val="single" w:sz="2" w:space="0" w:color="000000"/>
              <w:right w:val="single" w:sz="2" w:space="0" w:color="000000"/>
            </w:tcBorders>
            <w:tcMar>
              <w:bottom w:w="28" w:type="dxa"/>
              <w:right w:w="139" w:type="dxa"/>
            </w:tcMar>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16.67 %</w:t>
            </w:r>
          </w:p>
        </w:tc>
      </w:tr>
      <w:tr>
        <w:trPr/>
        <w:tc>
          <w:tcPr>
            <w:tcW w:w="3376" w:type="dxa"/>
            <w:tcBorders>
              <w:top w:val="single" w:sz="2" w:space="0" w:color="000000"/>
              <w:left w:val="single" w:sz="2" w:space="0" w:color="000000"/>
              <w:bottom w:val="single" w:sz="2" w:space="0" w:color="000000"/>
              <w:right w:val="single" w:sz="2" w:space="0" w:color="000000"/>
            </w:tcBorders>
            <w:shd w:fill="CCEEFF" w:val="clear"/>
            <w:tcMar>
              <w:bottom w:w="28" w:type="dxa"/>
              <w:right w:w="139" w:type="dxa"/>
            </w:tcMar>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30 million Wireless Subscribers</w:t>
            </w:r>
          </w:p>
        </w:tc>
        <w:tc>
          <w:tcPr>
            <w:tcW w:w="1981" w:type="dxa"/>
            <w:tcBorders>
              <w:top w:val="single" w:sz="2" w:space="0" w:color="000000"/>
              <w:left w:val="single" w:sz="2" w:space="0" w:color="000000"/>
              <w:bottom w:val="single" w:sz="2" w:space="0" w:color="000000"/>
              <w:right w:val="single" w:sz="2" w:space="0" w:color="000000"/>
            </w:tcBorders>
            <w:shd w:fill="CCEEFF" w:val="clear"/>
            <w:tcMar>
              <w:bottom w:w="28" w:type="dxa"/>
              <w:right w:w="139" w:type="dxa"/>
            </w:tcMar>
            <w:vAlign w:val="center"/>
          </w:tcPr>
          <w:p>
            <w:pPr>
              <w:pStyle w:val="TableContents"/>
              <w:bidi w:val="0"/>
              <w:spacing w:before="0" w:after="60"/>
              <w:ind w:left="0" w:right="0" w:hanging="0"/>
              <w:jc w:val="left"/>
              <w:rPr>
                <w:rFonts w:ascii="Times New Roman;Times;serif" w:hAnsi="Times New Roman;Times;serif"/>
                <w:sz w:val="20"/>
              </w:rPr>
            </w:pPr>
            <w:r>
              <w:rPr>
                <w:rFonts w:ascii="Times New Roman;Times;serif" w:hAnsi="Times New Roman;Times;serif"/>
                <w:sz w:val="20"/>
              </w:rPr>
              <w:t>Applicable % of Salary</w:t>
            </w:r>
          </w:p>
        </w:tc>
        <w:tc>
          <w:tcPr>
            <w:tcW w:w="826" w:type="dxa"/>
            <w:tcBorders>
              <w:top w:val="single" w:sz="2" w:space="0" w:color="000000"/>
              <w:left w:val="single" w:sz="2" w:space="0" w:color="000000"/>
              <w:bottom w:val="single" w:sz="2" w:space="0" w:color="000000"/>
              <w:right w:val="single" w:sz="2" w:space="0" w:color="000000"/>
            </w:tcBorders>
            <w:shd w:fill="CCEEFF" w:val="clear"/>
            <w:tcMar>
              <w:bottom w:w="28" w:type="dxa"/>
              <w:right w:w="139" w:type="dxa"/>
            </w:tcMar>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N/A</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payout percentage of each of our executive vice presidents and above (including Messrs. Swieringa and Orban) is equal to 50% of their respective base salaries per goal.</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Cumulative Free Cash Flow Goals will be achieved if DISH achieves the respective amounts of cumulative free cash flow above during the measurement period, which calculation of “cumulative free cash flow” is a formula that takes into account, among other things, free cash flow as set forth in the Corporation’s Form 10-K, Form 10-Q or Form 8-K announcing quarterly or annual financial results for that quarter or year, as applicable, filed with the SEC, subject to certain adjustments.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Cumulative Revenue Goals will be achieved if DISH achieves the respective amounts of cumulative revenue above during the measurement period, which calculation of “cumulative revenue” is a formula that takes into account, among other things, the total revenue announced in the Corporation’s Form 10-K, Form 10-Q or Form 8-K announcing quarterly or annual financial results for that quarter or year, as applicable, filed with the SEC, subject to certain adjustments.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Wireless Subscriber Goal will be achieved if DISH achieves more than 30 million wireless subscribers during the measurement period, which calculation of “subscribers” is a formula that takes into account, among other things, the total number of wireless subscribers announced in the Corporation’s Form 10-K, Form 10-Q or Form 8-K announcing quarterly or annual financial results for that quarter or year, as applicable, filed with the SEC, subject to certain adjustments.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Compensation Committee has final authority to, among other things, interpret and calculate any and all aspects of the 2022 Incentive Plan, including vesting and all other aspects of calculating the achievement of the goals under the 2022 Incentive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Employees who are granted equity awards after February 1, 2022 under the 2022 Incentive Plan will be eligible to receive a reduced award under the 2022 Incentive Plan. Such awards are subject to a vesting schedule that varies based upon the date on which such awards were granted.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Through December 31, 2024, we achieved:  (i) all 4 of the Cumulative Free Cash Flow Goals; and (ii) the 40 billion Cumulative Revenue Goal, which resulted in the cumulative vesting of 83.35% of the 2022 Incentive Plan stock awards during 2024.  Messers. Swieringa and Orban were the only NEOs eligible to participate in the 2022 Incentive Plan in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previously discussed, on March 4, 2024, we commenced an Exchange Offer to eligible employees (which excludes our co-founders and the independent members of our Board of Directors) to exchange eligible stock options for new options to, among other things, further align employee incentives with the current market. As a result of the Exchange Offer, options to purchase shares under the 2019 LTIP were exchanged and the exercise price of these options was adjusted to $14.04 effective April 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November 2024, in an effort to, among other things, bridge incentive plans between EchoStar and DISH Network post-Merger, our Compensation Committee approved the following updated goals for the 2022 Incentive Plan (the “2022 Incentive Plan Transition Goals”).  If the 2022 Incentive Plan Transition Goals are achieved prior to the 30 Million Wireless Subscribers goal above, the 30 Million Wireless Subscribers goal will be retired.  The period for achievement of the 2022 Incentive Plan Transition Goals expired September 30, 2025.</w:t>
      </w:r>
    </w:p>
    <w:tbl>
      <w:tblPr>
        <w:tblW w:w="5792" w:type="dxa"/>
        <w:jc w:val="left"/>
        <w:tblInd w:w="0" w:type="dxa"/>
        <w:tblLayout w:type="fixed"/>
        <w:tblCellMar>
          <w:top w:w="0" w:type="dxa"/>
          <w:left w:w="0" w:type="dxa"/>
          <w:bottom w:w="28" w:type="dxa"/>
          <w:right w:w="0" w:type="dxa"/>
        </w:tblCellMar>
      </w:tblPr>
      <w:tblGrid>
        <w:gridCol w:w="4021"/>
        <w:gridCol w:w="1771"/>
      </w:tblGrid>
      <w:tr>
        <w:trPr/>
        <w:tc>
          <w:tcPr>
            <w:tcW w:w="4021"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553335" cy="14605"/>
                      <wp:effectExtent l="0" t="0" r="0" b="0"/>
                      <wp:wrapNone/>
                      <wp:docPr id="131" name="Frame124"/>
                      <a:graphic xmlns:a="http://schemas.openxmlformats.org/drawingml/2006/main">
                        <a:graphicData uri="http://schemas.microsoft.com/office/word/2010/wordprocessingShape">
                          <wps:wsp>
                            <wps:cNvSpPr txBox="1"/>
                            <wps:spPr>
                              <a:xfrm>
                                <a:off x="0" y="0"/>
                                <a:ext cx="2553335" cy="1460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0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
                              </w:rPr>
                            </w:pPr>
                            <w:r>
                              <w:rPr>
                                <w:rFonts w:ascii="Times New Roman;Times;serif" w:hAnsi="Times New Roman;Times;serif"/>
                                <w:sz w:val="2"/>
                              </w:rPr>
                              <w:t>.3</w:t>
                            </w:r>
                          </w:p>
                        </w:txbxContent>
                      </v:textbox>
                      <w10:wrap type="none"/>
                    </v:rect>
                  </w:pict>
                </mc:Fallback>
              </mc:AlternateContent>
            </w:r>
          </w:p>
        </w:tc>
        <w:tc>
          <w:tcPr>
            <w:tcW w:w="1771" w:type="dxa"/>
            <w:tcBorders>
              <w:bottom w:val="single" w:sz="2" w:space="0" w:color="000000"/>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124585" cy="29210"/>
                      <wp:effectExtent l="0" t="0" r="0" b="0"/>
                      <wp:wrapNone/>
                      <wp:docPr id="132" name="Frame125"/>
                      <a:graphic xmlns:a="http://schemas.openxmlformats.org/drawingml/2006/main">
                        <a:graphicData uri="http://schemas.microsoft.com/office/word/2010/wordprocessingShape">
                          <wps:wsp>
                            <wps:cNvSpPr txBox="1"/>
                            <wps:spPr>
                              <a:xfrm>
                                <a:off x="0" y="0"/>
                                <a:ext cx="1124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4021" w:type="dxa"/>
            <w:tcBorders>
              <w:top w:val="single" w:sz="2" w:space="0" w:color="000000"/>
              <w:left w:val="single" w:sz="2" w:space="0" w:color="000000"/>
              <w:bottom w:val="single" w:sz="2" w:space="0" w:color="000000"/>
              <w:right w:val="single" w:sz="2" w:space="0" w:color="000000"/>
            </w:tcBorders>
            <w:shd w:fill="D9D9D9" w:val="clear"/>
            <w:tcMar>
              <w:top w:w="28" w:type="dxa"/>
              <w:left w:w="139" w:type="dxa"/>
              <w:right w:w="139" w:type="dxa"/>
            </w:tcMar>
            <w:vAlign w:val="center"/>
          </w:tcPr>
          <w:p>
            <w:pPr>
              <w:pStyle w:val="TableContents"/>
              <w:pBdr/>
              <w:bidi w:val="0"/>
              <w:spacing w:before="0" w:after="60"/>
              <w:ind w:left="0" w:right="0" w:hanging="0"/>
              <w:jc w:val="left"/>
              <w:rPr>
                <w:rFonts w:ascii="Times New Roman;Times;serif" w:hAnsi="Times New Roman;Times;serif"/>
                <w:b/>
                <w:sz w:val="20"/>
              </w:rPr>
            </w:pPr>
            <w:r>
              <w:rPr>
                <w:rFonts w:ascii="Times New Roman;Times;serif" w:hAnsi="Times New Roman;Times;serif"/>
                <w:b/>
                <w:sz w:val="20"/>
              </w:rPr>
              <w:t>2022 Incentive Plan Transition Goals</w:t>
            </w:r>
          </w:p>
        </w:tc>
        <w:tc>
          <w:tcPr>
            <w:tcW w:w="1771" w:type="dxa"/>
            <w:tcBorders>
              <w:top w:val="single" w:sz="2" w:space="0" w:color="000000"/>
              <w:left w:val="single" w:sz="2" w:space="0" w:color="000000"/>
              <w:bottom w:val="single" w:sz="2" w:space="0" w:color="000000"/>
              <w:right w:val="single" w:sz="2" w:space="0" w:color="000000"/>
            </w:tcBorders>
            <w:shd w:fill="D9D9D9" w:val="clear"/>
            <w:tcMar>
              <w:top w:w="28" w:type="dxa"/>
              <w:left w:w="139" w:type="dxa"/>
              <w:right w:w="139" w:type="dxa"/>
            </w:tcMar>
            <w:vAlign w:val="center"/>
          </w:tcPr>
          <w:p>
            <w:pPr>
              <w:pStyle w:val="TableContents"/>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Goal Weighting (1)</w:t>
            </w:r>
          </w:p>
        </w:tc>
      </w:tr>
      <w:tr>
        <w:trPr/>
        <w:tc>
          <w:tcPr>
            <w:tcW w:w="4021" w:type="dxa"/>
            <w:tcBorders>
              <w:top w:val="single" w:sz="2" w:space="0" w:color="000000"/>
              <w:left w:val="single" w:sz="2" w:space="0" w:color="000000"/>
              <w:bottom w:val="single" w:sz="2" w:space="0" w:color="000000"/>
              <w:right w:val="single" w:sz="2" w:space="0" w:color="000000"/>
            </w:tcBorders>
            <w:shd w:fill="CCEEFF" w:val="clear"/>
            <w:tcMar>
              <w:top w:w="28" w:type="dxa"/>
              <w:left w:w="139" w:type="dxa"/>
              <w:right w:w="139" w:type="dxa"/>
            </w:tcMar>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$2.3 billion Pay TV Cumulative Free Cash Flow</w:t>
            </w:r>
          </w:p>
        </w:tc>
        <w:tc>
          <w:tcPr>
            <w:tcW w:w="1771" w:type="dxa"/>
            <w:tcBorders>
              <w:top w:val="single" w:sz="2" w:space="0" w:color="000000"/>
              <w:left w:val="single" w:sz="2" w:space="0" w:color="000000"/>
              <w:bottom w:val="single" w:sz="2" w:space="0" w:color="000000"/>
              <w:right w:val="single" w:sz="2" w:space="0" w:color="000000"/>
            </w:tcBorders>
            <w:shd w:fill="CCEEFF" w:val="clear"/>
            <w:tcMar>
              <w:top w:w="28" w:type="dxa"/>
              <w:left w:w="139" w:type="dxa"/>
              <w:right w:w="139" w:type="dxa"/>
            </w:tcMar>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75%</w:t>
            </w:r>
          </w:p>
        </w:tc>
      </w:tr>
      <w:tr>
        <w:trPr/>
        <w:tc>
          <w:tcPr>
            <w:tcW w:w="4021" w:type="dxa"/>
            <w:tcBorders>
              <w:top w:val="single" w:sz="2" w:space="0" w:color="000000"/>
              <w:left w:val="single" w:sz="2" w:space="0" w:color="000000"/>
              <w:bottom w:val="single" w:sz="2" w:space="0" w:color="000000"/>
              <w:right w:val="single" w:sz="2" w:space="0" w:color="000000"/>
            </w:tcBorders>
            <w:tcMar>
              <w:top w:w="28" w:type="dxa"/>
              <w:left w:w="139" w:type="dxa"/>
              <w:right w:w="139" w:type="dxa"/>
            </w:tcMar>
            <w:vAlign w:val="center"/>
          </w:tcPr>
          <w:p>
            <w:pPr>
              <w:pStyle w:val="TableContents"/>
              <w:pBdr/>
              <w:bidi w:val="0"/>
              <w:spacing w:before="0" w:after="60"/>
              <w:ind w:left="0" w:right="0" w:hanging="0"/>
              <w:jc w:val="left"/>
              <w:rPr>
                <w:rFonts w:ascii="Times New Roman;Times;serif" w:hAnsi="Times New Roman;Times;serif"/>
                <w:sz w:val="20"/>
              </w:rPr>
            </w:pPr>
            <w:r>
              <w:rPr>
                <w:rFonts w:ascii="Times New Roman;Times;serif" w:hAnsi="Times New Roman;Times;serif"/>
                <w:sz w:val="20"/>
              </w:rPr>
              <w:t>Discretionary</w:t>
            </w:r>
          </w:p>
        </w:tc>
        <w:tc>
          <w:tcPr>
            <w:tcW w:w="1771" w:type="dxa"/>
            <w:tcBorders>
              <w:top w:val="single" w:sz="2" w:space="0" w:color="000000"/>
              <w:left w:val="single" w:sz="2" w:space="0" w:color="000000"/>
              <w:bottom w:val="single" w:sz="2" w:space="0" w:color="000000"/>
              <w:right w:val="single" w:sz="2" w:space="0" w:color="000000"/>
            </w:tcBorders>
            <w:tcMar>
              <w:top w:w="28" w:type="dxa"/>
              <w:left w:w="139" w:type="dxa"/>
              <w:right w:w="139" w:type="dxa"/>
            </w:tcMar>
            <w:vAlign w:val="center"/>
          </w:tcPr>
          <w:p>
            <w:pPr>
              <w:pStyle w:val="TableContents"/>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25%</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executive vice presidents (including Messrs. Swieringa and Orban), the “Goal Weighting” column indicates the percentage of their respective base salaries payable under the plan upon achievement of the relevant goal.</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401(k)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sponsor the EchoStar 401(k) Employee Savings Plan (the “401(k) Plan”) for eligible employees, including our executives, to facilitate our employees’ ability to save some percentage of their cash compensation for retirement. Employees participating in the 401(k) Plan are immediately eligible for participation in the 401(k) Plan upon the commencement of their employment. Participants in the 401(k) Plan are able to contribute up to 75% of their eligible compensation subject to the maximum contribution limit provided by the Internal Revenue Code. Effective January 1, 2023, eligible employees have the option to contribute up to 75% of their compensation on a pre-tax, Roth after-tax basis or voluntary after-tax basis subject to the Internal Revenue Code limits. Roth in-plan conversions of after-tax contributions are allowed. All employee contributions to the 401(k) Plan are immediately vested. Voluntary employee contributions to the 401(k) Plan may be matched 50% by the Corporation, subject to a maximum annual contribution of $5,000 per employee participating in the 401(k) Plan. In addition, we may make an annual discretionary contribution to the 401(k) Plan in cash or our Class A Shares. All Corporation contributions under the 401(k) Plan vest at 20% per year and are 100% vested after an eligible employee has completed five years of employment. Our NEOs participate in the 401(k) Plan, including corporate contributions, on the same terms as our other employees.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Nonqualified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adopted a nonqualified plan for the benefit of a select group of officers (as amended from time to time, the “Nonqualified Plan”), including our NEOs, whose benefits under our 401(k) Plan are limited by the Internal Revenue Code. Nonqualified Plan participants can elect to contribute up to 75% of their eligible compensation and up to 100% of their eligible bonus compensation into the Nonqualified Plan on a pre-tax basis each pay period. We do not match any employee contributions in the Nonqualified Plan. Participants are always 100% vested in the contributions they make into the Nonqualified Plan. During 2025, Mr. Akhavan was the only NEO who contributed to the Nonqualified Plan. </w:t>
      </w:r>
    </w:p>
    <w:p>
      <w:pPr>
        <w:pStyle w:val="TextBody"/>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Akhavan Letter Agreement</w:t>
      </w:r>
    </w:p>
    <w:p>
      <w:pPr>
        <w:pStyle w:val="TextBody"/>
        <w:pBdr/>
        <w:shd w:fill="FFFFFF" w:val="clear"/>
        <w:bidi w:val="0"/>
        <w:spacing w:before="0" w:after="0"/>
        <w:ind w:left="0" w:right="0" w:hanging="0"/>
        <w:jc w:val="both"/>
        <w:rPr>
          <w:rFonts w:ascii="Times New Roman;Times;serif" w:hAnsi="Times New Roman;Times;serif"/>
          <w:color w:val="222222"/>
          <w:sz w:val="20"/>
        </w:rPr>
      </w:pPr>
      <w:r>
        <w:rPr>
          <w:rFonts w:ascii="Times New Roman;Times;serif" w:hAnsi="Times New Roman;Times;serif"/>
          <w:color w:val="222222"/>
          <w:sz w:val="20"/>
        </w:rPr>
        <w:t>In connection with the Merger, the Company entered into a letter agreement with Mr. Akhavan dated October 2, 2023, which superseded his 2022 offer letter. The agreement provided for an annual base salary of $2,500,000, annual incentive compensation with a target of $2,500,000 beginning in 2024, and specified equity awards and related vesting terms.</w:t>
      </w:r>
    </w:p>
    <w:p>
      <w:pPr>
        <w:pStyle w:val="TextBody"/>
        <w:shd w:fill="FFFFFF" w:val="clear"/>
        <w:bidi w:val="0"/>
        <w:spacing w:before="0" w:after="240"/>
        <w:ind w:left="0" w:right="0" w:hanging="0"/>
        <w:jc w:val="both"/>
        <w:rPr>
          <w:rFonts w:ascii="Times New Roman;Times;serif" w:hAnsi="Times New Roman;Times;serif"/>
          <w:color w:val="222222"/>
          <w:sz w:val="20"/>
        </w:rPr>
      </w:pPr>
      <w:r>
        <w:rPr>
          <w:rFonts w:ascii="Times New Roman;Times;serif" w:hAnsi="Times New Roman;Times;serif"/>
          <w:color w:val="222222"/>
          <w:sz w:val="20"/>
        </w:rPr>
        <w:t>The October 2023 agreement was superseded by a letter agreement dated December 24, 2025, entered into in connection with Mr. Akhavan’s appointment as Chief Executive Officer of EchoStar Capital (a division of EchoStar). That agreement provided for an annual base salary of $2,500,000 through December 31, 2026, a discretionary 2026 bonus of up to $2,500,000, and continued vesting of equity awards granted under the prior agreement. In connection with his resignation, we did not amend his letter agreement; instead, we entered into a separate agreement providing for the accelerated vesting of one tranche of his options.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Swieringa Letter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the Merger, Mr. Swieringa entered into an offer letter with EchoStar, dated as of October 2, 2023 (the “Swieringa Letter Agreement”).  Pursuant to the Swieringa Letter Agreement, Mr. Swieringa is entitled to receive an annual base salary of $1,000,000 and a grant of 175,439 EchoStar options and 70,175 EchoStar RSU awards, each with five year ratable vesting beginning on January 1, 2025.  In addition, EchoStar will honor Mr. Swieringa’s eligibility to receive a one-time performance based cash award of up to $200,000. The Swieringa Letter Agreement does not provide for severance payments or benefits.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Perquisites, Personal Benefits, Post-Termination Compensation and Other Compensation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traditionally offered numerous plans and other benefits to our executive officers, on the same terms as other employees. These plans and benefits have included medical, dental, and vision insurance, life insurance, short term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disability insurance, ESPP and the 401(k) Plan as well as discounts on our and other companies’ products and services. Relocation benefits may also be provided and reimbursed, but are individually negotiated when they occur. In some years, we have permitted certain NEOs and their family members and guests to use our corporate aircraft for personal use. During 2025, Messrs. Akhavan and Ergen used our corporate aircraft for personal use.  In 2025, Mr. Ergen received reimbursement for tax preparation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not traditionally had any plans in place to provide severance benefits to employees. However, generally the equity awards that have been granted to our executive officers are subject to acceleration of vesting following a termination without cause or a constructive termination.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Shareholder Advisory Vote on Executive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provided our shareholders with the opportunity to cast a non-binding shareholder advisory vote on executive compensation at the annual meeting of shareholders held in April 2023. Over 98% of the voting power represented at the meeting and entitled to vote on that matter voted to approve, on a non-binding advisory basis, the compensation paid to our named executive officers, as described in the proxy statement for that meeting. The Compensation Committee reviewed these voting results after such meeting, and the Corporation did not change its approach to executive compensation as a direct result of the vote. In April 2023, a majority of our shareholders approved, on a non-binding advisory basis, that we should continue to provide our shareholders with the opportunity to cast a non-binding advisory vote on executive compensation at our annual meeting of shareholders at least once every three years. After considering the preference of our shareholders and other factors, our Board of Directors determined that we will hold, and include in our proxy materials, a non-binding shareholder advisory vote on the compensation of our named executive officers every three years until the next required shareholder vote on the frequency of such non-binding shareholder advisory votes on executive compensation. At the Annual Meeting, there will be a non-binding advisory shareholder vote on executive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2025 Executive Compensation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respect to the executive compensation of our NEOs, we reviewed total compensation of each NEO and the factors outlined above in “General Compensation Levels.”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Compensation of Chairman and our President and Chief Executive Officer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2025 Base Salary of Chairman. </w:t>
      </w:r>
      <w:r>
        <w:rPr>
          <w:rFonts w:ascii="Times New Roman;Times;serif" w:hAnsi="Times New Roman;Times;serif"/>
          <w:sz w:val="20"/>
        </w:rPr>
        <w:t>Mr. Ergen’s annual base salary for 2025 was determined based on, among other factors, a review by the Compensation Committee of the expected annual base salaries in 2025 of each of the Corporation’s other NEOs. The Compensation Committee did not increase Mr. Ergen’s salary in 2025. The Compensation Committee noted that Mr. Ergen’s base salary continued to be lower than the base salaries of the CEOs of the significant majority of the surveyed companies.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2025 Base Salary of President and Chief Executive Officer. </w:t>
      </w:r>
      <w:r>
        <w:rPr>
          <w:rFonts w:ascii="Times New Roman;Times;serif" w:hAnsi="Times New Roman;Times;serif"/>
          <w:sz w:val="20"/>
        </w:rPr>
        <w:t>Base salary for Mr. Akhavan was reviewed and discussed by the Compensation Committee and determined by the Board of Directors primarily based on Mr. Ergen’s recommendations. As noted above, pursuant to the Akhavan Letter Agreement, Mr. Akhavan’s annual base salary increased to $2,500,000 commencing on December 31, 2023.  The Compensation Committee did not increase Mr. Akhavan’s salary in 2025.  Mr. Akhavan resigned from the Board and the Company effective July 6, 2026, after discussions with the Board regarding a change of strategic direction.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2025 Cash Bonus. </w:t>
      </w:r>
      <w:r>
        <w:rPr>
          <w:rFonts w:ascii="Times New Roman;Times;serif" w:hAnsi="Times New Roman;Times;serif"/>
          <w:sz w:val="20"/>
        </w:rPr>
        <w:t>We may provide a discretionary cash bonus to the extent that we consider an individual to have made an extraordinary contribution towards EchoStar’s performance. No discretionary cash bonus was paid to Messrs. Akhavan or Ergen for 2025.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2025 Short-Term Cash Incentive Compensation President and Chief Executive Officer. </w:t>
      </w:r>
      <w:r>
        <w:rPr>
          <w:rFonts w:ascii="Times New Roman;Times;serif" w:hAnsi="Times New Roman;Times;serif"/>
          <w:sz w:val="20"/>
        </w:rPr>
        <w:t xml:space="preserve">The purpose of short-term cash incentives under our EIP is, among other things, to provide performance-oriented incentives to motivate the achievement of superior managerial performance and successful performance and growth of the Corporation. This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determination is made by the Compensation Committee primarily on the basis of Mr. Ergen’s recommendations. Mr. Akhavan did not receive a payout under our EIP for 2025. No short-term cash incentives were paid to Mr. Ergen for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2025 Equity Incentives. </w:t>
      </w:r>
      <w:r>
        <w:rPr>
          <w:rFonts w:ascii="Times New Roman;Times;serif" w:hAnsi="Times New Roman;Times;serif"/>
          <w:sz w:val="20"/>
        </w:rPr>
        <w:t>With respect to equity incentives, we took into account, among other things, the factors described in “General Compensation Levels” above, placing primary weight on evaluating the position of our President and Chief Executive Officer to determine whether he has appropriate incentives tied to the performance of our Class A Shares. This determination is made by the Compensation Committee primarily on the basis of Mr. Ergen’s subjective recommendation. In connection with the closing of the Merger and the effectiveness of Mr. Akhavan’s new employment letter, certain of his outstanding options and RSUs were deemed to vest and others were cancelled in exchange for new grants of:  (i) 263,158 RSUs on January 1, 2025, vesting in one year subject to continued employment; and (ii) 701,754 stock options on December 31, 2023, vesting annually over a three-year period, subject to continued employment.  </w:t>
      </w:r>
      <w:r>
        <w:rPr>
          <w:rFonts w:ascii="Times New Roman;Times;serif" w:hAnsi="Times New Roman;Times;serif"/>
          <w:color w:val="222222"/>
          <w:sz w:val="20"/>
        </w:rPr>
        <w:t>In connection with his resignation, we entered into a separate agreement providing for the accelerated vesting of one tranche of his options.  No equity incentives were awarded to Mr. Ergen for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Compensation of Other Named Executive Officers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2025 Base Salary. </w:t>
      </w:r>
      <w:r>
        <w:rPr>
          <w:rFonts w:ascii="Times New Roman;Times;serif" w:hAnsi="Times New Roman;Times;serif"/>
          <w:sz w:val="20"/>
        </w:rPr>
        <w:t>Base salaries for each of our NEOs, other than the Chairman and President and Chief Executive Officer, are reviewed and discussed by the Compensation Committee and determined by the Board of Directors primarily based on the President and Chief Executive Officer’s recommendation. Mr. Akhavan made recommendations with respect to the 2025 base salary of each of our NEOs, other than himself, after consulting with Mr. Ergen and after considering the factors outlined above in “General Compensation Levels,” placing primary weight on:  (a) the NEO’s base salary in 2024; (b) the NEO’s performance in 2024; and (c) whether, in his subjective view, an increase in base salary was warranted based on such performance or in order to retain the NEO. In determining recommendations for the base salaries of our NEOs other than Mr. Swieringa and himself, Mr. Akhavan subjectively determined that Mr. Gaske’s existing base salary was already within the range of market compensation in light of EchoStar’s practices with respect to annual base salaries and therefore an increase over 2024 annual base salary was not necessary.  In considering the factors discussed above, Mr. Akhavan recommended base salary increases for 2025 for each of Messrs. Swieringa, Orban and Manson.  The Compensation Committee reviewed, discussed and recommended, and the Board of Directors accepted, Mr. Akhavan’s recommendations with respect to the 2025 base salaries for each of these NEOs.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2025 Cash Bonus. </w:t>
      </w:r>
      <w:r>
        <w:rPr>
          <w:rFonts w:ascii="Times New Roman;Times;serif" w:hAnsi="Times New Roman;Times;serif"/>
          <w:sz w:val="20"/>
        </w:rPr>
        <w:t>We may provide a discretionary cash bonus to the extent that we consider an individual to have made an extraordinary contribution towards EchoStar’s performance. Consistent with prior years, Mr. Ergen generally recommended that other NEOs receive cash bonuses only to the extent that such amounts would be payable pursuant to the existing short-term incentive plan, if any. No discretionary cash bonuses were awarded the other NEOs for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2025 Short-Term Cash Incentive Compensation.</w:t>
      </w:r>
      <w:r>
        <w:rPr>
          <w:rFonts w:ascii="Times New Roman;Times;serif" w:hAnsi="Times New Roman;Times;serif"/>
          <w:sz w:val="20"/>
        </w:rPr>
        <w:t xml:space="preserve">  The purpose of short-term cash incentives under our EIP is, among other things, to provide performance-oriented incentives to motivate the achievement of superior managerial performance and successful performance and growth of the Corporation.  This determination for our NEOs, other than the Chairman and the President and Chief Executive Officer, was made by the Compensation Committee primarily on the basis of Mr. Akhavan’s recommendations.  For 2025, Mr. Akhavan consulted with Mr. Ergen and based his recommendations on, and the Compensation Committee took into account, among other things, the factors described in “General Compensation Levels” above, placing primary weight on each NEO’s role in driving the Corporation’s overall performance, including 80% based on the Corporation’s financial and operational performance in 2025, and 20% based on management effectiveness and individual executive performance in 2025.  Mr. Akhavan recommended, and the Compensation Committee reviewed, discussed and determined, payout targets and performance metrics for 2025 for the payment of short-term cash incentive awards under our EIP for each eligible NEO.  Messrs. Ergen and Akhavan and the Compensation Committee determined whether and to what extent the applicable performance metrics were met for each eligible NEOs for 2025, and the amount of the cash incentive award for 2025 paid under the EIP to each of our eligible NEOs.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recommendations of Mr. Akhavan and Mr. Ergen, the Compensation Committee approved the following 2025 payout targets, performance metrics, and short-term cash incentive awards under our EIP:</w:t>
      </w:r>
    </w:p>
    <w:tbl>
      <w:tblPr>
        <w:tblW w:w="10205" w:type="dxa"/>
        <w:jc w:val="left"/>
        <w:tblInd w:w="0" w:type="dxa"/>
        <w:tblLayout w:type="fixed"/>
        <w:tblCellMar>
          <w:top w:w="0" w:type="dxa"/>
          <w:left w:w="0" w:type="dxa"/>
          <w:bottom w:w="0" w:type="dxa"/>
          <w:right w:w="0" w:type="dxa"/>
        </w:tblCellMar>
      </w:tblPr>
      <w:tblGrid>
        <w:gridCol w:w="1199"/>
        <w:gridCol w:w="1566"/>
        <w:gridCol w:w="6198"/>
        <w:gridCol w:w="1242"/>
      </w:tblGrid>
      <w:tr>
        <w:trPr/>
        <w:tc>
          <w:tcPr>
            <w:tcW w:w="1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761365" cy="29210"/>
                      <wp:effectExtent l="0" t="0" r="0" b="0"/>
                      <wp:wrapNone/>
                      <wp:docPr id="133" name="Frame126"/>
                      <a:graphic xmlns:a="http://schemas.openxmlformats.org/drawingml/2006/main">
                        <a:graphicData uri="http://schemas.microsoft.com/office/word/2010/wordprocessingShape">
                          <wps:wsp>
                            <wps:cNvSpPr txBox="1"/>
                            <wps:spPr>
                              <a:xfrm>
                                <a:off x="0" y="0"/>
                                <a:ext cx="76136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994410" cy="29210"/>
                      <wp:effectExtent l="0" t="0" r="0" b="0"/>
                      <wp:wrapNone/>
                      <wp:docPr id="134" name="Frame127"/>
                      <a:graphic xmlns:a="http://schemas.openxmlformats.org/drawingml/2006/main">
                        <a:graphicData uri="http://schemas.microsoft.com/office/word/2010/wordprocessingShape">
                          <wps:wsp>
                            <wps:cNvSpPr txBox="1"/>
                            <wps:spPr>
                              <a:xfrm>
                                <a:off x="0" y="0"/>
                                <a:ext cx="994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935730" cy="29210"/>
                      <wp:effectExtent l="0" t="0" r="0" b="0"/>
                      <wp:wrapNone/>
                      <wp:docPr id="135" name="Frame128"/>
                      <a:graphic xmlns:a="http://schemas.openxmlformats.org/drawingml/2006/main">
                        <a:graphicData uri="http://schemas.microsoft.com/office/word/2010/wordprocessingShape">
                          <wps:wsp>
                            <wps:cNvSpPr txBox="1"/>
                            <wps:spPr>
                              <a:xfrm>
                                <a:off x="0" y="0"/>
                                <a:ext cx="393573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9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788670" cy="29210"/>
                      <wp:effectExtent l="0" t="0" r="0" b="0"/>
                      <wp:wrapNone/>
                      <wp:docPr id="136" name="Frame129"/>
                      <a:graphic xmlns:a="http://schemas.openxmlformats.org/drawingml/2006/main">
                        <a:graphicData uri="http://schemas.microsoft.com/office/word/2010/wordprocessingShape">
                          <wps:wsp>
                            <wps:cNvSpPr txBox="1"/>
                            <wps:spPr>
                              <a:xfrm>
                                <a:off x="0" y="0"/>
                                <a:ext cx="7886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199"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NEO</w:t>
            </w:r>
          </w:p>
        </w:tc>
        <w:tc>
          <w:tcPr>
            <w:tcW w:w="156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 Payout Target</w:t>
            </w:r>
          </w:p>
        </w:tc>
        <w:tc>
          <w:tcPr>
            <w:tcW w:w="6198"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 EIP Performance Metrics</w:t>
            </w:r>
          </w:p>
        </w:tc>
        <w:tc>
          <w:tcPr>
            <w:tcW w:w="1242"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 EIP Payment</w:t>
            </w:r>
          </w:p>
        </w:tc>
      </w:tr>
      <w:tr>
        <w:trPr/>
        <w:tc>
          <w:tcPr>
            <w:tcW w:w="1199"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John W. Swieringa</w:t>
            </w:r>
          </w:p>
        </w:tc>
        <w:tc>
          <w:tcPr>
            <w:tcW w:w="1566"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$250,000</w:t>
            </w:r>
          </w:p>
        </w:tc>
        <w:tc>
          <w:tcPr>
            <w:tcW w:w="6198"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Combination of financial and operational performance metrics of the Corporation as well as factors regarding management effectiveness and individual executive performance.</w:t>
            </w:r>
          </w:p>
        </w:tc>
        <w:tc>
          <w:tcPr>
            <w:tcW w:w="1242"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$157,750</w:t>
            </w:r>
          </w:p>
        </w:tc>
      </w:tr>
      <w:tr>
        <w:trPr/>
        <w:tc>
          <w:tcPr>
            <w:tcW w:w="119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Dean A. Manson</w:t>
            </w:r>
          </w:p>
        </w:tc>
        <w:tc>
          <w:tcPr>
            <w:tcW w:w="156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$687,463 (100% of base salary)</w:t>
            </w:r>
          </w:p>
        </w:tc>
        <w:tc>
          <w:tcPr>
            <w:tcW w:w="6198"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Combination of financial and operational performance metrics of the Corporation as well as factors regarding management effectiveness and individual executive performance.</w:t>
            </w:r>
          </w:p>
        </w:tc>
        <w:tc>
          <w:tcPr>
            <w:tcW w:w="124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$420,040</w:t>
            </w:r>
          </w:p>
        </w:tc>
      </w:tr>
      <w:tr>
        <w:trPr/>
        <w:tc>
          <w:tcPr>
            <w:tcW w:w="1199"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Paul Gaske</w:t>
            </w:r>
          </w:p>
        </w:tc>
        <w:tc>
          <w:tcPr>
            <w:tcW w:w="1566"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$600,002 (80% of base salary)</w:t>
            </w:r>
          </w:p>
        </w:tc>
        <w:tc>
          <w:tcPr>
            <w:tcW w:w="6198"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Combination of financial and operational performance metrics of the Corporation as well as factors regarding management effectiveness and individual executive performance.</w:t>
            </w:r>
          </w:p>
        </w:tc>
        <w:tc>
          <w:tcPr>
            <w:tcW w:w="1242" w:type="dxa"/>
            <w:tcBorders>
              <w:top w:val="single" w:sz="2" w:space="0" w:color="000000"/>
              <w:left w:val="single" w:sz="2" w:space="0" w:color="000000"/>
              <w:bottom w:val="single" w:sz="2" w:space="0" w:color="000000"/>
              <w:right w:val="single" w:sz="2" w:space="0" w:color="000000"/>
            </w:tcBorders>
            <w:shd w:fill="CCEEFF" w:val="clear"/>
            <w:tcMar>
              <w:top w:w="28" w:type="dxa"/>
              <w:left w:w="103" w:type="dxa"/>
              <w:bottom w:w="28" w:type="dxa"/>
              <w:right w:w="103" w:type="dxa"/>
            </w:tcMar>
            <w:vAlign w:val="center"/>
          </w:tcPr>
          <w:p>
            <w:pPr>
              <w:pStyle w:val="TableContents"/>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$237,001</w:t>
            </w:r>
          </w:p>
        </w:tc>
      </w:tr>
      <w:tr>
        <w:trPr/>
        <w:tc>
          <w:tcPr>
            <w:tcW w:w="1199" w:type="dxa"/>
            <w:tcBorders/>
            <w:vAlign w:val="center"/>
          </w:tcPr>
          <w:p>
            <w:pPr>
              <w:pStyle w:val="TableContents"/>
              <w:bidi w:val="0"/>
              <w:spacing w:before="0" w:after="0"/>
              <w:ind w:left="0" w:right="0" w:hanging="0"/>
              <w:jc w:val="left"/>
              <w:rPr/>
            </w:pPr>
            <w:r>
              <w:rPr/>
              <w:t>​</w:t>
            </w:r>
          </w:p>
        </w:tc>
        <w:tc>
          <w:tcPr>
            <w:tcW w:w="1566" w:type="dxa"/>
            <w:tcBorders/>
            <w:vAlign w:val="center"/>
          </w:tcPr>
          <w:p>
            <w:pPr>
              <w:pStyle w:val="TableContents"/>
              <w:bidi w:val="0"/>
              <w:spacing w:before="0" w:after="0"/>
              <w:ind w:left="0" w:right="0" w:hanging="0"/>
              <w:jc w:val="left"/>
              <w:rPr/>
            </w:pPr>
            <w:r>
              <w:rPr/>
              <w:t>​</w:t>
            </w:r>
          </w:p>
        </w:tc>
        <w:tc>
          <w:tcPr>
            <w:tcW w:w="6198" w:type="dxa"/>
            <w:tcBorders/>
            <w:vAlign w:val="center"/>
          </w:tcPr>
          <w:p>
            <w:pPr>
              <w:pStyle w:val="TableContents"/>
              <w:bidi w:val="0"/>
              <w:spacing w:before="0" w:after="0"/>
              <w:ind w:left="0" w:right="0" w:hanging="0"/>
              <w:jc w:val="left"/>
              <w:rPr/>
            </w:pPr>
            <w:r>
              <w:rPr/>
              <w:t>​</w:t>
            </w:r>
          </w:p>
        </w:tc>
        <w:tc>
          <w:tcPr>
            <w:tcW w:w="124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2025 Equity Incentives. </w:t>
      </w:r>
      <w:r>
        <w:rPr>
          <w:rFonts w:ascii="Times New Roman;Times;serif" w:hAnsi="Times New Roman;Times;serif"/>
          <w:sz w:val="20"/>
        </w:rPr>
        <w:t xml:space="preserve">With respect to equity incentives, we took into account, among other things, the factors described in “General Compensation Levels” above, placing primary weight on evaluating the position of each of our other NEOs to determine whether each NEO other than our President and Chief Executive Officer has appropriate incentives tied to the performance of our Class A Shares. These determinations are made by the Compensation Committee primarily on the basis of Mr. Ergen’s recommendations. See detail of equity incentive awards in “Grants of Plan-Based Awards” table below.  As discussed under “Swieringa Letter Agreement”, in 2024 Mr. Swieringa received a grant of 175,439 options and 70,175 RSU awards, each with five year ratable vesting beginning on January 1, 2025. The Compensation Committee also granted: (i) Mr. Swieringa 250,000 RSU awards with a five year ratable vesting beginning on October 1, 2025 and 60,000 stock options vesting in annual installments over three years; and (ii) Mr. Orban 50,000 RSU awards vesting 20% beginning on July 30, 2027 and vesting 20% per year beginning on October 1, 2027.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Anti-Hedging</w:t>
      </w:r>
      <w:r>
        <w:rPr>
          <w:rFonts w:ascii="Times New Roman;Times;serif" w:hAnsi="Times New Roman;Times;serif"/>
          <w:sz w:val="20"/>
        </w:rPr>
        <w:t>. Our insider trading policy prohibits our employees, including our executive officers, and members of our Board of Directors from engaging in any type of hedging or monetization transaction with respect to our securities. The prohibited transactions include, but are not limited to, the pledging as collateral of any of our securities, including establishing or increasing margin loans.</w:t>
      </w:r>
    </w:p>
    <w:p>
      <w:pPr>
        <w:pStyle w:val="TextBody"/>
        <w:bidi w:val="0"/>
        <w:spacing w:before="0" w:after="240"/>
        <w:ind w:left="0" w:right="0" w:hanging="0"/>
        <w:jc w:val="left"/>
        <w:rPr>
          <w:rFonts w:ascii="Times New Roman;Times;serif" w:hAnsi="Times New Roman;Times;serif"/>
          <w:b/>
          <w:sz w:val="20"/>
        </w:rPr>
      </w:pPr>
      <w:bookmarkStart w:id="424" w:name="RiskAssessment_575789"/>
      <w:bookmarkEnd w:id="424"/>
      <w:r>
        <w:rPr>
          <w:rFonts w:ascii="Times New Roman;Times;serif" w:hAnsi="Times New Roman;Times;serif"/>
          <w:b/>
          <w:sz w:val="20"/>
        </w:rPr>
        <w:t>Risk Assessment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believe that our compensation programs and practices, which include a mix of short-term and long-term compensation and consist primarily of fixed cash salary, short-term incentive cash awards and equity incentive awards with multi-year vesting, assist in our efforts to mitigate excessive risk-taking by our employees. We annually review the cash and equity incentive programs for the Corporation’s senior officers, including our executive officers, who are the employees whose actions could expose the Corporation to the most significant business risks. We concluded that certain features of these programs tend to reduce the likelihood of excessive risk-taking, including, but not limited to, a balance of compensation that is designed to promote the Corporation’s goals and create shareholder value by aligning the interests of management and shareholders through equity and cash incentives, multi-year vesting of equity awards and a mix of short-term and long-term compensation, thus reducing the incentive to take risks that are not consistent with the Corporation’s goals, and the Compensation Committee’s and Board of Directors’ ongoing oversight to ensure the Corporation’s compensation programs and practices appropriately balance the interests of employees and shareholders.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foregoing reasons, the Board of Directors believes that the Corporation’s compensation policies and practices do not create risks that are reasonably likely to have a material adverse effect on the Corporation.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425" w:name="CompensationCommitteeReport_866056"/>
      <w:bookmarkEnd w:id="425"/>
      <w:r>
        <w:rPr>
          <w:rFonts w:ascii="Times New Roman;Times;serif" w:hAnsi="Times New Roman;Times;serif"/>
          <w:b/>
          <w:sz w:val="20"/>
        </w:rPr>
        <w:t>Compensation Committee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Compensation Committee is appointed by the Board of Directors to discharge certain of the Board of Directors’ responsibilities relating to compensation of EchoStar’s executive officers.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review of the Compensation Discussion and Analysis and discussions with management, the Compensation Committee recommended to the Board of Directors that the Compensation Discussion and Analysis be included in this Proxy Statement.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Compensation Committee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Kathleen Q. Abernathy (Chair)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George R. Brokaw</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 Stanton Dodge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Lisa W. Hershman</w:t>
      </w:r>
    </w:p>
    <w:p>
      <w:pPr>
        <w:pStyle w:val="TextBody"/>
        <w:bidi w:val="0"/>
        <w:spacing w:before="0" w:after="240"/>
        <w:ind w:left="0" w:right="0" w:hanging="0"/>
        <w:jc w:val="left"/>
        <w:rPr>
          <w:rFonts w:ascii="Times New Roman;Times;serif" w:hAnsi="Times New Roman;Times;serif"/>
          <w:b/>
          <w:sz w:val="20"/>
        </w:rPr>
      </w:pPr>
      <w:bookmarkStart w:id="426" w:name="ExecutiveCompensationTables_917665"/>
      <w:bookmarkEnd w:id="426"/>
      <w:r>
        <w:rPr>
          <w:rFonts w:ascii="Times New Roman;Times;serif" w:hAnsi="Times New Roman;Times;serif"/>
          <w:b/>
          <w:sz w:val="20"/>
        </w:rPr>
        <w:t>Executive Compensation Tables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Summary Compensation Table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executive officers are compensated by certain of our subsidiaries. The following table sets forth the cash and noncash compensation earned by each NEO for each of the fiscal years ended December 31, 2025, 2024 and 2023 during which he served as a NEO.</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804"/>
        <w:gridCol w:w="346"/>
        <w:gridCol w:w="376"/>
        <w:gridCol w:w="346"/>
        <w:gridCol w:w="166"/>
        <w:gridCol w:w="586"/>
        <w:gridCol w:w="346"/>
        <w:gridCol w:w="166"/>
        <w:gridCol w:w="346"/>
        <w:gridCol w:w="346"/>
        <w:gridCol w:w="166"/>
        <w:gridCol w:w="586"/>
        <w:gridCol w:w="346"/>
        <w:gridCol w:w="166"/>
        <w:gridCol w:w="586"/>
        <w:gridCol w:w="346"/>
        <w:gridCol w:w="185"/>
        <w:gridCol w:w="656"/>
        <w:gridCol w:w="109"/>
        <w:gridCol w:w="231"/>
        <w:gridCol w:w="610"/>
        <w:gridCol w:w="346"/>
        <w:gridCol w:w="185"/>
        <w:gridCol w:w="656"/>
        <w:gridCol w:w="346"/>
        <w:gridCol w:w="166"/>
        <w:gridCol w:w="691"/>
      </w:tblGrid>
      <w:tr>
        <w:trPr/>
        <w:tc>
          <w:tcPr>
            <w:tcW w:w="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10540" cy="175260"/>
                      <wp:effectExtent l="0" t="0" r="0" b="0"/>
                      <wp:wrapNone/>
                      <wp:docPr id="137" name="Frame130"/>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38"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38760" cy="175260"/>
                      <wp:effectExtent l="0" t="0" r="0" b="0"/>
                      <wp:wrapNone/>
                      <wp:docPr id="139" name="Frame132"/>
                      <a:graphic xmlns:a="http://schemas.openxmlformats.org/drawingml/2006/main">
                        <a:graphicData uri="http://schemas.microsoft.com/office/word/2010/wordprocessingShape">
                          <wps:wsp>
                            <wps:cNvSpPr txBox="1"/>
                            <wps:spPr>
                              <a:xfrm>
                                <a:off x="0" y="0"/>
                                <a:ext cx="238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0" name="Frame1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05410" cy="175260"/>
                      <wp:effectExtent l="0" t="0" r="0" b="0"/>
                      <wp:wrapNone/>
                      <wp:docPr id="141" name="Frame134"/>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372110" cy="175260"/>
                      <wp:effectExtent l="0" t="0" r="0" b="0"/>
                      <wp:wrapNone/>
                      <wp:docPr id="142" name="Frame135"/>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3"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05410" cy="175260"/>
                      <wp:effectExtent l="0" t="0" r="0" b="0"/>
                      <wp:wrapNone/>
                      <wp:docPr id="144" name="Frame137"/>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5"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6"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05410" cy="175260"/>
                      <wp:effectExtent l="0" t="0" r="0" b="0"/>
                      <wp:wrapNone/>
                      <wp:docPr id="147" name="Frame140"/>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372110" cy="175260"/>
                      <wp:effectExtent l="0" t="0" r="0" b="0"/>
                      <wp:wrapNone/>
                      <wp:docPr id="148" name="Frame14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49" name="Frame1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05410" cy="175260"/>
                      <wp:effectExtent l="0" t="0" r="0" b="0"/>
                      <wp:wrapNone/>
                      <wp:docPr id="150" name="Frame143"/>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72110" cy="175260"/>
                      <wp:effectExtent l="0" t="0" r="0" b="0"/>
                      <wp:wrapNone/>
                      <wp:docPr id="151" name="Frame14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2"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17475" cy="175260"/>
                      <wp:effectExtent l="0" t="0" r="0" b="0"/>
                      <wp:wrapNone/>
                      <wp:docPr id="153" name="Frame146"/>
                      <a:graphic xmlns:a="http://schemas.openxmlformats.org/drawingml/2006/main">
                        <a:graphicData uri="http://schemas.microsoft.com/office/word/2010/wordprocessingShape">
                          <wps:wsp>
                            <wps:cNvSpPr txBox="1"/>
                            <wps:spPr>
                              <a:xfrm>
                                <a:off x="0" y="0"/>
                                <a:ext cx="117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16560" cy="175260"/>
                      <wp:effectExtent l="0" t="0" r="0" b="0"/>
                      <wp:wrapNone/>
                      <wp:docPr id="154" name="Frame147"/>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5" name="Frame14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46685" cy="175260"/>
                      <wp:effectExtent l="0" t="0" r="0" b="0"/>
                      <wp:wrapNone/>
                      <wp:docPr id="156" name="Frame149"/>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387350" cy="175260"/>
                      <wp:effectExtent l="0" t="0" r="0" b="0"/>
                      <wp:wrapNone/>
                      <wp:docPr id="157" name="Frame150"/>
                      <a:graphic xmlns:a="http://schemas.openxmlformats.org/drawingml/2006/main">
                        <a:graphicData uri="http://schemas.microsoft.com/office/word/2010/wordprocessingShape">
                          <wps:wsp>
                            <wps:cNvSpPr txBox="1"/>
                            <wps:spPr>
                              <a:xfrm>
                                <a:off x="0" y="0"/>
                                <a:ext cx="387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19710" cy="175260"/>
                      <wp:effectExtent l="0" t="0" r="0" b="0"/>
                      <wp:wrapNone/>
                      <wp:docPr id="158"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17475" cy="175260"/>
                      <wp:effectExtent l="0" t="0" r="0" b="0"/>
                      <wp:wrapNone/>
                      <wp:docPr id="159" name="Frame152"/>
                      <a:graphic xmlns:a="http://schemas.openxmlformats.org/drawingml/2006/main">
                        <a:graphicData uri="http://schemas.microsoft.com/office/word/2010/wordprocessingShape">
                          <wps:wsp>
                            <wps:cNvSpPr txBox="1"/>
                            <wps:spPr>
                              <a:xfrm>
                                <a:off x="0" y="0"/>
                                <a:ext cx="117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16560" cy="175260"/>
                      <wp:effectExtent l="0" t="0" r="0" b="0"/>
                      <wp:wrapNone/>
                      <wp:docPr id="160" name="Frame153"/>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1"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05410" cy="175260"/>
                      <wp:effectExtent l="0" t="0" r="0" b="0"/>
                      <wp:wrapNone/>
                      <wp:docPr id="162" name="Frame155"/>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38785" cy="175260"/>
                      <wp:effectExtent l="0" t="0" r="0" b="0"/>
                      <wp:wrapNone/>
                      <wp:docPr id="163" name="Frame15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80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Changes in</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r>
      <w:tr>
        <w:trPr/>
        <w:tc>
          <w:tcPr>
            <w:tcW w:w="80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Pension</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r>
      <w:tr>
        <w:trPr/>
        <w:tc>
          <w:tcPr>
            <w:tcW w:w="80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Value and</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r>
      <w:tr>
        <w:trPr/>
        <w:tc>
          <w:tcPr>
            <w:tcW w:w="80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Nonqualified</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r>
      <w:tr>
        <w:trPr/>
        <w:tc>
          <w:tcPr>
            <w:tcW w:w="80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Non-Equity</w:t>
            </w:r>
          </w:p>
        </w:tc>
        <w:tc>
          <w:tcPr>
            <w:tcW w:w="109"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Deferred</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r>
      <w:tr>
        <w:trPr/>
        <w:tc>
          <w:tcPr>
            <w:tcW w:w="80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Stock</w:t>
            </w:r>
          </w:p>
        </w:tc>
        <w:tc>
          <w:tcPr>
            <w:tcW w:w="346" w:type="dxa"/>
            <w:tcBorders/>
            <w:vAlign w:val="center"/>
          </w:tcPr>
          <w:p>
            <w:pPr>
              <w:pStyle w:val="TableContents"/>
              <w:bidi w:val="0"/>
              <w:spacing w:before="0" w:after="1"/>
              <w:ind w:left="0" w:right="0" w:hanging="0"/>
              <w:jc w:val="left"/>
              <w:rPr/>
            </w:pPr>
            <w:r>
              <w:rPr/>
              <w:t>​</w:t>
            </w:r>
          </w:p>
        </w:tc>
        <w:tc>
          <w:tcPr>
            <w:tcW w:w="75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Option</w:t>
            </w:r>
          </w:p>
        </w:tc>
        <w:tc>
          <w:tcPr>
            <w:tcW w:w="34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Incentive Plan</w:t>
            </w:r>
          </w:p>
        </w:tc>
        <w:tc>
          <w:tcPr>
            <w:tcW w:w="109"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Compensation</w:t>
            </w:r>
          </w:p>
        </w:tc>
        <w:tc>
          <w:tcPr>
            <w:tcW w:w="34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All Other</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center"/>
              <w:rPr/>
            </w:pPr>
            <w:r>
              <w:rPr/>
              <w:t>​</w:t>
            </w:r>
          </w:p>
        </w:tc>
      </w:tr>
      <w:tr>
        <w:trPr/>
        <w:tc>
          <w:tcPr>
            <w:tcW w:w="80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Salary</w:t>
            </w:r>
          </w:p>
        </w:tc>
        <w:tc>
          <w:tcPr>
            <w:tcW w:w="346" w:type="dxa"/>
            <w:tcBorders/>
            <w:vAlign w:val="center"/>
          </w:tcPr>
          <w:p>
            <w:pPr>
              <w:pStyle w:val="TableContents"/>
              <w:bidi w:val="0"/>
              <w:spacing w:before="0" w:after="1"/>
              <w:ind w:left="0" w:right="0" w:hanging="0"/>
              <w:jc w:val="left"/>
              <w:rPr/>
            </w:pPr>
            <w:r>
              <w:rPr/>
              <w:t>​</w:t>
            </w:r>
          </w:p>
        </w:tc>
        <w:tc>
          <w:tcPr>
            <w:tcW w:w="51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Bonus</w:t>
            </w:r>
          </w:p>
        </w:tc>
        <w:tc>
          <w:tcPr>
            <w:tcW w:w="346" w:type="dxa"/>
            <w:tcBorders/>
            <w:vAlign w:val="center"/>
          </w:tcPr>
          <w:p>
            <w:pPr>
              <w:pStyle w:val="TableContents"/>
              <w:bidi w:val="0"/>
              <w:spacing w:before="0" w:after="1"/>
              <w:ind w:left="0" w:right="0" w:hanging="0"/>
              <w:jc w:val="left"/>
              <w:rPr/>
            </w:pPr>
            <w:r>
              <w:rPr/>
              <w:t>​</w:t>
            </w:r>
          </w:p>
        </w:tc>
        <w:tc>
          <w:tcPr>
            <w:tcW w:w="75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Awards</w:t>
            </w:r>
          </w:p>
        </w:tc>
        <w:tc>
          <w:tcPr>
            <w:tcW w:w="346" w:type="dxa"/>
            <w:tcBorders/>
            <w:vAlign w:val="center"/>
          </w:tcPr>
          <w:p>
            <w:pPr>
              <w:pStyle w:val="TableContents"/>
              <w:bidi w:val="0"/>
              <w:spacing w:before="0" w:after="1"/>
              <w:ind w:left="0" w:right="0" w:hanging="0"/>
              <w:jc w:val="left"/>
              <w:rPr/>
            </w:pPr>
            <w:r>
              <w:rPr/>
              <w:t>​</w:t>
            </w:r>
          </w:p>
        </w:tc>
        <w:tc>
          <w:tcPr>
            <w:tcW w:w="75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Awards</w:t>
            </w:r>
          </w:p>
        </w:tc>
        <w:tc>
          <w:tcPr>
            <w:tcW w:w="34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Compensation</w:t>
            </w:r>
          </w:p>
        </w:tc>
        <w:tc>
          <w:tcPr>
            <w:tcW w:w="109" w:type="dxa"/>
            <w:tcBorders/>
            <w:vAlign w:val="center"/>
          </w:tcPr>
          <w:p>
            <w:pPr>
              <w:pStyle w:val="TableContents"/>
              <w:bidi w:val="0"/>
              <w:spacing w:before="0" w:after="1"/>
              <w:ind w:left="0" w:right="0" w:hanging="0"/>
              <w:jc w:val="center"/>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Earnings</w:t>
            </w:r>
          </w:p>
        </w:tc>
        <w:tc>
          <w:tcPr>
            <w:tcW w:w="346" w:type="dxa"/>
            <w:tcBorders/>
            <w:vAlign w:val="center"/>
          </w:tcPr>
          <w:p>
            <w:pPr>
              <w:pStyle w:val="TableContents"/>
              <w:bidi w:val="0"/>
              <w:spacing w:before="0" w:after="1"/>
              <w:ind w:left="0" w:right="0" w:hanging="0"/>
              <w:jc w:val="left"/>
              <w:rPr/>
            </w:pPr>
            <w:r>
              <w:rPr/>
              <w:t>​</w:t>
            </w:r>
          </w:p>
        </w:tc>
        <w:tc>
          <w:tcPr>
            <w:tcW w:w="841"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Compensation</w:t>
            </w:r>
          </w:p>
        </w:tc>
        <w:tc>
          <w:tcPr>
            <w:tcW w:w="346" w:type="dxa"/>
            <w:tcBorders/>
            <w:vAlign w:val="center"/>
          </w:tcPr>
          <w:p>
            <w:pPr>
              <w:pStyle w:val="TableContents"/>
              <w:bidi w:val="0"/>
              <w:spacing w:before="0" w:after="1"/>
              <w:ind w:left="0" w:right="0" w:hanging="0"/>
              <w:jc w:val="left"/>
              <w:rPr/>
            </w:pPr>
            <w:r>
              <w:rPr/>
              <w:t>​</w:t>
            </w:r>
          </w:p>
        </w:tc>
        <w:tc>
          <w:tcPr>
            <w:tcW w:w="85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Total</w:t>
            </w:r>
          </w:p>
        </w:tc>
      </w:tr>
      <w:tr>
        <w:trPr/>
        <w:tc>
          <w:tcPr>
            <w:tcW w:w="80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Name and Principal Position</w:t>
            </w:r>
          </w:p>
        </w:tc>
        <w:tc>
          <w:tcPr>
            <w:tcW w:w="346" w:type="dxa"/>
            <w:tcBorders/>
            <w:vAlign w:val="center"/>
          </w:tcPr>
          <w:p>
            <w:pPr>
              <w:pStyle w:val="TableContents"/>
              <w:bidi w:val="0"/>
              <w:spacing w:before="0" w:after="1"/>
              <w:ind w:left="0" w:right="0" w:hanging="0"/>
              <w:jc w:val="left"/>
              <w:rPr/>
            </w:pPr>
            <w:r>
              <w:rPr/>
              <w:t>  ​ ​ ​</w:t>
            </w:r>
          </w:p>
        </w:tc>
        <w:tc>
          <w:tcPr>
            <w:tcW w:w="3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Year</w:t>
            </w:r>
          </w:p>
        </w:tc>
        <w:tc>
          <w:tcPr>
            <w:tcW w:w="346"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1"/>
              <w:ind w:left="0" w:right="0" w:hanging="0"/>
              <w:jc w:val="left"/>
              <w:rPr/>
            </w:pPr>
            <w:r>
              <w:rPr/>
              <w:t>  ​ ​ ​</w:t>
            </w:r>
          </w:p>
        </w:tc>
        <w:tc>
          <w:tcPr>
            <w:tcW w:w="5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 (1)</w:t>
            </w:r>
          </w:p>
        </w:tc>
        <w:tc>
          <w:tcPr>
            <w:tcW w:w="346"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 (1)</w:t>
            </w:r>
          </w:p>
        </w:tc>
        <w:tc>
          <w:tcPr>
            <w:tcW w:w="346" w:type="dxa"/>
            <w:tcBorders/>
            <w:vAlign w:val="center"/>
          </w:tcPr>
          <w:p>
            <w:pPr>
              <w:pStyle w:val="TableContents"/>
              <w:bidi w:val="0"/>
              <w:spacing w:before="0" w:after="1"/>
              <w:ind w:left="0" w:right="0" w:hanging="0"/>
              <w:jc w:val="left"/>
              <w:rPr/>
            </w:pPr>
            <w:r>
              <w:rPr/>
              <w:t>  ​ ​ ​</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 (2)</w:t>
            </w:r>
          </w:p>
        </w:tc>
        <w:tc>
          <w:tcPr>
            <w:tcW w:w="109" w:type="dxa"/>
            <w:tcBorders/>
            <w:vAlign w:val="center"/>
          </w:tcPr>
          <w:p>
            <w:pPr>
              <w:pStyle w:val="TableContents"/>
              <w:bidi w:val="0"/>
              <w:spacing w:before="0" w:after="1"/>
              <w:ind w:left="0" w:right="0" w:hanging="0"/>
              <w:jc w:val="center"/>
              <w:rPr/>
            </w:pPr>
            <w:r>
              <w:rPr/>
              <w:t>​</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 (3)</w:t>
            </w:r>
          </w:p>
        </w:tc>
        <w:tc>
          <w:tcPr>
            <w:tcW w:w="346" w:type="dxa"/>
            <w:tcBorders/>
            <w:vAlign w:val="center"/>
          </w:tcPr>
          <w:p>
            <w:pPr>
              <w:pStyle w:val="TableContents"/>
              <w:bidi w:val="0"/>
              <w:spacing w:before="0" w:after="1"/>
              <w:ind w:left="0" w:right="0" w:hanging="0"/>
              <w:jc w:val="left"/>
              <w:rPr/>
            </w:pPr>
            <w:r>
              <w:rPr/>
              <w:t>  ​ ​ ​</w:t>
            </w:r>
          </w:p>
        </w:tc>
        <w:tc>
          <w:tcPr>
            <w:tcW w:w="8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 (4)</w:t>
            </w:r>
          </w:p>
        </w:tc>
        <w:tc>
          <w:tcPr>
            <w:tcW w:w="346" w:type="dxa"/>
            <w:tcBorders/>
            <w:vAlign w:val="center"/>
          </w:tcPr>
          <w:p>
            <w:pPr>
              <w:pStyle w:val="TableContents"/>
              <w:bidi w:val="0"/>
              <w:spacing w:before="0" w:after="1"/>
              <w:ind w:left="0" w:right="0" w:hanging="0"/>
              <w:jc w:val="left"/>
              <w:rPr/>
            </w:pPr>
            <w:r>
              <w:rPr/>
              <w:t>  ​ ​ ​</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w:t>
            </w:r>
          </w:p>
        </w:tc>
      </w:tr>
      <w:tr>
        <w:trPr/>
        <w:tc>
          <w:tcPr>
            <w:tcW w:w="804"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Charles W. Ergen</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2025</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1,000,000</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3,648,665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(5)</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4,648,665</w:t>
            </w:r>
          </w:p>
        </w:tc>
      </w:tr>
      <w:tr>
        <w:trPr/>
        <w:tc>
          <w:tcPr>
            <w:tcW w:w="804" w:type="dxa"/>
            <w:tcBorders/>
            <w:vAlign w:val="center"/>
          </w:tcPr>
          <w:p>
            <w:pPr>
              <w:pStyle w:val="TableContents"/>
              <w:bidi w:val="0"/>
              <w:spacing w:before="0" w:after="1"/>
              <w:ind w:left="0" w:right="0" w:hanging="0"/>
              <w:jc w:val="left"/>
              <w:rPr>
                <w:rFonts w:ascii="Times New Roman;Times;serif" w:hAnsi="Times New Roman;Times;serif"/>
                <w:i/>
                <w:sz w:val="12"/>
              </w:rPr>
            </w:pPr>
            <w:r>
              <w:rPr>
                <w:rFonts w:ascii="Times New Roman;Times;serif" w:hAnsi="Times New Roman;Times;serif"/>
                <w:i/>
                <w:sz w:val="12"/>
              </w:rPr>
              <w:t>Chairman, President and Chief Executive Officer</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2024</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1,000,000</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3,098,981</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(5)</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4,098,981</w:t>
            </w:r>
          </w:p>
        </w:tc>
      </w:tr>
      <w:tr>
        <w:trPr/>
        <w:tc>
          <w:tcPr>
            <w:tcW w:w="8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6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right"/>
              <w:rPr/>
            </w:pPr>
            <w:r>
              <w:rPr/>
              <w:t>​</w:t>
            </w:r>
          </w:p>
        </w:tc>
        <w:tc>
          <w:tcPr>
            <w:tcW w:w="6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6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r>
      <w:tr>
        <w:trPr/>
        <w:tc>
          <w:tcPr>
            <w:tcW w:w="804"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Hamid Akhavan (6)</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2025</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2,500,014</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6,026,318</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28,087</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13,293</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8,567,712</w:t>
            </w:r>
          </w:p>
        </w:tc>
      </w:tr>
      <w:tr>
        <w:trPr/>
        <w:tc>
          <w:tcPr>
            <w:tcW w:w="804" w:type="dxa"/>
            <w:tcBorders/>
            <w:shd w:fill="CCEEFF" w:val="clear"/>
            <w:vAlign w:val="center"/>
          </w:tcPr>
          <w:p>
            <w:pPr>
              <w:pStyle w:val="TableContents"/>
              <w:bidi w:val="0"/>
              <w:spacing w:before="0" w:after="1"/>
              <w:ind w:left="0" w:right="0" w:hanging="0"/>
              <w:jc w:val="left"/>
              <w:rPr>
                <w:rFonts w:ascii="Times New Roman;Times;serif" w:hAnsi="Times New Roman;Times;serif"/>
                <w:i/>
                <w:sz w:val="12"/>
              </w:rPr>
            </w:pPr>
            <w:r>
              <w:rPr>
                <w:rFonts w:ascii="Times New Roman;Times;serif" w:hAnsi="Times New Roman;Times;serif"/>
                <w:i/>
                <w:sz w:val="12"/>
              </w:rPr>
              <w:t xml:space="preserve">President and </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2024</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2,471,168</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4,360,528</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2,000,000</w:t>
            </w:r>
          </w:p>
        </w:tc>
        <w:tc>
          <w:tcPr>
            <w:tcW w:w="109"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96,169</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8,927,865</w:t>
            </w:r>
          </w:p>
        </w:tc>
      </w:tr>
      <w:tr>
        <w:trPr/>
        <w:tc>
          <w:tcPr>
            <w:tcW w:w="804" w:type="dxa"/>
            <w:tcBorders/>
            <w:vAlign w:val="center"/>
          </w:tcPr>
          <w:p>
            <w:pPr>
              <w:pStyle w:val="TableContents"/>
              <w:bidi w:val="0"/>
              <w:spacing w:before="0" w:after="1"/>
              <w:ind w:left="0" w:right="0" w:hanging="0"/>
              <w:jc w:val="left"/>
              <w:rPr>
                <w:rFonts w:ascii="Times New Roman;Times;serif" w:hAnsi="Times New Roman;Times;serif"/>
                <w:i/>
                <w:sz w:val="12"/>
              </w:rPr>
            </w:pPr>
            <w:r>
              <w:rPr>
                <w:rFonts w:ascii="Times New Roman;Times;serif" w:hAnsi="Times New Roman;Times;serif"/>
                <w:i/>
                <w:sz w:val="12"/>
              </w:rPr>
              <w:t>Chief Executive Officer, EchoStar Capital</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2023</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1,000,002</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5,312,980</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759,000</w:t>
            </w:r>
          </w:p>
        </w:tc>
        <w:tc>
          <w:tcPr>
            <w:tcW w:w="109"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118,980</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7,190,962</w:t>
            </w:r>
          </w:p>
        </w:tc>
      </w:tr>
      <w:tr>
        <w:trPr/>
        <w:tc>
          <w:tcPr>
            <w:tcW w:w="8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6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right"/>
              <w:rPr/>
            </w:pPr>
            <w:r>
              <w:rPr/>
              <w:t>​</w:t>
            </w:r>
          </w:p>
        </w:tc>
        <w:tc>
          <w:tcPr>
            <w:tcW w:w="6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6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r>
      <w:tr>
        <w:trPr/>
        <w:tc>
          <w:tcPr>
            <w:tcW w:w="804"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John W. Swieringa</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2025</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1,025,000</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6,365,000</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2,417,170</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365,250</w:t>
            </w:r>
          </w:p>
        </w:tc>
        <w:tc>
          <w:tcPr>
            <w:tcW w:w="109"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7,000</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10,179,420</w:t>
            </w:r>
          </w:p>
        </w:tc>
      </w:tr>
      <w:tr>
        <w:trPr/>
        <w:tc>
          <w:tcPr>
            <w:tcW w:w="804" w:type="dxa"/>
            <w:tcBorders/>
            <w:shd w:fill="CCEEFF" w:val="clear"/>
            <w:vAlign w:val="center"/>
          </w:tcPr>
          <w:p>
            <w:pPr>
              <w:pStyle w:val="TableContents"/>
              <w:bidi w:val="0"/>
              <w:spacing w:before="0" w:after="1"/>
              <w:ind w:left="0" w:right="0" w:hanging="0"/>
              <w:jc w:val="left"/>
              <w:rPr>
                <w:rFonts w:ascii="Times New Roman;Times;serif" w:hAnsi="Times New Roman;Times;serif"/>
                <w:i/>
                <w:sz w:val="12"/>
              </w:rPr>
            </w:pPr>
            <w:r>
              <w:rPr>
                <w:rFonts w:ascii="Times New Roman;Times;serif" w:hAnsi="Times New Roman;Times;serif"/>
                <w:i/>
                <w:sz w:val="12"/>
              </w:rPr>
              <w:t xml:space="preserve">President, Technology and </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2024</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1,000,000</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1,162,800</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1,809,107</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1,000,000</w:t>
            </w:r>
          </w:p>
        </w:tc>
        <w:tc>
          <w:tcPr>
            <w:tcW w:w="109"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5,210</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4,977,117</w:t>
            </w:r>
          </w:p>
        </w:tc>
      </w:tr>
      <w:tr>
        <w:trPr/>
        <w:tc>
          <w:tcPr>
            <w:tcW w:w="804" w:type="dxa"/>
            <w:tcBorders/>
            <w:vAlign w:val="center"/>
          </w:tcPr>
          <w:p>
            <w:pPr>
              <w:pStyle w:val="TableContents"/>
              <w:bidi w:val="0"/>
              <w:spacing w:before="0" w:after="1"/>
              <w:ind w:left="0" w:right="0" w:hanging="0"/>
              <w:jc w:val="left"/>
              <w:rPr>
                <w:rFonts w:ascii="Times New Roman;Times;serif" w:hAnsi="Times New Roman;Times;serif"/>
                <w:i/>
                <w:sz w:val="12"/>
              </w:rPr>
            </w:pPr>
            <w:r>
              <w:rPr>
                <w:rFonts w:ascii="Times New Roman;Times;serif" w:hAnsi="Times New Roman;Times;serif"/>
                <w:i/>
                <w:sz w:val="12"/>
              </w:rPr>
              <w:t>Chief Operating Officer</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right"/>
              <w:rPr/>
            </w:pPr>
            <w:r>
              <w:rPr/>
              <w:t>​</w:t>
            </w:r>
          </w:p>
        </w:tc>
        <w:tc>
          <w:tcPr>
            <w:tcW w:w="6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r>
      <w:tr>
        <w:trPr/>
        <w:tc>
          <w:tcPr>
            <w:tcW w:w="8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6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right"/>
              <w:rPr/>
            </w:pPr>
            <w:r>
              <w:rPr/>
              <w:t>​</w:t>
            </w:r>
          </w:p>
        </w:tc>
        <w:tc>
          <w:tcPr>
            <w:tcW w:w="6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6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r>
      <w:tr>
        <w:trPr/>
        <w:tc>
          <w:tcPr>
            <w:tcW w:w="804"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Paul W. Orban</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2025</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696,154</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3,975,000</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7,520</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4,678,674</w:t>
            </w:r>
          </w:p>
        </w:tc>
      </w:tr>
      <w:tr>
        <w:trPr/>
        <w:tc>
          <w:tcPr>
            <w:tcW w:w="804" w:type="dxa"/>
            <w:tcBorders/>
            <w:shd w:fill="CCEEFF" w:val="clear"/>
            <w:vAlign w:val="center"/>
          </w:tcPr>
          <w:p>
            <w:pPr>
              <w:pStyle w:val="TableContents"/>
              <w:bidi w:val="0"/>
              <w:spacing w:before="0" w:after="1"/>
              <w:ind w:left="0" w:right="0" w:hanging="0"/>
              <w:jc w:val="left"/>
              <w:rPr>
                <w:rFonts w:ascii="Times New Roman;Times;serif" w:hAnsi="Times New Roman;Times;serif"/>
                <w:i/>
                <w:sz w:val="12"/>
              </w:rPr>
            </w:pPr>
            <w:r>
              <w:rPr>
                <w:rFonts w:ascii="Times New Roman;Times;serif" w:hAnsi="Times New Roman;Times;serif"/>
                <w:i/>
                <w:sz w:val="12"/>
              </w:rPr>
              <w:t>Executive Vice President and</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2024</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650,000</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1,012,892</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650,000</w:t>
            </w:r>
          </w:p>
        </w:tc>
        <w:tc>
          <w:tcPr>
            <w:tcW w:w="109"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5,520</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2,318,412</w:t>
            </w:r>
          </w:p>
        </w:tc>
      </w:tr>
      <w:tr>
        <w:trPr/>
        <w:tc>
          <w:tcPr>
            <w:tcW w:w="804" w:type="dxa"/>
            <w:tcBorders/>
            <w:vAlign w:val="center"/>
          </w:tcPr>
          <w:p>
            <w:pPr>
              <w:pStyle w:val="TableContents"/>
              <w:bidi w:val="0"/>
              <w:spacing w:before="0" w:after="1"/>
              <w:ind w:left="0" w:right="0" w:hanging="0"/>
              <w:jc w:val="left"/>
              <w:rPr>
                <w:rFonts w:ascii="Times New Roman;Times;serif" w:hAnsi="Times New Roman;Times;serif"/>
                <w:i/>
                <w:sz w:val="12"/>
              </w:rPr>
            </w:pPr>
            <w:r>
              <w:rPr>
                <w:rFonts w:ascii="Times New Roman;Times;serif" w:hAnsi="Times New Roman;Times;serif"/>
                <w:i/>
                <w:sz w:val="12"/>
              </w:rPr>
              <w:t>Chief Financial Officer, DISH</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right"/>
              <w:rPr/>
            </w:pPr>
            <w:r>
              <w:rPr/>
              <w:t>​</w:t>
            </w:r>
          </w:p>
        </w:tc>
        <w:tc>
          <w:tcPr>
            <w:tcW w:w="610"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w:t>
            </w:r>
          </w:p>
        </w:tc>
      </w:tr>
      <w:tr>
        <w:trPr/>
        <w:tc>
          <w:tcPr>
            <w:tcW w:w="8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6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right"/>
              <w:rPr/>
            </w:pPr>
            <w:r>
              <w:rPr/>
              <w:t>​</w:t>
            </w:r>
          </w:p>
        </w:tc>
        <w:tc>
          <w:tcPr>
            <w:tcW w:w="6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6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r>
      <w:tr>
        <w:trPr/>
        <w:tc>
          <w:tcPr>
            <w:tcW w:w="804"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Dean A. Manson</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2025</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682,089</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604,292</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420,040</w:t>
            </w:r>
          </w:p>
        </w:tc>
        <w:tc>
          <w:tcPr>
            <w:tcW w:w="109"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64,458</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7,520</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1,778,399</w:t>
            </w:r>
          </w:p>
        </w:tc>
      </w:tr>
      <w:tr>
        <w:trPr/>
        <w:tc>
          <w:tcPr>
            <w:tcW w:w="804" w:type="dxa"/>
            <w:tcBorders/>
            <w:shd w:fill="CCEEFF" w:val="clear"/>
            <w:vAlign w:val="center"/>
          </w:tcPr>
          <w:p>
            <w:pPr>
              <w:pStyle w:val="TableContents"/>
              <w:bidi w:val="0"/>
              <w:spacing w:before="0" w:after="1"/>
              <w:ind w:left="0" w:right="0" w:hanging="0"/>
              <w:jc w:val="left"/>
              <w:rPr>
                <w:rFonts w:ascii="Times New Roman;Times;serif" w:hAnsi="Times New Roman;Times;serif"/>
                <w:i/>
                <w:sz w:val="12"/>
              </w:rPr>
            </w:pPr>
            <w:r>
              <w:rPr>
                <w:rFonts w:ascii="Times New Roman;Times;serif" w:hAnsi="Times New Roman;Times;serif"/>
                <w:i/>
                <w:sz w:val="12"/>
              </w:rPr>
              <w:t>Chief Legal Officer and Secretary</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2024</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667,451</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348,020</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483,894</w:t>
            </w:r>
          </w:p>
        </w:tc>
        <w:tc>
          <w:tcPr>
            <w:tcW w:w="109"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69,131</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9,790</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1,578,286</w:t>
            </w:r>
          </w:p>
        </w:tc>
      </w:tr>
      <w:tr>
        <w:trPr/>
        <w:tc>
          <w:tcPr>
            <w:tcW w:w="80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2023</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662,215</w:t>
            </w:r>
          </w:p>
        </w:tc>
        <w:tc>
          <w:tcPr>
            <w:tcW w:w="346"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18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433,836</w:t>
            </w:r>
          </w:p>
        </w:tc>
        <w:tc>
          <w:tcPr>
            <w:tcW w:w="109"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93,090</w:t>
            </w:r>
          </w:p>
        </w:tc>
        <w:tc>
          <w:tcPr>
            <w:tcW w:w="346" w:type="dxa"/>
            <w:tcBorders/>
            <w:vAlign w:val="center"/>
          </w:tcPr>
          <w:p>
            <w:pPr>
              <w:pStyle w:val="TableContents"/>
              <w:bidi w:val="0"/>
              <w:spacing w:before="0" w:after="1"/>
              <w:ind w:left="0" w:right="0" w:hanging="0"/>
              <w:jc w:val="right"/>
              <w:rPr/>
            </w:pPr>
            <w:r>
              <w:rPr/>
              <w:t>​</w:t>
            </w:r>
          </w:p>
        </w:tc>
        <w:tc>
          <w:tcPr>
            <w:tcW w:w="18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14,290</w:t>
            </w:r>
          </w:p>
        </w:tc>
        <w:tc>
          <w:tcPr>
            <w:tcW w:w="346" w:type="dxa"/>
            <w:tcBorders/>
            <w:vAlign w:val="center"/>
          </w:tcPr>
          <w:p>
            <w:pPr>
              <w:pStyle w:val="TableContents"/>
              <w:bidi w:val="0"/>
              <w:spacing w:before="0" w:after="1"/>
              <w:ind w:left="0" w:right="0" w:hanging="0"/>
              <w:jc w:val="righ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1,203,431</w:t>
            </w:r>
          </w:p>
        </w:tc>
      </w:tr>
      <w:tr>
        <w:trPr/>
        <w:tc>
          <w:tcPr>
            <w:tcW w:w="80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6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right"/>
              <w:rPr/>
            </w:pPr>
            <w:r>
              <w:rPr/>
              <w:t>​</w:t>
            </w:r>
          </w:p>
        </w:tc>
        <w:tc>
          <w:tcPr>
            <w:tcW w:w="6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6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r>
      <w:tr>
        <w:trPr/>
        <w:tc>
          <w:tcPr>
            <w:tcW w:w="804"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Paul Gaske</w:t>
            </w:r>
          </w:p>
        </w:tc>
        <w:tc>
          <w:tcPr>
            <w:tcW w:w="346" w:type="dxa"/>
            <w:tcBorders/>
            <w:vAlign w:val="center"/>
          </w:tcPr>
          <w:p>
            <w:pPr>
              <w:pStyle w:val="TableContents"/>
              <w:bidi w:val="0"/>
              <w:spacing w:before="0" w:after="1"/>
              <w:ind w:left="0" w:right="0" w:hanging="0"/>
              <w:jc w:val="left"/>
              <w:rPr/>
            </w:pPr>
            <w:r>
              <w:rPr/>
              <w:t>​</w:t>
            </w:r>
          </w:p>
        </w:tc>
        <w:tc>
          <w:tcPr>
            <w:tcW w:w="376" w:type="dxa"/>
            <w:tcBorders/>
            <w:vAlign w:val="center"/>
          </w:tcPr>
          <w:p>
            <w:pPr>
              <w:pStyle w:val="TableContents"/>
              <w:bidi w:val="0"/>
              <w:spacing w:before="0" w:after="1"/>
              <w:ind w:left="0" w:right="0" w:hanging="0"/>
              <w:jc w:val="center"/>
              <w:rPr>
                <w:rFonts w:ascii="Times New Roman;Times;serif" w:hAnsi="Times New Roman;Times;serif"/>
                <w:sz w:val="12"/>
              </w:rPr>
            </w:pPr>
            <w:r>
              <w:rPr>
                <w:rFonts w:ascii="Times New Roman;Times;serif" w:hAnsi="Times New Roman;Times;serif"/>
                <w:sz w:val="12"/>
              </w:rPr>
              <w:t>2025</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750,006</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604,292</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237,001</w:t>
            </w:r>
          </w:p>
        </w:tc>
        <w:tc>
          <w:tcPr>
            <w:tcW w:w="109" w:type="dxa"/>
            <w:tcBorders/>
            <w:vAlign w:val="center"/>
          </w:tcPr>
          <w:p>
            <w:pPr>
              <w:pStyle w:val="TableContents"/>
              <w:bidi w:val="0"/>
              <w:spacing w:before="0" w:after="1"/>
              <w:ind w:left="0" w:right="0" w:hanging="0"/>
              <w:jc w:val="center"/>
              <w:rPr/>
            </w:pPr>
            <w:r>
              <w:rPr/>
              <w:t>​</w:t>
            </w:r>
          </w:p>
        </w:tc>
        <w:tc>
          <w:tcPr>
            <w:tcW w:w="231"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10"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72,348</w:t>
            </w:r>
          </w:p>
        </w:tc>
        <w:tc>
          <w:tcPr>
            <w:tcW w:w="346" w:type="dxa"/>
            <w:tcBorders/>
            <w:vAlign w:val="center"/>
          </w:tcPr>
          <w:p>
            <w:pPr>
              <w:pStyle w:val="TableContents"/>
              <w:bidi w:val="0"/>
              <w:spacing w:before="0" w:after="1"/>
              <w:ind w:left="0" w:right="0" w:hanging="0"/>
              <w:jc w:val="left"/>
              <w:rPr/>
            </w:pPr>
            <w:r>
              <w:rPr/>
              <w:t>​</w:t>
            </w:r>
          </w:p>
        </w:tc>
        <w:tc>
          <w:tcPr>
            <w:tcW w:w="185"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5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7,416</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1,671,064</w:t>
            </w:r>
          </w:p>
        </w:tc>
      </w:tr>
      <w:tr>
        <w:trPr/>
        <w:tc>
          <w:tcPr>
            <w:tcW w:w="804" w:type="dxa"/>
            <w:tcBorders/>
            <w:shd w:fill="CCEEFF" w:val="clear"/>
            <w:vAlign w:val="center"/>
          </w:tcPr>
          <w:p>
            <w:pPr>
              <w:pStyle w:val="TableContents"/>
              <w:bidi w:val="0"/>
              <w:spacing w:before="0" w:after="1"/>
              <w:ind w:left="0" w:right="0" w:hanging="0"/>
              <w:jc w:val="left"/>
              <w:rPr>
                <w:rFonts w:ascii="Times New Roman;Times;serif" w:hAnsi="Times New Roman;Times;serif"/>
                <w:i/>
                <w:sz w:val="12"/>
              </w:rPr>
            </w:pPr>
            <w:r>
              <w:rPr>
                <w:rFonts w:ascii="Times New Roman;Times;serif" w:hAnsi="Times New Roman;Times;serif"/>
                <w:i/>
                <w:sz w:val="12"/>
              </w:rPr>
              <w:t>Chief Operating Officer, Hughes</w:t>
            </w:r>
          </w:p>
        </w:tc>
        <w:tc>
          <w:tcPr>
            <w:tcW w:w="346" w:type="dxa"/>
            <w:tcBorders/>
            <w:shd w:fill="CCEEFF" w:val="clear"/>
            <w:vAlign w:val="center"/>
          </w:tcPr>
          <w:p>
            <w:pPr>
              <w:pStyle w:val="TableContents"/>
              <w:bidi w:val="0"/>
              <w:spacing w:before="0" w:after="1"/>
              <w:ind w:left="0" w:right="0" w:hanging="0"/>
              <w:jc w:val="left"/>
              <w:rPr/>
            </w:pPr>
            <w:r>
              <w:rPr/>
              <w:t>​</w:t>
            </w:r>
          </w:p>
        </w:tc>
        <w:tc>
          <w:tcPr>
            <w:tcW w:w="37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65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31" w:type="dxa"/>
            <w:tcBorders/>
            <w:shd w:fill="CCEEFF" w:val="clear"/>
            <w:vAlign w:val="center"/>
          </w:tcPr>
          <w:p>
            <w:pPr>
              <w:pStyle w:val="TableContents"/>
              <w:bidi w:val="0"/>
              <w:spacing w:before="0" w:after="1"/>
              <w:ind w:left="0" w:right="0" w:hanging="0"/>
              <w:jc w:val="left"/>
              <w:rPr/>
            </w:pPr>
            <w:r>
              <w:rPr/>
              <w:t>​</w:t>
            </w:r>
          </w:p>
        </w:tc>
        <w:tc>
          <w:tcPr>
            <w:tcW w:w="610"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85" w:type="dxa"/>
            <w:tcBorders/>
            <w:shd w:fill="CCEEFF" w:val="clear"/>
            <w:vAlign w:val="center"/>
          </w:tcPr>
          <w:p>
            <w:pPr>
              <w:pStyle w:val="TableContents"/>
              <w:bidi w:val="0"/>
              <w:spacing w:before="0" w:after="1"/>
              <w:ind w:left="0" w:right="0" w:hanging="0"/>
              <w:jc w:val="left"/>
              <w:rPr/>
            </w:pPr>
            <w:r>
              <w:rPr/>
              <w:t>​</w:t>
            </w:r>
          </w:p>
        </w:tc>
        <w:tc>
          <w:tcPr>
            <w:tcW w:w="65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reported reflect the aggregate grant date fair values in accordance with FASB ASC Topic 718. Assumptions used in the calculation of these amounts are included in Note 14 to the Corporation’s audited financial statements for the fiscal years ended December 31, 2025 included in the Corporation’s Annual Reports on Form 10-K filed with the SEC on March 2, 2026.</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EIP, for 2025, 2024 and 2023, Messrs. Swieringa, Manson and Gaske were eligible to receive, and did receive, short-term cash incentive payments.  For 2025, these short-term cash incentive payments equaled approximately 63.1%, 61.1% and 39.5%, of the respective payout targets under our EIP for Messrs. Swieringa, Manson and Gaske.  For 2024, these short-term cash incentive payments equaled approximately 80.0% and 72.5%, of the respective payout targets under our EIP for Messrs. Akhavan and Manson.  For 2023, these short-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 cash incentive payments equaled approximately 75.9% and 65%, of the respective payout targets under our EIP for Messrs. Akhavan and Manson.  </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earnings under our Nonqualified Plan are dependent on the investment decisions made by the executive.  All earnings are market earnings, and none are preferential or set by the Corporation.</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10"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All Other Compensation” for all of the NEOs includes amounts contributed pursuant to our 401(k) matching program, our health savings account program, imputed income related to group term life insurance and our profit sharing program.  Mr. Akhavan’s “All Other Compensation” for 2024, and 2023 also includes $77,708 and $104,000, respectively, for Housing Allowance and Relocation Expenses. Mr. Akhavan’s “All Other Compensation” also includes personal use of corporate aircraft during the year ended December 31, 2025.  We calculated the value of personal use of corporate aircraft based upon the incremental cost of such usage to the Corporation.</w:t>
            </w:r>
          </w:p>
        </w:tc>
      </w:tr>
    </w:tbl>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Ergen’s “All Other Compensation” for 2025 also includes amounts for tax preparation services and $3,424,213 for Mr. Ergen’s personal use (and on certain occasions for the personal use by members of his family and other guests) of corporate aircraft during the year ended December 31, 2025. We calculated the value of personal use of corporate aircraft based upon the incremental cost of such usage to the Corporation.</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8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Akhavan was appointed as Chief Executive Officer of the newly formed EchoStar Capital (a division of EchoStar) effective November 6, 2025, and Mr. Ergen succeeded Mr. Akhavan as President and Chief Executive Officer of EchoStar Corporation.  </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Grants of Plan-Based Awards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provides information on 2025 awards granted to our NEOs.</w:t>
      </w:r>
    </w:p>
    <w:p>
      <w:pPr>
        <w:pStyle w:val="TextBody"/>
        <w:bidi w:val="0"/>
        <w:spacing w:before="0" w:after="240"/>
        <w:ind w:left="0" w:right="0" w:hanging="0"/>
        <w:jc w:val="both"/>
        <w:rPr/>
      </w:pPr>
      <w:r>
        <w:rPr/>
        <w:t>​</w:t>
      </w:r>
    </w:p>
    <w:tbl>
      <w:tblPr>
        <w:tblW w:w="12208" w:type="dxa"/>
        <w:jc w:val="left"/>
        <w:tblInd w:w="0" w:type="dxa"/>
        <w:tblLayout w:type="fixed"/>
        <w:tblCellMar>
          <w:top w:w="0" w:type="dxa"/>
          <w:left w:w="0" w:type="dxa"/>
          <w:bottom w:w="0" w:type="dxa"/>
          <w:right w:w="0" w:type="dxa"/>
        </w:tblCellMar>
      </w:tblPr>
      <w:tblGrid>
        <w:gridCol w:w="616"/>
        <w:gridCol w:w="346"/>
        <w:gridCol w:w="421"/>
        <w:gridCol w:w="346"/>
        <w:gridCol w:w="841"/>
        <w:gridCol w:w="346"/>
        <w:gridCol w:w="199"/>
        <w:gridCol w:w="417"/>
        <w:gridCol w:w="346"/>
        <w:gridCol w:w="166"/>
        <w:gridCol w:w="346"/>
        <w:gridCol w:w="346"/>
        <w:gridCol w:w="166"/>
        <w:gridCol w:w="586"/>
        <w:gridCol w:w="346"/>
        <w:gridCol w:w="616"/>
        <w:gridCol w:w="346"/>
        <w:gridCol w:w="466"/>
        <w:gridCol w:w="346"/>
        <w:gridCol w:w="646"/>
        <w:gridCol w:w="346"/>
        <w:gridCol w:w="541"/>
        <w:gridCol w:w="346"/>
        <w:gridCol w:w="676"/>
        <w:gridCol w:w="346"/>
        <w:gridCol w:w="170"/>
        <w:gridCol w:w="386"/>
        <w:gridCol w:w="346"/>
        <w:gridCol w:w="166"/>
        <w:gridCol w:w="631"/>
      </w:tblGrid>
      <w:tr>
        <w:trPr/>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91160" cy="175260"/>
                      <wp:effectExtent l="0" t="0" r="0" b="0"/>
                      <wp:wrapNone/>
                      <wp:docPr id="164" name="Frame157"/>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5"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67335" cy="175260"/>
                      <wp:effectExtent l="0" t="0" r="0" b="0"/>
                      <wp:wrapNone/>
                      <wp:docPr id="166" name="Frame15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67"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534035" cy="175260"/>
                      <wp:effectExtent l="0" t="0" r="0" b="0"/>
                      <wp:wrapNone/>
                      <wp:docPr id="168" name="Frame16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69"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126365" cy="175260"/>
                      <wp:effectExtent l="0" t="0" r="0" b="0"/>
                      <wp:wrapNone/>
                      <wp:docPr id="170" name="Frame163"/>
                      <a:graphic xmlns:a="http://schemas.openxmlformats.org/drawingml/2006/main">
                        <a:graphicData uri="http://schemas.microsoft.com/office/word/2010/wordprocessingShape">
                          <wps:wsp>
                            <wps:cNvSpPr txBox="1"/>
                            <wps:spPr>
                              <a:xfrm>
                                <a:off x="0" y="0"/>
                                <a:ext cx="126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64795" cy="175260"/>
                      <wp:effectExtent l="0" t="0" r="0" b="0"/>
                      <wp:wrapNone/>
                      <wp:docPr id="171" name="Frame164"/>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2"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05410" cy="175260"/>
                      <wp:effectExtent l="0" t="0" r="0" b="0"/>
                      <wp:wrapNone/>
                      <wp:docPr id="173" name="Frame166"/>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4"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5"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05410" cy="175260"/>
                      <wp:effectExtent l="0" t="0" r="0" b="0"/>
                      <wp:wrapNone/>
                      <wp:docPr id="176" name="Frame169"/>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372110" cy="175260"/>
                      <wp:effectExtent l="0" t="0" r="0" b="0"/>
                      <wp:wrapNone/>
                      <wp:docPr id="177" name="Frame170"/>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19710" cy="175260"/>
                      <wp:effectExtent l="0" t="0" r="0" b="0"/>
                      <wp:wrapNone/>
                      <wp:docPr id="178"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391160" cy="175260"/>
                      <wp:effectExtent l="0" t="0" r="0" b="0"/>
                      <wp:wrapNone/>
                      <wp:docPr id="179" name="Frame17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0"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95910" cy="175260"/>
                      <wp:effectExtent l="0" t="0" r="0" b="0"/>
                      <wp:wrapNone/>
                      <wp:docPr id="181" name="Frame17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2"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10210" cy="175260"/>
                      <wp:effectExtent l="0" t="0" r="0" b="0"/>
                      <wp:wrapNone/>
                      <wp:docPr id="183" name="Frame176"/>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4" name="Frame1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343535" cy="175260"/>
                      <wp:effectExtent l="0" t="0" r="0" b="0"/>
                      <wp:wrapNone/>
                      <wp:docPr id="185" name="Frame17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6"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29260" cy="175260"/>
                      <wp:effectExtent l="0" t="0" r="0" b="0"/>
                      <wp:wrapNone/>
                      <wp:docPr id="187" name="Frame18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88"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07950" cy="175260"/>
                      <wp:effectExtent l="0" t="0" r="0" b="0"/>
                      <wp:wrapNone/>
                      <wp:docPr id="189" name="Frame182"/>
                      <a:graphic xmlns:a="http://schemas.openxmlformats.org/drawingml/2006/main">
                        <a:graphicData uri="http://schemas.microsoft.com/office/word/2010/wordprocessingShape">
                          <wps:wsp>
                            <wps:cNvSpPr txBox="1"/>
                            <wps:spPr>
                              <a:xfrm>
                                <a:off x="0" y="0"/>
                                <a:ext cx="107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45110" cy="175260"/>
                      <wp:effectExtent l="0" t="0" r="0" b="0"/>
                      <wp:wrapNone/>
                      <wp:docPr id="190" name="Frame183"/>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1" name="Frame1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05410" cy="175260"/>
                      <wp:effectExtent l="0" t="0" r="0" b="0"/>
                      <wp:wrapNone/>
                      <wp:docPr id="192" name="Frame185"/>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00685" cy="175260"/>
                      <wp:effectExtent l="0" t="0" r="0" b="0"/>
                      <wp:wrapNone/>
                      <wp:docPr id="193" name="Frame186"/>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420" w:type="dxa"/>
            <w:gridSpan w:val="5"/>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Estimated Future Payouts</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All Other</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All Other</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left"/>
              <w:rPr/>
            </w:pPr>
            <w:r>
              <w:rPr/>
              <w:t>​</w:t>
            </w:r>
          </w:p>
        </w:tc>
      </w:tr>
      <w:tr>
        <w:trPr/>
        <w:tc>
          <w:tcPr>
            <w:tcW w:w="6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572" w:type="dxa"/>
            <w:gridSpan w:val="8"/>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Estimated Future Payouts Under Non-Equity</w:t>
            </w:r>
          </w:p>
        </w:tc>
        <w:tc>
          <w:tcPr>
            <w:tcW w:w="346" w:type="dxa"/>
            <w:tcBorders/>
            <w:vAlign w:val="center"/>
          </w:tcPr>
          <w:p>
            <w:pPr>
              <w:pStyle w:val="TableContents"/>
              <w:bidi w:val="0"/>
              <w:spacing w:before="0" w:after="1"/>
              <w:ind w:left="0" w:right="0" w:hanging="0"/>
              <w:jc w:val="left"/>
              <w:rPr/>
            </w:pPr>
            <w:r>
              <w:rPr/>
              <w:t>​</w:t>
            </w:r>
          </w:p>
        </w:tc>
        <w:tc>
          <w:tcPr>
            <w:tcW w:w="2420" w:type="dxa"/>
            <w:gridSpan w:val="5"/>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Under Equity Incentive Plan</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Stock</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Option</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center"/>
              <w:rPr/>
            </w:pPr>
            <w:r>
              <w:rPr/>
              <w:t>​</w:t>
            </w:r>
          </w:p>
        </w:tc>
      </w:tr>
      <w:tr>
        <w:trPr/>
        <w:tc>
          <w:tcPr>
            <w:tcW w:w="6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57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Incentive Plan Awards</w:t>
            </w:r>
          </w:p>
        </w:tc>
        <w:tc>
          <w:tcPr>
            <w:tcW w:w="346" w:type="dxa"/>
            <w:tcBorders/>
            <w:vAlign w:val="center"/>
          </w:tcPr>
          <w:p>
            <w:pPr>
              <w:pStyle w:val="TableContents"/>
              <w:bidi w:val="0"/>
              <w:spacing w:before="0" w:after="1"/>
              <w:ind w:left="0" w:right="0" w:hanging="0"/>
              <w:jc w:val="left"/>
              <w:rPr/>
            </w:pPr>
            <w:r>
              <w:rPr/>
              <w:t>​</w:t>
            </w:r>
          </w:p>
        </w:tc>
        <w:tc>
          <w:tcPr>
            <w:tcW w:w="24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Awards</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Awards:</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Awards:</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center"/>
              <w:rPr/>
            </w:pPr>
            <w:r>
              <w:rPr/>
              <w:t>​</w:t>
            </w:r>
          </w:p>
        </w:tc>
      </w:tr>
      <w:tr>
        <w:trPr/>
        <w:tc>
          <w:tcPr>
            <w:tcW w:w="6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55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Exercise</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center"/>
              <w:rPr/>
            </w:pPr>
            <w:r>
              <w:rPr/>
              <w:t>​</w:t>
            </w:r>
          </w:p>
        </w:tc>
      </w:tr>
      <w:tr>
        <w:trPr/>
        <w:tc>
          <w:tcPr>
            <w:tcW w:w="6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46" w:type="dxa"/>
            <w:tcBorders/>
            <w:vAlign w:val="center"/>
          </w:tcPr>
          <w:p>
            <w:pPr>
              <w:pStyle w:val="TableContents"/>
              <w:bidi w:val="0"/>
              <w:spacing w:before="0" w:after="1"/>
              <w:ind w:left="0" w:right="0" w:hanging="0"/>
              <w:jc w:val="left"/>
              <w:rPr/>
            </w:pPr>
            <w:r>
              <w:rPr/>
              <w:t>​</w:t>
            </w:r>
          </w:p>
        </w:tc>
        <w:tc>
          <w:tcPr>
            <w:tcW w:w="55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or Base</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Grant Date</w:t>
            </w:r>
          </w:p>
        </w:tc>
      </w:tr>
      <w:tr>
        <w:trPr/>
        <w:tc>
          <w:tcPr>
            <w:tcW w:w="6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 xml:space="preserve">Date of </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of Shares</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Securities</w:t>
            </w:r>
          </w:p>
        </w:tc>
        <w:tc>
          <w:tcPr>
            <w:tcW w:w="346" w:type="dxa"/>
            <w:tcBorders/>
            <w:vAlign w:val="center"/>
          </w:tcPr>
          <w:p>
            <w:pPr>
              <w:pStyle w:val="TableContents"/>
              <w:bidi w:val="0"/>
              <w:spacing w:before="0" w:after="1"/>
              <w:ind w:left="0" w:right="0" w:hanging="0"/>
              <w:jc w:val="left"/>
              <w:rPr/>
            </w:pPr>
            <w:r>
              <w:rPr/>
              <w:t>​</w:t>
            </w:r>
          </w:p>
        </w:tc>
        <w:tc>
          <w:tcPr>
            <w:tcW w:w="55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Price of</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Fair Value of</w:t>
            </w:r>
          </w:p>
        </w:tc>
      </w:tr>
      <w:tr>
        <w:trPr/>
        <w:tc>
          <w:tcPr>
            <w:tcW w:w="6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Compensation</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of Stock</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Underlying</w:t>
            </w:r>
          </w:p>
        </w:tc>
        <w:tc>
          <w:tcPr>
            <w:tcW w:w="346" w:type="dxa"/>
            <w:tcBorders/>
            <w:vAlign w:val="center"/>
          </w:tcPr>
          <w:p>
            <w:pPr>
              <w:pStyle w:val="TableContents"/>
              <w:bidi w:val="0"/>
              <w:spacing w:before="0" w:after="1"/>
              <w:ind w:left="0" w:right="0" w:hanging="0"/>
              <w:jc w:val="left"/>
              <w:rPr/>
            </w:pPr>
            <w:r>
              <w:rPr/>
              <w:t>​</w:t>
            </w:r>
          </w:p>
        </w:tc>
        <w:tc>
          <w:tcPr>
            <w:tcW w:w="55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Option</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Stock and</w:t>
            </w:r>
          </w:p>
        </w:tc>
      </w:tr>
      <w:tr>
        <w:trPr/>
        <w:tc>
          <w:tcPr>
            <w:tcW w:w="6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Committee</w:t>
            </w:r>
          </w:p>
        </w:tc>
        <w:tc>
          <w:tcPr>
            <w:tcW w:w="346" w:type="dxa"/>
            <w:tcBorders/>
            <w:vAlign w:val="center"/>
          </w:tcPr>
          <w:p>
            <w:pPr>
              <w:pStyle w:val="TableContents"/>
              <w:bidi w:val="0"/>
              <w:spacing w:before="0" w:after="1"/>
              <w:ind w:left="0" w:right="0" w:hanging="0"/>
              <w:jc w:val="left"/>
              <w:rPr/>
            </w:pPr>
            <w:r>
              <w:rPr/>
              <w:t>​</w:t>
            </w:r>
          </w:p>
        </w:tc>
        <w:tc>
          <w:tcPr>
            <w:tcW w:w="61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Threshold</w:t>
            </w:r>
          </w:p>
        </w:tc>
        <w:tc>
          <w:tcPr>
            <w:tcW w:w="346" w:type="dxa"/>
            <w:tcBorders/>
            <w:vAlign w:val="center"/>
          </w:tcPr>
          <w:p>
            <w:pPr>
              <w:pStyle w:val="TableContents"/>
              <w:bidi w:val="0"/>
              <w:spacing w:before="0" w:after="1"/>
              <w:ind w:left="0" w:right="0" w:hanging="0"/>
              <w:jc w:val="left"/>
              <w:rPr/>
            </w:pPr>
            <w:r>
              <w:rPr/>
              <w:t>​</w:t>
            </w:r>
          </w:p>
        </w:tc>
        <w:tc>
          <w:tcPr>
            <w:tcW w:w="51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Target</w:t>
            </w:r>
          </w:p>
        </w:tc>
        <w:tc>
          <w:tcPr>
            <w:tcW w:w="346" w:type="dxa"/>
            <w:tcBorders/>
            <w:vAlign w:val="center"/>
          </w:tcPr>
          <w:p>
            <w:pPr>
              <w:pStyle w:val="TableContents"/>
              <w:bidi w:val="0"/>
              <w:spacing w:before="0" w:after="1"/>
              <w:ind w:left="0" w:right="0" w:hanging="0"/>
              <w:jc w:val="left"/>
              <w:rPr/>
            </w:pPr>
            <w:r>
              <w:rPr/>
              <w:t>​</w:t>
            </w:r>
          </w:p>
        </w:tc>
        <w:tc>
          <w:tcPr>
            <w:tcW w:w="75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Maximum</w:t>
            </w:r>
          </w:p>
        </w:tc>
        <w:tc>
          <w:tcPr>
            <w:tcW w:w="34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Threshold</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Target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Maximum</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or Units</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Options</w:t>
            </w:r>
          </w:p>
        </w:tc>
        <w:tc>
          <w:tcPr>
            <w:tcW w:w="346" w:type="dxa"/>
            <w:tcBorders/>
            <w:vAlign w:val="center"/>
          </w:tcPr>
          <w:p>
            <w:pPr>
              <w:pStyle w:val="TableContents"/>
              <w:bidi w:val="0"/>
              <w:spacing w:before="0" w:after="1"/>
              <w:ind w:left="0" w:right="0" w:hanging="0"/>
              <w:jc w:val="left"/>
              <w:rPr/>
            </w:pPr>
            <w:r>
              <w:rPr/>
              <w:t>​</w:t>
            </w:r>
          </w:p>
        </w:tc>
        <w:tc>
          <w:tcPr>
            <w:tcW w:w="556"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Awards</w:t>
            </w:r>
          </w:p>
        </w:tc>
        <w:tc>
          <w:tcPr>
            <w:tcW w:w="346" w:type="dxa"/>
            <w:tcBorders/>
            <w:vAlign w:val="center"/>
          </w:tcPr>
          <w:p>
            <w:pPr>
              <w:pStyle w:val="TableContents"/>
              <w:bidi w:val="0"/>
              <w:spacing w:before="0" w:after="1"/>
              <w:ind w:left="0" w:right="0" w:hanging="0"/>
              <w:jc w:val="left"/>
              <w:rPr/>
            </w:pPr>
            <w:r>
              <w:rPr/>
              <w:t>​</w:t>
            </w:r>
          </w:p>
        </w:tc>
        <w:tc>
          <w:tcPr>
            <w:tcW w:w="797"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Option</w:t>
            </w:r>
          </w:p>
        </w:tc>
      </w:tr>
      <w:tr>
        <w:trPr/>
        <w:tc>
          <w:tcPr>
            <w:tcW w:w="6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Name</w:t>
            </w:r>
          </w:p>
        </w:tc>
        <w:tc>
          <w:tcPr>
            <w:tcW w:w="346" w:type="dxa"/>
            <w:tcBorders/>
            <w:vAlign w:val="center"/>
          </w:tcPr>
          <w:p>
            <w:pPr>
              <w:pStyle w:val="TableContents"/>
              <w:bidi w:val="0"/>
              <w:spacing w:before="0" w:after="1"/>
              <w:ind w:left="0" w:right="0" w:hanging="0"/>
              <w:jc w:val="left"/>
              <w:rPr/>
            </w:pPr>
            <w:r>
              <w:rPr/>
              <w:t>  ​ ​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Grant Date</w:t>
            </w:r>
          </w:p>
        </w:tc>
        <w:tc>
          <w:tcPr>
            <w:tcW w:w="346" w:type="dxa"/>
            <w:tcBorders/>
            <w:vAlign w:val="center"/>
          </w:tcPr>
          <w:p>
            <w:pPr>
              <w:pStyle w:val="TableContents"/>
              <w:bidi w:val="0"/>
              <w:spacing w:before="0" w:after="1"/>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Approval</w:t>
            </w:r>
          </w:p>
        </w:tc>
        <w:tc>
          <w:tcPr>
            <w:tcW w:w="346" w:type="dxa"/>
            <w:tcBorders/>
            <w:vAlign w:val="center"/>
          </w:tcPr>
          <w:p>
            <w:pPr>
              <w:pStyle w:val="TableContents"/>
              <w:bidi w:val="0"/>
              <w:spacing w:before="0" w:after="1"/>
              <w:ind w:left="0" w:right="0" w:hanging="0"/>
              <w:jc w:val="left"/>
              <w:rPr/>
            </w:pPr>
            <w:r>
              <w:rPr/>
              <w:t>  ​ ​ ​</w:t>
            </w:r>
          </w:p>
        </w:tc>
        <w:tc>
          <w:tcPr>
            <w:tcW w:w="6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 (2)</w:t>
            </w:r>
          </w:p>
        </w:tc>
        <w:tc>
          <w:tcPr>
            <w:tcW w:w="346" w:type="dxa"/>
            <w:tcBorders/>
            <w:vAlign w:val="center"/>
          </w:tcPr>
          <w:p>
            <w:pPr>
              <w:pStyle w:val="TableContents"/>
              <w:bidi w:val="0"/>
              <w:spacing w:before="0" w:after="1"/>
              <w:ind w:left="0" w:right="0" w:hanging="0"/>
              <w:jc w:val="left"/>
              <w:rPr/>
            </w:pPr>
            <w:r>
              <w:rPr/>
              <w:t>  ​ ​ ​</w:t>
            </w:r>
          </w:p>
        </w:tc>
        <w:tc>
          <w:tcPr>
            <w:tcW w:w="5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 (2)</w:t>
            </w:r>
          </w:p>
        </w:tc>
        <w:tc>
          <w:tcPr>
            <w:tcW w:w="346" w:type="dxa"/>
            <w:tcBorders/>
            <w:vAlign w:val="center"/>
          </w:tcPr>
          <w:p>
            <w:pPr>
              <w:pStyle w:val="TableContents"/>
              <w:bidi w:val="0"/>
              <w:spacing w:before="0" w:after="1"/>
              <w:ind w:left="0" w:right="0" w:hanging="0"/>
              <w:jc w:val="left"/>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 (2)</w:t>
            </w:r>
          </w:p>
        </w:tc>
        <w:tc>
          <w:tcPr>
            <w:tcW w:w="346" w:type="dxa"/>
            <w:tcBorders/>
            <w:vAlign w:val="center"/>
          </w:tcPr>
          <w:p>
            <w:pPr>
              <w:pStyle w:val="TableContents"/>
              <w:bidi w:val="0"/>
              <w:spacing w:before="0" w:after="1"/>
              <w:ind w:left="0" w:right="0" w:hanging="0"/>
              <w:jc w:val="left"/>
              <w:rPr/>
            </w:pPr>
            <w:r>
              <w:rPr/>
              <w:t>  ​ ​ ​</w:t>
            </w:r>
          </w:p>
        </w:tc>
        <w:tc>
          <w:tcPr>
            <w:tcW w:w="6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1"/>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1"/>
              <w:ind w:left="0" w:right="0" w:hanging="0"/>
              <w:jc w:val="left"/>
              <w:rPr/>
            </w:pPr>
            <w:r>
              <w:rPr/>
              <w:t>  ​ ​ ​</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1"/>
              <w:ind w:left="0" w:right="0" w:hanging="0"/>
              <w:jc w:val="left"/>
              <w:rPr/>
            </w:pPr>
            <w:r>
              <w:rPr/>
              <w:t>  ​ ​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1"/>
              <w:ind w:left="0" w:right="0" w:hanging="0"/>
              <w:jc w:val="left"/>
              <w:rPr/>
            </w:pPr>
            <w:r>
              <w:rPr/>
              <w:t>  ​ ​ ​</w:t>
            </w:r>
          </w:p>
        </w:tc>
        <w:tc>
          <w:tcPr>
            <w:tcW w:w="5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w:t>
            </w:r>
          </w:p>
        </w:tc>
        <w:tc>
          <w:tcPr>
            <w:tcW w:w="346" w:type="dxa"/>
            <w:tcBorders/>
            <w:vAlign w:val="center"/>
          </w:tcPr>
          <w:p>
            <w:pPr>
              <w:pStyle w:val="TableContents"/>
              <w:bidi w:val="0"/>
              <w:spacing w:before="0" w:after="1"/>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Awards (3)</w:t>
            </w:r>
          </w:p>
        </w:tc>
      </w:tr>
      <w:tr>
        <w:trPr/>
        <w:tc>
          <w:tcPr>
            <w:tcW w:w="61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Charles W. Ergen</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04/01/2025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(1)</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02/20/2025</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87</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2,000</w:t>
            </w:r>
          </w:p>
        </w:tc>
      </w:tr>
      <w:tr>
        <w:trPr/>
        <w:tc>
          <w:tcPr>
            <w:tcW w:w="6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61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Hamid Akhavan</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01/01/2025</w:t>
            </w:r>
          </w:p>
        </w:tc>
        <w:tc>
          <w:tcPr>
            <w:tcW w:w="346" w:type="dxa"/>
            <w:tcBorders/>
            <w:shd w:fill="CCEEFF" w:val="clear"/>
            <w:vAlign w:val="center"/>
          </w:tcPr>
          <w:p>
            <w:pPr>
              <w:pStyle w:val="TableContents"/>
              <w:bidi w:val="0"/>
              <w:spacing w:before="0" w:after="1"/>
              <w:ind w:left="0" w:right="0" w:hanging="0"/>
              <w:jc w:val="center"/>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08/07/2023</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263,158</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6,026,318</w:t>
            </w:r>
          </w:p>
        </w:tc>
      </w:tr>
      <w:tr>
        <w:trPr/>
        <w:tc>
          <w:tcPr>
            <w:tcW w:w="6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04/01/2025</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(1)</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02/20/2025</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87</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2,000</w:t>
            </w:r>
          </w:p>
        </w:tc>
      </w:tr>
      <w:tr>
        <w:trPr/>
        <w:tc>
          <w:tcPr>
            <w:tcW w:w="6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05/01/2025</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05/01/2025</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2,500,000</w:t>
            </w:r>
          </w:p>
        </w:tc>
        <w:tc>
          <w:tcPr>
            <w:tcW w:w="34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1" w:type="dxa"/>
            <w:tcBorders/>
            <w:shd w:fill="CCEEFF" w:val="clear"/>
            <w:vAlign w:val="center"/>
          </w:tcPr>
          <w:p>
            <w:pPr>
              <w:pStyle w:val="TableContents"/>
              <w:bidi w:val="0"/>
              <w:spacing w:before="0" w:after="1"/>
              <w:ind w:left="0" w:right="0" w:hanging="0"/>
              <w:jc w:val="right"/>
              <w:rPr/>
            </w:pPr>
            <w:r>
              <w:rPr/>
              <w:t>—</w:t>
            </w:r>
          </w:p>
        </w:tc>
      </w:tr>
      <w:tr>
        <w:trPr/>
        <w:tc>
          <w:tcPr>
            <w:tcW w:w="6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61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John W. Swieringa</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04/01/2025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(1)</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02/20/2025</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87</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2,000</w:t>
            </w:r>
          </w:p>
        </w:tc>
      </w:tr>
      <w:tr>
        <w:trPr/>
        <w:tc>
          <w:tcPr>
            <w:tcW w:w="6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05/01/2025</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05/01/2025</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207,500</w:t>
            </w:r>
          </w:p>
        </w:tc>
        <w:tc>
          <w:tcPr>
            <w:tcW w:w="34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1" w:type="dxa"/>
            <w:tcBorders/>
            <w:vAlign w:val="center"/>
          </w:tcPr>
          <w:p>
            <w:pPr>
              <w:pStyle w:val="TableContents"/>
              <w:bidi w:val="0"/>
              <w:spacing w:before="0" w:after="1"/>
              <w:ind w:left="0" w:right="0" w:hanging="0"/>
              <w:jc w:val="right"/>
              <w:rPr/>
            </w:pPr>
            <w:r>
              <w:rPr/>
              <w:t>—</w:t>
            </w:r>
          </w:p>
        </w:tc>
      </w:tr>
      <w:tr>
        <w:trPr/>
        <w:tc>
          <w:tcPr>
            <w:tcW w:w="6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06/26/2025</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06/26/2025</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250,000</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6,365,000</w:t>
            </w:r>
          </w:p>
        </w:tc>
      </w:tr>
      <w:tr>
        <w:trPr/>
        <w:tc>
          <w:tcPr>
            <w:tcW w:w="6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10/01/2025</w:t>
            </w:r>
          </w:p>
        </w:tc>
        <w:tc>
          <w:tcPr>
            <w:tcW w:w="34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06/26/2025</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60,000</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79.50</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2,417,170</w:t>
            </w:r>
          </w:p>
        </w:tc>
      </w:tr>
      <w:tr>
        <w:trPr/>
        <w:tc>
          <w:tcPr>
            <w:tcW w:w="6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pPr>
            <w:r>
              <w:rPr/>
              <w:t>​</w:t>
            </w:r>
          </w:p>
        </w:tc>
        <w:tc>
          <w:tcPr>
            <w:tcW w:w="3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631" w:type="dxa"/>
            <w:tcBorders/>
            <w:shd w:fill="CCEEFF" w:val="clear"/>
            <w:vAlign w:val="center"/>
          </w:tcPr>
          <w:p>
            <w:pPr>
              <w:pStyle w:val="TableContents"/>
              <w:bidi w:val="0"/>
              <w:spacing w:before="0" w:after="1"/>
              <w:ind w:left="0" w:right="0" w:hanging="0"/>
              <w:jc w:val="right"/>
              <w:rPr/>
            </w:pPr>
            <w:r>
              <w:rPr/>
              <w:t>​</w:t>
            </w:r>
          </w:p>
        </w:tc>
      </w:tr>
      <w:tr>
        <w:trPr/>
        <w:tc>
          <w:tcPr>
            <w:tcW w:w="61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Paul W. Orban</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04/01/2025</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(1)</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02/20/2025</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center"/>
              <w:rPr/>
            </w:pPr>
            <w:r>
              <w:rPr/>
              <w:t>​</w:t>
            </w:r>
          </w:p>
        </w:tc>
        <w:tc>
          <w:tcPr>
            <w:tcW w:w="6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87</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2,000</w:t>
            </w:r>
          </w:p>
        </w:tc>
      </w:tr>
      <w:tr>
        <w:trPr/>
        <w:tc>
          <w:tcPr>
            <w:tcW w:w="6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10/01/2025</w:t>
            </w:r>
          </w:p>
        </w:tc>
        <w:tc>
          <w:tcPr>
            <w:tcW w:w="346" w:type="dxa"/>
            <w:tcBorders/>
            <w:shd w:fill="CCEEFF" w:val="clear"/>
            <w:vAlign w:val="center"/>
          </w:tcPr>
          <w:p>
            <w:pPr>
              <w:pStyle w:val="TableContents"/>
              <w:bidi w:val="0"/>
              <w:spacing w:before="0" w:after="1"/>
              <w:ind w:left="0" w:right="0" w:hanging="0"/>
              <w:jc w:val="center"/>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06/26/2025</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50,000</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3,975,000</w:t>
            </w:r>
          </w:p>
        </w:tc>
      </w:tr>
      <w:tr>
        <w:trPr/>
        <w:tc>
          <w:tcPr>
            <w:tcW w:w="6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61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Dean A. Manson</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04/01/2025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(1)</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02/20/2025</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87</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2,000</w:t>
            </w:r>
          </w:p>
        </w:tc>
      </w:tr>
      <w:tr>
        <w:trPr/>
        <w:tc>
          <w:tcPr>
            <w:tcW w:w="6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05/01/2025</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05/01/2025</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687,463</w:t>
            </w:r>
          </w:p>
        </w:tc>
        <w:tc>
          <w:tcPr>
            <w:tcW w:w="34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1" w:type="dxa"/>
            <w:tcBorders/>
            <w:vAlign w:val="center"/>
          </w:tcPr>
          <w:p>
            <w:pPr>
              <w:pStyle w:val="TableContents"/>
              <w:bidi w:val="0"/>
              <w:spacing w:before="0" w:after="1"/>
              <w:ind w:left="0" w:right="0" w:hanging="0"/>
              <w:jc w:val="right"/>
              <w:rPr/>
            </w:pPr>
            <w:r>
              <w:rPr/>
              <w:t>—</w:t>
            </w:r>
          </w:p>
        </w:tc>
      </w:tr>
      <w:tr>
        <w:trPr/>
        <w:tc>
          <w:tcPr>
            <w:tcW w:w="6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10/01/2025</w:t>
            </w:r>
          </w:p>
        </w:tc>
        <w:tc>
          <w:tcPr>
            <w:tcW w:w="346" w:type="dxa"/>
            <w:tcBorders/>
            <w:shd w:fill="CCEEFF" w:val="clear"/>
            <w:vAlign w:val="center"/>
          </w:tcPr>
          <w:p>
            <w:pPr>
              <w:pStyle w:val="TableContents"/>
              <w:bidi w:val="0"/>
              <w:spacing w:before="0" w:after="1"/>
              <w:ind w:left="0" w:right="0" w:hanging="0"/>
              <w:jc w:val="center"/>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09/25/2025</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61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15,000</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79.50</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604,292</w:t>
            </w:r>
          </w:p>
        </w:tc>
      </w:tr>
      <w:tr>
        <w:trPr/>
        <w:tc>
          <w:tcPr>
            <w:tcW w:w="6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631" w:type="dxa"/>
            <w:tcBorders/>
            <w:vAlign w:val="center"/>
          </w:tcPr>
          <w:p>
            <w:pPr>
              <w:pStyle w:val="TableContents"/>
              <w:bidi w:val="0"/>
              <w:spacing w:before="0" w:after="1"/>
              <w:ind w:left="0" w:right="0" w:hanging="0"/>
              <w:jc w:val="right"/>
              <w:rPr/>
            </w:pPr>
            <w:r>
              <w:rPr/>
              <w:t>​</w:t>
            </w:r>
          </w:p>
        </w:tc>
      </w:tr>
      <w:tr>
        <w:trPr/>
        <w:tc>
          <w:tcPr>
            <w:tcW w:w="61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Paul Gaske</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04/01/2025</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12"/>
              </w:rPr>
            </w:pPr>
            <w:r>
              <w:rPr>
                <w:rFonts w:ascii="Times New Roman;Times;serif" w:hAnsi="Times New Roman;Times;serif"/>
                <w:b/>
                <w:sz w:val="12"/>
              </w:rPr>
              <w:t>(1)</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02/20/2025</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87</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2,000</w:t>
            </w:r>
          </w:p>
        </w:tc>
      </w:tr>
      <w:tr>
        <w:trPr/>
        <w:tc>
          <w:tcPr>
            <w:tcW w:w="6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05/01/2025</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05/01/2025</w:t>
            </w:r>
          </w:p>
        </w:tc>
        <w:tc>
          <w:tcPr>
            <w:tcW w:w="346" w:type="dxa"/>
            <w:tcBorders/>
            <w:vAlign w:val="center"/>
          </w:tcPr>
          <w:p>
            <w:pPr>
              <w:pStyle w:val="TableContents"/>
              <w:bidi w:val="0"/>
              <w:spacing w:before="0" w:after="1"/>
              <w:ind w:left="0" w:right="0" w:hanging="0"/>
              <w:jc w:val="left"/>
              <w:rPr/>
            </w:pPr>
            <w:r>
              <w:rPr/>
              <w:t>​</w:t>
            </w:r>
          </w:p>
        </w:tc>
        <w:tc>
          <w:tcPr>
            <w:tcW w:w="199"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1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600,002</w:t>
            </w:r>
          </w:p>
        </w:tc>
        <w:tc>
          <w:tcPr>
            <w:tcW w:w="346" w:type="dxa"/>
            <w:tcBorders/>
            <w:vAlign w:val="center"/>
          </w:tcPr>
          <w:p>
            <w:pPr>
              <w:pStyle w:val="TableContents"/>
              <w:bidi w:val="0"/>
              <w:spacing w:before="0" w:after="1"/>
              <w:ind w:left="0" w:right="0" w:hanging="0"/>
              <w:jc w:val="left"/>
              <w:rPr/>
            </w:pPr>
            <w:r>
              <w:rPr/>
              <w:t>​</w:t>
            </w:r>
          </w:p>
        </w:tc>
        <w:tc>
          <w:tcPr>
            <w:tcW w:w="6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70"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1" w:type="dxa"/>
            <w:tcBorders/>
            <w:vAlign w:val="center"/>
          </w:tcPr>
          <w:p>
            <w:pPr>
              <w:pStyle w:val="TableContents"/>
              <w:bidi w:val="0"/>
              <w:spacing w:before="0" w:after="1"/>
              <w:ind w:left="0" w:right="0" w:hanging="0"/>
              <w:jc w:val="right"/>
              <w:rPr/>
            </w:pPr>
            <w:r>
              <w:rPr/>
              <w:t>—</w:t>
            </w:r>
          </w:p>
        </w:tc>
      </w:tr>
      <w:tr>
        <w:trPr/>
        <w:tc>
          <w:tcPr>
            <w:tcW w:w="61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10/01/2025</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09/25/2025</w:t>
            </w:r>
          </w:p>
        </w:tc>
        <w:tc>
          <w:tcPr>
            <w:tcW w:w="346" w:type="dxa"/>
            <w:tcBorders/>
            <w:shd w:fill="CCEEFF" w:val="clear"/>
            <w:vAlign w:val="center"/>
          </w:tcPr>
          <w:p>
            <w:pPr>
              <w:pStyle w:val="TableContents"/>
              <w:bidi w:val="0"/>
              <w:spacing w:before="0" w:after="1"/>
              <w:ind w:left="0" w:right="0" w:hanging="0"/>
              <w:jc w:val="left"/>
              <w:rPr/>
            </w:pPr>
            <w:r>
              <w:rPr/>
              <w:t>​</w:t>
            </w:r>
          </w:p>
        </w:tc>
        <w:tc>
          <w:tcPr>
            <w:tcW w:w="199"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1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5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15,000</w:t>
            </w:r>
          </w:p>
        </w:tc>
        <w:tc>
          <w:tcPr>
            <w:tcW w:w="346" w:type="dxa"/>
            <w:tcBorders/>
            <w:shd w:fill="CCEEFF" w:val="clear"/>
            <w:vAlign w:val="center"/>
          </w:tcPr>
          <w:p>
            <w:pPr>
              <w:pStyle w:val="TableContents"/>
              <w:bidi w:val="0"/>
              <w:spacing w:before="0" w:after="1"/>
              <w:ind w:left="0" w:right="0" w:hanging="0"/>
              <w:jc w:val="left"/>
              <w:rPr/>
            </w:pPr>
            <w:r>
              <w:rPr/>
              <w:t>​</w:t>
            </w:r>
          </w:p>
        </w:tc>
        <w:tc>
          <w:tcPr>
            <w:tcW w:w="170"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38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79.50</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631" w:type="dxa"/>
            <w:tcBorders/>
            <w:shd w:fill="CCEEFF" w:val="clear"/>
            <w:vAlign w:val="center"/>
          </w:tcPr>
          <w:p>
            <w:pPr>
              <w:pStyle w:val="TableContents"/>
              <w:bidi w:val="0"/>
              <w:spacing w:before="0" w:after="1"/>
              <w:ind w:left="0" w:right="36" w:hanging="0"/>
              <w:jc w:val="right"/>
              <w:rPr>
                <w:rFonts w:ascii="Times New Roman;Times;serif" w:hAnsi="Times New Roman;Times;serif"/>
                <w:sz w:val="12"/>
              </w:rPr>
            </w:pPr>
            <w:r>
              <w:rPr>
                <w:rFonts w:ascii="Times New Roman;Times;serif" w:hAnsi="Times New Roman;Times;serif"/>
                <w:sz w:val="12"/>
              </w:rPr>
              <w:t>604,292</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reported represent Class A Shares awarded to the eligible NEOs during 2025 pursuant to our profit sharing program.</w:t>
            </w:r>
          </w:p>
        </w:tc>
      </w:tr>
    </w:tbl>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9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amounts reflect threshold, target, and maximum payout amounts for 2025 for our NEOs under our EIP. There are no guaranteed minimum amounts payable under our EIP, and maximum amounts may exceed these numbers if approved by the Compensation Committee. See “Summary Compensation Table” for actual short-term cash incentives earned by our NEOs for 2025 under our EIP.</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reported reflect the aggregate grant date fair values in accordance with FASB ASC Topic 718. Assumptions used in the calculation of these amounts are included in Note 14 to the Corporation’s audited financial statements for the fiscal years ended December 31, 2025 included in the Corporation’s Annual Reports on Form 10-K filed with the SEC on March 2, 2026.</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Outstanding Equity Awards at Fiscal Year-End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Except as indicated elsewhere, all awards reflected in this table were made in our Class A Shares, were granted under the terms of our Stock Incentive Plans and were outstanding as of December 31, 2025.</w:t>
      </w:r>
    </w:p>
    <w:p>
      <w:pPr>
        <w:pStyle w:val="TextBody"/>
        <w:bidi w:val="0"/>
        <w:spacing w:before="0" w:after="240"/>
        <w:ind w:left="0" w:right="0" w:hanging="0"/>
        <w:jc w:val="both"/>
        <w:rPr/>
      </w:pPr>
      <w:r>
        <w:rPr/>
        <w:t>​</w:t>
      </w:r>
    </w:p>
    <w:tbl>
      <w:tblPr>
        <w:tblW w:w="8745" w:type="dxa"/>
        <w:jc w:val="left"/>
        <w:tblInd w:w="0" w:type="dxa"/>
        <w:tblLayout w:type="fixed"/>
        <w:tblCellMar>
          <w:top w:w="0" w:type="dxa"/>
          <w:left w:w="0" w:type="dxa"/>
          <w:bottom w:w="0" w:type="dxa"/>
          <w:right w:w="0" w:type="dxa"/>
        </w:tblCellMar>
      </w:tblPr>
      <w:tblGrid>
        <w:gridCol w:w="1111"/>
        <w:gridCol w:w="346"/>
        <w:gridCol w:w="751"/>
        <w:gridCol w:w="346"/>
        <w:gridCol w:w="841"/>
        <w:gridCol w:w="346"/>
        <w:gridCol w:w="811"/>
        <w:gridCol w:w="346"/>
        <w:gridCol w:w="166"/>
        <w:gridCol w:w="436"/>
        <w:gridCol w:w="346"/>
        <w:gridCol w:w="646"/>
        <w:gridCol w:w="346"/>
        <w:gridCol w:w="691"/>
        <w:gridCol w:w="346"/>
        <w:gridCol w:w="168"/>
        <w:gridCol w:w="702"/>
      </w:tblGrid>
      <w:tr>
        <w:trPr/>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705485" cy="175260"/>
                      <wp:effectExtent l="0" t="0" r="0" b="0"/>
                      <wp:wrapNone/>
                      <wp:docPr id="194" name="Frame187"/>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19710" cy="175260"/>
                      <wp:effectExtent l="0" t="0" r="0" b="0"/>
                      <wp:wrapNone/>
                      <wp:docPr id="195"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76885" cy="175260"/>
                      <wp:effectExtent l="0" t="0" r="0" b="0"/>
                      <wp:wrapNone/>
                      <wp:docPr id="196" name="Frame189"/>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197" name="Frame1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34035" cy="175260"/>
                      <wp:effectExtent l="0" t="0" r="0" b="0"/>
                      <wp:wrapNone/>
                      <wp:docPr id="198" name="Frame19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199"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14985" cy="175260"/>
                      <wp:effectExtent l="0" t="0" r="0" b="0"/>
                      <wp:wrapNone/>
                      <wp:docPr id="200" name="Frame19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1"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05410" cy="175260"/>
                      <wp:effectExtent l="0" t="0" r="0" b="0"/>
                      <wp:wrapNone/>
                      <wp:docPr id="202" name="Frame195"/>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76860" cy="175260"/>
                      <wp:effectExtent l="0" t="0" r="0" b="0"/>
                      <wp:wrapNone/>
                      <wp:docPr id="203" name="Frame19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4"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10210" cy="175260"/>
                      <wp:effectExtent l="0" t="0" r="0" b="0"/>
                      <wp:wrapNone/>
                      <wp:docPr id="205" name="Frame198"/>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19710" cy="175260"/>
                      <wp:effectExtent l="0" t="0" r="0" b="0"/>
                      <wp:wrapNone/>
                      <wp:docPr id="206"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438785" cy="175260"/>
                      <wp:effectExtent l="0" t="0" r="0" b="0"/>
                      <wp:wrapNone/>
                      <wp:docPr id="207" name="Frame20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08" name="Frame2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06680" cy="175260"/>
                      <wp:effectExtent l="0" t="0" r="0" b="0"/>
                      <wp:wrapNone/>
                      <wp:docPr id="209" name="Frame202"/>
                      <a:graphic xmlns:a="http://schemas.openxmlformats.org/drawingml/2006/main">
                        <a:graphicData uri="http://schemas.microsoft.com/office/word/2010/wordprocessingShape">
                          <wps:wsp>
                            <wps:cNvSpPr txBox="1"/>
                            <wps:spPr>
                              <a:xfrm>
                                <a:off x="0" y="0"/>
                                <a:ext cx="106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45770" cy="175260"/>
                      <wp:effectExtent l="0" t="0" r="0" b="0"/>
                      <wp:wrapNone/>
                      <wp:docPr id="210" name="Frame203"/>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5035" w:type="dxa"/>
            <w:gridSpan w:val="10"/>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Option Awards</w:t>
            </w:r>
          </w:p>
        </w:tc>
        <w:tc>
          <w:tcPr>
            <w:tcW w:w="346" w:type="dxa"/>
            <w:tcBorders/>
            <w:vAlign w:val="center"/>
          </w:tcPr>
          <w:p>
            <w:pPr>
              <w:pStyle w:val="TableContents"/>
              <w:bidi w:val="0"/>
              <w:spacing w:before="0" w:after="1"/>
              <w:ind w:left="0" w:right="0" w:hanging="0"/>
              <w:jc w:val="center"/>
              <w:rPr/>
            </w:pPr>
            <w:r>
              <w:rPr/>
              <w:t>​</w:t>
            </w:r>
          </w:p>
        </w:tc>
        <w:tc>
          <w:tcPr>
            <w:tcW w:w="1907"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Stock Awards</w:t>
            </w:r>
          </w:p>
        </w:tc>
      </w:tr>
      <w:tr>
        <w:trPr/>
        <w:tc>
          <w:tcPr>
            <w:tcW w:w="11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Equity</w:t>
            </w:r>
          </w:p>
        </w:tc>
        <w:tc>
          <w:tcPr>
            <w:tcW w:w="346" w:type="dxa"/>
            <w:tcBorders/>
            <w:vAlign w:val="center"/>
          </w:tcPr>
          <w:p>
            <w:pPr>
              <w:pStyle w:val="TableContents"/>
              <w:bidi w:val="0"/>
              <w:spacing w:before="0" w:after="1"/>
              <w:ind w:left="0" w:right="0" w:hanging="0"/>
              <w:jc w:val="left"/>
              <w:rPr/>
            </w:pPr>
            <w:r>
              <w:rPr/>
              <w:t>​</w:t>
            </w:r>
          </w:p>
        </w:tc>
        <w:tc>
          <w:tcPr>
            <w:tcW w:w="168"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center"/>
              <w:rPr/>
            </w:pPr>
            <w:r>
              <w:rPr/>
              <w:t>​</w:t>
            </w:r>
          </w:p>
        </w:tc>
      </w:tr>
      <w:tr>
        <w:trPr/>
        <w:tc>
          <w:tcPr>
            <w:tcW w:w="11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Incentive</w:t>
            </w:r>
          </w:p>
        </w:tc>
        <w:tc>
          <w:tcPr>
            <w:tcW w:w="34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Equity</w:t>
            </w:r>
          </w:p>
        </w:tc>
      </w:tr>
      <w:tr>
        <w:trPr/>
        <w:tc>
          <w:tcPr>
            <w:tcW w:w="11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Plan</w:t>
            </w:r>
          </w:p>
        </w:tc>
        <w:tc>
          <w:tcPr>
            <w:tcW w:w="34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Incentive</w:t>
            </w:r>
          </w:p>
        </w:tc>
      </w:tr>
      <w:tr>
        <w:trPr/>
        <w:tc>
          <w:tcPr>
            <w:tcW w:w="11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Equity</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Awards:</w:t>
            </w:r>
          </w:p>
        </w:tc>
        <w:tc>
          <w:tcPr>
            <w:tcW w:w="34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Plan</w:t>
            </w:r>
          </w:p>
        </w:tc>
      </w:tr>
      <w:tr>
        <w:trPr/>
        <w:tc>
          <w:tcPr>
            <w:tcW w:w="11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 xml:space="preserve">Incentive </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4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Awards:</w:t>
            </w:r>
          </w:p>
        </w:tc>
      </w:tr>
      <w:tr>
        <w:trPr/>
        <w:tc>
          <w:tcPr>
            <w:tcW w:w="11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Plan Awards:</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Unearned</w:t>
            </w:r>
          </w:p>
        </w:tc>
        <w:tc>
          <w:tcPr>
            <w:tcW w:w="34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Market or</w:t>
            </w:r>
          </w:p>
        </w:tc>
      </w:tr>
      <w:tr>
        <w:trPr/>
        <w:tc>
          <w:tcPr>
            <w:tcW w:w="11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Securities</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Number of</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w:t>
            </w:r>
          </w:p>
        </w:tc>
        <w:tc>
          <w:tcPr>
            <w:tcW w:w="34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Payout Value</w:t>
            </w:r>
          </w:p>
        </w:tc>
      </w:tr>
      <w:tr>
        <w:trPr/>
        <w:tc>
          <w:tcPr>
            <w:tcW w:w="11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Securities</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Underlying</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Securities</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Units or</w:t>
            </w:r>
          </w:p>
        </w:tc>
        <w:tc>
          <w:tcPr>
            <w:tcW w:w="34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of Unearned</w:t>
            </w:r>
          </w:p>
        </w:tc>
      </w:tr>
      <w:tr>
        <w:trPr/>
        <w:tc>
          <w:tcPr>
            <w:tcW w:w="11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Underlying</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Unexercised</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Underlying</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Other</w:t>
            </w:r>
          </w:p>
        </w:tc>
        <w:tc>
          <w:tcPr>
            <w:tcW w:w="34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Shares, Units</w:t>
            </w:r>
          </w:p>
        </w:tc>
      </w:tr>
      <w:tr>
        <w:trPr/>
        <w:tc>
          <w:tcPr>
            <w:tcW w:w="11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Unexercised</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Options</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Unexercised</w:t>
            </w:r>
          </w:p>
        </w:tc>
        <w:tc>
          <w:tcPr>
            <w:tcW w:w="346" w:type="dxa"/>
            <w:tcBorders/>
            <w:vAlign w:val="center"/>
          </w:tcPr>
          <w:p>
            <w:pPr>
              <w:pStyle w:val="TableContents"/>
              <w:bidi w:val="0"/>
              <w:spacing w:before="0" w:after="1"/>
              <w:ind w:left="0" w:right="0" w:hanging="0"/>
              <w:jc w:val="left"/>
              <w:rPr/>
            </w:pPr>
            <w:r>
              <w:rPr/>
              <w:t>​</w:t>
            </w:r>
          </w:p>
        </w:tc>
        <w:tc>
          <w:tcPr>
            <w:tcW w:w="60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Option</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Rights</w:t>
            </w:r>
          </w:p>
        </w:tc>
        <w:tc>
          <w:tcPr>
            <w:tcW w:w="34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or Other</w:t>
            </w:r>
          </w:p>
        </w:tc>
      </w:tr>
      <w:tr>
        <w:trPr/>
        <w:tc>
          <w:tcPr>
            <w:tcW w:w="11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Options</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Unearned</w:t>
            </w:r>
          </w:p>
        </w:tc>
        <w:tc>
          <w:tcPr>
            <w:tcW w:w="346" w:type="dxa"/>
            <w:tcBorders/>
            <w:vAlign w:val="center"/>
          </w:tcPr>
          <w:p>
            <w:pPr>
              <w:pStyle w:val="TableContents"/>
              <w:bidi w:val="0"/>
              <w:spacing w:before="0" w:after="1"/>
              <w:ind w:left="0" w:right="0" w:hanging="0"/>
              <w:jc w:val="left"/>
              <w:rPr/>
            </w:pPr>
            <w:r>
              <w:rPr/>
              <w:t>​</w:t>
            </w:r>
          </w:p>
        </w:tc>
        <w:tc>
          <w:tcPr>
            <w:tcW w:w="60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Exercise</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Option</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 xml:space="preserve">That Have </w:t>
            </w:r>
          </w:p>
        </w:tc>
        <w:tc>
          <w:tcPr>
            <w:tcW w:w="34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Rights That</w:t>
            </w:r>
          </w:p>
        </w:tc>
      </w:tr>
      <w:tr>
        <w:trPr/>
        <w:tc>
          <w:tcPr>
            <w:tcW w:w="11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Unexercisable</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Options</w:t>
            </w:r>
          </w:p>
        </w:tc>
        <w:tc>
          <w:tcPr>
            <w:tcW w:w="346" w:type="dxa"/>
            <w:tcBorders/>
            <w:vAlign w:val="center"/>
          </w:tcPr>
          <w:p>
            <w:pPr>
              <w:pStyle w:val="TableContents"/>
              <w:bidi w:val="0"/>
              <w:spacing w:before="0" w:after="1"/>
              <w:ind w:left="0" w:right="0" w:hanging="0"/>
              <w:jc w:val="left"/>
              <w:rPr/>
            </w:pPr>
            <w:r>
              <w:rPr/>
              <w:t>​</w:t>
            </w:r>
          </w:p>
        </w:tc>
        <w:tc>
          <w:tcPr>
            <w:tcW w:w="602"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Price</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Expiration</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Not Vested</w:t>
            </w:r>
          </w:p>
        </w:tc>
        <w:tc>
          <w:tcPr>
            <w:tcW w:w="346" w:type="dxa"/>
            <w:tcBorders/>
            <w:vAlign w:val="center"/>
          </w:tcPr>
          <w:p>
            <w:pPr>
              <w:pStyle w:val="TableContents"/>
              <w:bidi w:val="0"/>
              <w:spacing w:before="0" w:after="1"/>
              <w:ind w:left="0" w:right="0" w:hanging="0"/>
              <w:jc w:val="left"/>
              <w:rPr/>
            </w:pPr>
            <w:r>
              <w:rPr/>
              <w:t>​</w:t>
            </w:r>
          </w:p>
        </w:tc>
        <w:tc>
          <w:tcPr>
            <w:tcW w:w="870" w:type="dxa"/>
            <w:gridSpan w:val="2"/>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Have Not</w:t>
            </w:r>
          </w:p>
        </w:tc>
      </w:tr>
      <w:tr>
        <w:trPr/>
        <w:tc>
          <w:tcPr>
            <w:tcW w:w="11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Name</w:t>
            </w:r>
          </w:p>
        </w:tc>
        <w:tc>
          <w:tcPr>
            <w:tcW w:w="346" w:type="dxa"/>
            <w:tcBorders/>
            <w:vAlign w:val="center"/>
          </w:tcPr>
          <w:p>
            <w:pPr>
              <w:pStyle w:val="TableContents"/>
              <w:bidi w:val="0"/>
              <w:spacing w:before="0" w:after="1"/>
              <w:ind w:left="0" w:right="0" w:hanging="0"/>
              <w:jc w:val="left"/>
              <w:rPr/>
            </w:pPr>
            <w:r>
              <w:rPr/>
              <w:t>  ​ ​ ​</w:t>
            </w:r>
          </w:p>
        </w:tc>
        <w:tc>
          <w:tcPr>
            <w:tcW w:w="7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Exercisable</w:t>
            </w:r>
          </w:p>
        </w:tc>
        <w:tc>
          <w:tcPr>
            <w:tcW w:w="346" w:type="dxa"/>
            <w:tcBorders/>
            <w:vAlign w:val="center"/>
          </w:tcPr>
          <w:p>
            <w:pPr>
              <w:pStyle w:val="TableContents"/>
              <w:bidi w:val="0"/>
              <w:spacing w:before="0" w:after="1"/>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(2)</w:t>
            </w:r>
          </w:p>
        </w:tc>
        <w:tc>
          <w:tcPr>
            <w:tcW w:w="346" w:type="dxa"/>
            <w:tcBorders/>
            <w:vAlign w:val="center"/>
          </w:tcPr>
          <w:p>
            <w:pPr>
              <w:pStyle w:val="TableContents"/>
              <w:bidi w:val="0"/>
              <w:spacing w:before="0" w:after="1"/>
              <w:ind w:left="0" w:right="0" w:hanging="0"/>
              <w:jc w:val="left"/>
              <w:rPr/>
            </w:pPr>
            <w:r>
              <w:rPr/>
              <w:t>  ​ ​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 (3)</w:t>
            </w:r>
          </w:p>
        </w:tc>
        <w:tc>
          <w:tcPr>
            <w:tcW w:w="346" w:type="dxa"/>
            <w:tcBorders/>
            <w:vAlign w:val="center"/>
          </w:tcPr>
          <w:p>
            <w:pPr>
              <w:pStyle w:val="TableContents"/>
              <w:bidi w:val="0"/>
              <w:spacing w:before="0" w:after="1"/>
              <w:ind w:left="0" w:right="0" w:hanging="0"/>
              <w:jc w:val="left"/>
              <w:rPr/>
            </w:pPr>
            <w:r>
              <w:rPr/>
              <w:t>  ​ ​ ​</w:t>
            </w:r>
          </w:p>
        </w:tc>
        <w:tc>
          <w:tcPr>
            <w:tcW w:w="6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1"/>
              <w:ind w:left="0" w:right="0" w:hanging="0"/>
              <w:jc w:val="left"/>
              <w:rPr/>
            </w:pPr>
            <w:r>
              <w:rPr/>
              <w:t>  ​ ​ ​</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Date</w:t>
            </w:r>
          </w:p>
        </w:tc>
        <w:tc>
          <w:tcPr>
            <w:tcW w:w="346" w:type="dxa"/>
            <w:tcBorders/>
            <w:vAlign w:val="center"/>
          </w:tcPr>
          <w:p>
            <w:pPr>
              <w:pStyle w:val="TableContents"/>
              <w:bidi w:val="0"/>
              <w:spacing w:before="0" w:after="1"/>
              <w:ind w:left="0" w:right="0" w:hanging="0"/>
              <w:jc w:val="center"/>
              <w:rPr/>
            </w:pPr>
            <w:r>
              <w:rPr/>
              <w:t>  ​ ​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w:t>
            </w:r>
          </w:p>
        </w:tc>
        <w:tc>
          <w:tcPr>
            <w:tcW w:w="346" w:type="dxa"/>
            <w:tcBorders/>
            <w:vAlign w:val="center"/>
          </w:tcPr>
          <w:p>
            <w:pPr>
              <w:pStyle w:val="TableContents"/>
              <w:bidi w:val="0"/>
              <w:spacing w:before="0" w:after="1"/>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Vested (4) ($)</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Charles W. Ergen</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21,052</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165.11</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01/01/2027</w:t>
            </w:r>
          </w:p>
        </w:tc>
        <w:tc>
          <w:tcPr>
            <w:tcW w:w="34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8"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02" w:type="dxa"/>
            <w:tcBorders/>
            <w:shd w:fill="CCEEFF" w:val="clear"/>
            <w:vAlign w:val="center"/>
          </w:tcPr>
          <w:p>
            <w:pPr>
              <w:pStyle w:val="TableContents"/>
              <w:bidi w:val="0"/>
              <w:spacing w:before="0" w:after="1"/>
              <w:ind w:left="0" w:right="0" w:hanging="0"/>
              <w:jc w:val="right"/>
              <w:rPr/>
            </w:pPr>
            <w:r>
              <w:rPr/>
              <w:t>—</w:t>
            </w:r>
          </w:p>
        </w:tc>
      </w:tr>
      <w:tr>
        <w:trPr/>
        <w:tc>
          <w:tcPr>
            <w:tcW w:w="1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575,373</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49.49</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04/01/2027</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8"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02" w:type="dxa"/>
            <w:tcBorders/>
            <w:vAlign w:val="center"/>
          </w:tcPr>
          <w:p>
            <w:pPr>
              <w:pStyle w:val="TableContents"/>
              <w:bidi w:val="0"/>
              <w:spacing w:before="0" w:after="1"/>
              <w:ind w:left="0" w:right="0" w:hanging="0"/>
              <w:jc w:val="right"/>
              <w:rPr/>
            </w:pPr>
            <w:r>
              <w:rPr/>
              <w:t>—</w:t>
            </w:r>
          </w:p>
        </w:tc>
      </w:tr>
      <w:tr>
        <w:trPr/>
        <w:tc>
          <w:tcPr>
            <w:tcW w:w="11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44,913</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7,717</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100.95</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10/01/2028</w:t>
            </w:r>
          </w:p>
        </w:tc>
        <w:tc>
          <w:tcPr>
            <w:tcW w:w="34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8"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02" w:type="dxa"/>
            <w:tcBorders/>
            <w:shd w:fill="CCEEFF" w:val="clear"/>
            <w:vAlign w:val="center"/>
          </w:tcPr>
          <w:p>
            <w:pPr>
              <w:pStyle w:val="TableContents"/>
              <w:bidi w:val="0"/>
              <w:spacing w:before="0" w:after="1"/>
              <w:ind w:left="0" w:right="0" w:hanging="0"/>
              <w:jc w:val="right"/>
              <w:rPr/>
            </w:pPr>
            <w:r>
              <w:rPr/>
              <w:t>—</w:t>
            </w:r>
          </w:p>
        </w:tc>
      </w:tr>
      <w:tr>
        <w:trPr/>
        <w:tc>
          <w:tcPr>
            <w:tcW w:w="1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877,192</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3,508,770</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78.98</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02/06/2031</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8"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02" w:type="dxa"/>
            <w:tcBorders/>
            <w:vAlign w:val="center"/>
          </w:tcPr>
          <w:p>
            <w:pPr>
              <w:pStyle w:val="TableContents"/>
              <w:bidi w:val="0"/>
              <w:spacing w:before="0" w:after="1"/>
              <w:ind w:left="0" w:right="0" w:hanging="0"/>
              <w:jc w:val="right"/>
              <w:rPr/>
            </w:pPr>
            <w:r>
              <w:rPr/>
              <w:t>—</w:t>
            </w:r>
          </w:p>
        </w:tc>
      </w:tr>
      <w:tr>
        <w:trPr/>
        <w:tc>
          <w:tcPr>
            <w:tcW w:w="11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8"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right"/>
              <w:rPr/>
            </w:pPr>
            <w:r>
              <w:rPr/>
              <w:t>​</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Hamid Akhavan (1)</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233,918</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233,918</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16.57</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12/31/2033</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8"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02" w:type="dxa"/>
            <w:tcBorders/>
            <w:vAlign w:val="center"/>
          </w:tcPr>
          <w:p>
            <w:pPr>
              <w:pStyle w:val="TableContents"/>
              <w:bidi w:val="0"/>
              <w:spacing w:before="0" w:after="1"/>
              <w:ind w:left="0" w:right="0" w:hanging="0"/>
              <w:jc w:val="right"/>
              <w:rPr/>
            </w:pPr>
            <w:r>
              <w:rPr/>
              <w:t>—</w:t>
            </w:r>
          </w:p>
        </w:tc>
      </w:tr>
      <w:tr>
        <w:trPr/>
        <w:tc>
          <w:tcPr>
            <w:tcW w:w="11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20,417</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183,751</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14.04</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04/01/2034</w:t>
            </w:r>
          </w:p>
        </w:tc>
        <w:tc>
          <w:tcPr>
            <w:tcW w:w="34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(5)</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8"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02" w:type="dxa"/>
            <w:tcBorders/>
            <w:shd w:fill="CCEEFF" w:val="clear"/>
            <w:vAlign w:val="center"/>
          </w:tcPr>
          <w:p>
            <w:pPr>
              <w:pStyle w:val="TableContents"/>
              <w:bidi w:val="0"/>
              <w:spacing w:before="0" w:after="1"/>
              <w:ind w:left="0" w:right="0" w:hanging="0"/>
              <w:jc w:val="right"/>
              <w:rPr/>
            </w:pPr>
            <w:r>
              <w:rPr/>
              <w:t>—</w:t>
            </w:r>
          </w:p>
        </w:tc>
      </w:tr>
      <w:tr>
        <w:trPr/>
        <w:tc>
          <w:tcPr>
            <w:tcW w:w="1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8"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lef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John W. Swieringa</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21,052</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165.11</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01/01/2027</w:t>
            </w:r>
          </w:p>
        </w:tc>
        <w:tc>
          <w:tcPr>
            <w:tcW w:w="34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8"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02" w:type="dxa"/>
            <w:tcBorders/>
            <w:shd w:fill="CCEEFF" w:val="clear"/>
            <w:vAlign w:val="center"/>
          </w:tcPr>
          <w:p>
            <w:pPr>
              <w:pStyle w:val="TableContents"/>
              <w:bidi w:val="0"/>
              <w:spacing w:before="0" w:after="1"/>
              <w:ind w:left="0" w:right="0" w:hanging="0"/>
              <w:jc w:val="right"/>
              <w:rPr/>
            </w:pPr>
            <w:r>
              <w:rPr/>
              <w:t>—</w:t>
            </w:r>
          </w:p>
        </w:tc>
      </w:tr>
      <w:tr>
        <w:trPr/>
        <w:tc>
          <w:tcPr>
            <w:tcW w:w="1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7,717</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57.01</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07/22/2032</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8"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02" w:type="dxa"/>
            <w:tcBorders/>
            <w:vAlign w:val="center"/>
          </w:tcPr>
          <w:p>
            <w:pPr>
              <w:pStyle w:val="TableContents"/>
              <w:bidi w:val="0"/>
              <w:spacing w:before="0" w:after="1"/>
              <w:ind w:left="0" w:right="0" w:hanging="0"/>
              <w:jc w:val="right"/>
              <w:rPr/>
            </w:pPr>
            <w:r>
              <w:rPr/>
              <w:t>—</w:t>
            </w:r>
          </w:p>
        </w:tc>
      </w:tr>
      <w:tr>
        <w:trPr/>
        <w:tc>
          <w:tcPr>
            <w:tcW w:w="11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140,352</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16.57</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01/01/2034</w:t>
            </w:r>
          </w:p>
        </w:tc>
        <w:tc>
          <w:tcPr>
            <w:tcW w:w="34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70,176</w:t>
            </w:r>
          </w:p>
        </w:tc>
        <w:tc>
          <w:tcPr>
            <w:tcW w:w="346" w:type="dxa"/>
            <w:tcBorders/>
            <w:shd w:fill="CCEEFF" w:val="clear"/>
            <w:vAlign w:val="center"/>
          </w:tcPr>
          <w:p>
            <w:pPr>
              <w:pStyle w:val="TableContents"/>
              <w:bidi w:val="0"/>
              <w:spacing w:before="0" w:after="1"/>
              <w:ind w:left="0" w:right="0" w:hanging="0"/>
              <w:jc w:val="left"/>
              <w:rPr/>
            </w:pPr>
            <w:r>
              <w:rPr/>
              <w:t>​</w:t>
            </w:r>
          </w:p>
        </w:tc>
        <w:tc>
          <w:tcPr>
            <w:tcW w:w="168"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7,628,131</w:t>
            </w:r>
          </w:p>
        </w:tc>
      </w:tr>
      <w:tr>
        <w:trPr/>
        <w:tc>
          <w:tcPr>
            <w:tcW w:w="1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78,171</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5,847</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14.04</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04/01/2034</w:t>
            </w:r>
          </w:p>
        </w:tc>
        <w:tc>
          <w:tcPr>
            <w:tcW w:w="34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(5)</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8"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02" w:type="dxa"/>
            <w:tcBorders/>
            <w:vAlign w:val="center"/>
          </w:tcPr>
          <w:p>
            <w:pPr>
              <w:pStyle w:val="TableContents"/>
              <w:bidi w:val="0"/>
              <w:spacing w:before="0" w:after="1"/>
              <w:ind w:left="0" w:right="0" w:hanging="0"/>
              <w:jc w:val="right"/>
              <w:rPr/>
            </w:pPr>
            <w:r>
              <w:rPr/>
              <w:t>—</w:t>
            </w:r>
          </w:p>
        </w:tc>
      </w:tr>
      <w:tr>
        <w:trPr/>
        <w:tc>
          <w:tcPr>
            <w:tcW w:w="11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200,000</w:t>
            </w:r>
          </w:p>
        </w:tc>
        <w:tc>
          <w:tcPr>
            <w:tcW w:w="346" w:type="dxa"/>
            <w:tcBorders/>
            <w:shd w:fill="CCEEFF" w:val="clear"/>
            <w:vAlign w:val="center"/>
          </w:tcPr>
          <w:p>
            <w:pPr>
              <w:pStyle w:val="TableContents"/>
              <w:bidi w:val="0"/>
              <w:spacing w:before="0" w:after="1"/>
              <w:ind w:left="0" w:right="0" w:hanging="0"/>
              <w:jc w:val="left"/>
              <w:rPr/>
            </w:pPr>
            <w:r>
              <w:rPr/>
              <w:t>​</w:t>
            </w:r>
          </w:p>
        </w:tc>
        <w:tc>
          <w:tcPr>
            <w:tcW w:w="168"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21,740,000</w:t>
            </w:r>
          </w:p>
        </w:tc>
      </w:tr>
      <w:tr>
        <w:trPr/>
        <w:tc>
          <w:tcPr>
            <w:tcW w:w="1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60,000</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79.50</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10/01/2035</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8"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02" w:type="dxa"/>
            <w:tcBorders/>
            <w:vAlign w:val="center"/>
          </w:tcPr>
          <w:p>
            <w:pPr>
              <w:pStyle w:val="TableContents"/>
              <w:bidi w:val="0"/>
              <w:spacing w:before="0" w:after="1"/>
              <w:ind w:left="0" w:right="0" w:hanging="0"/>
              <w:jc w:val="right"/>
              <w:rPr/>
            </w:pPr>
            <w:r>
              <w:rPr/>
              <w:t>—</w:t>
            </w:r>
          </w:p>
        </w:tc>
      </w:tr>
      <w:tr>
        <w:trPr/>
        <w:tc>
          <w:tcPr>
            <w:tcW w:w="11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8"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right"/>
              <w:rPr/>
            </w:pPr>
            <w:r>
              <w:rPr/>
              <w:t>​</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Paul W. Orban</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10,526</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165.11</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01/01/2027</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8"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02" w:type="dxa"/>
            <w:tcBorders/>
            <w:vAlign w:val="center"/>
          </w:tcPr>
          <w:p>
            <w:pPr>
              <w:pStyle w:val="TableContents"/>
              <w:bidi w:val="0"/>
              <w:spacing w:before="0" w:after="1"/>
              <w:ind w:left="0" w:right="0" w:hanging="0"/>
              <w:jc w:val="right"/>
              <w:rPr/>
            </w:pPr>
            <w:r>
              <w:rPr/>
              <w:t>—</w:t>
            </w:r>
          </w:p>
        </w:tc>
      </w:tr>
      <w:tr>
        <w:trPr/>
        <w:tc>
          <w:tcPr>
            <w:tcW w:w="11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11,810</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57.01</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07/22/2032</w:t>
            </w:r>
          </w:p>
        </w:tc>
        <w:tc>
          <w:tcPr>
            <w:tcW w:w="34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8"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02" w:type="dxa"/>
            <w:tcBorders/>
            <w:shd w:fill="CCEEFF" w:val="clear"/>
            <w:vAlign w:val="center"/>
          </w:tcPr>
          <w:p>
            <w:pPr>
              <w:pStyle w:val="TableContents"/>
              <w:bidi w:val="0"/>
              <w:spacing w:before="0" w:after="1"/>
              <w:ind w:left="0" w:right="0" w:hanging="0"/>
              <w:jc w:val="right"/>
              <w:rPr/>
            </w:pPr>
            <w:r>
              <w:rPr/>
              <w:t>—</w:t>
            </w:r>
          </w:p>
        </w:tc>
      </w:tr>
      <w:tr>
        <w:trPr/>
        <w:tc>
          <w:tcPr>
            <w:tcW w:w="1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137,153</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2,339</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14.04</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04/01/2034</w:t>
            </w:r>
          </w:p>
        </w:tc>
        <w:tc>
          <w:tcPr>
            <w:tcW w:w="34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(5)</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8"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02" w:type="dxa"/>
            <w:tcBorders/>
            <w:vAlign w:val="center"/>
          </w:tcPr>
          <w:p>
            <w:pPr>
              <w:pStyle w:val="TableContents"/>
              <w:bidi w:val="0"/>
              <w:spacing w:before="0" w:after="1"/>
              <w:ind w:left="0" w:right="0" w:hanging="0"/>
              <w:jc w:val="right"/>
              <w:rPr/>
            </w:pPr>
            <w:r>
              <w:rPr/>
              <w:t>—</w:t>
            </w:r>
          </w:p>
        </w:tc>
      </w:tr>
      <w:tr>
        <w:trPr/>
        <w:tc>
          <w:tcPr>
            <w:tcW w:w="11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50,000</w:t>
            </w:r>
          </w:p>
        </w:tc>
        <w:tc>
          <w:tcPr>
            <w:tcW w:w="346" w:type="dxa"/>
            <w:tcBorders/>
            <w:shd w:fill="CCEEFF" w:val="clear"/>
            <w:vAlign w:val="center"/>
          </w:tcPr>
          <w:p>
            <w:pPr>
              <w:pStyle w:val="TableContents"/>
              <w:bidi w:val="0"/>
              <w:spacing w:before="0" w:after="1"/>
              <w:ind w:left="0" w:right="0" w:hanging="0"/>
              <w:jc w:val="left"/>
              <w:rPr/>
            </w:pPr>
            <w:r>
              <w:rPr/>
              <w:t>​</w:t>
            </w:r>
          </w:p>
        </w:tc>
        <w:tc>
          <w:tcPr>
            <w:tcW w:w="168"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5,435,000</w:t>
            </w:r>
          </w:p>
        </w:tc>
      </w:tr>
      <w:tr>
        <w:trPr/>
        <w:tc>
          <w:tcPr>
            <w:tcW w:w="1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pPr>
            <w:r>
              <w:rPr/>
              <w:t>​</w:t>
            </w:r>
          </w:p>
        </w:tc>
        <w:tc>
          <w:tcPr>
            <w:tcW w:w="4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8"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pPr>
            <w:r>
              <w:rPr/>
              <w:t>​</w:t>
            </w:r>
          </w:p>
        </w:tc>
      </w:tr>
      <w:tr>
        <w:trPr/>
        <w:tc>
          <w:tcPr>
            <w:tcW w:w="1111"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Dean A. Manson</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21,631</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81,700</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14.04</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04/01/2034</w:t>
            </w:r>
          </w:p>
        </w:tc>
        <w:tc>
          <w:tcPr>
            <w:tcW w:w="34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(5)</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8"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02" w:type="dxa"/>
            <w:tcBorders/>
            <w:shd w:fill="CCEEFF" w:val="clear"/>
            <w:vAlign w:val="center"/>
          </w:tcPr>
          <w:p>
            <w:pPr>
              <w:pStyle w:val="TableContents"/>
              <w:bidi w:val="0"/>
              <w:spacing w:before="0" w:after="1"/>
              <w:ind w:left="0" w:right="0" w:hanging="0"/>
              <w:jc w:val="right"/>
              <w:rPr/>
            </w:pPr>
            <w:r>
              <w:rPr/>
              <w:t>—</w:t>
            </w:r>
          </w:p>
        </w:tc>
      </w:tr>
      <w:tr>
        <w:trPr/>
        <w:tc>
          <w:tcPr>
            <w:tcW w:w="11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15,000</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79.50</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10/01/2035</w:t>
            </w:r>
          </w:p>
        </w:tc>
        <w:tc>
          <w:tcPr>
            <w:tcW w:w="346"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8"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02" w:type="dxa"/>
            <w:tcBorders/>
            <w:vAlign w:val="center"/>
          </w:tcPr>
          <w:p>
            <w:pPr>
              <w:pStyle w:val="TableContents"/>
              <w:bidi w:val="0"/>
              <w:spacing w:before="0" w:after="1"/>
              <w:ind w:left="0" w:right="0" w:hanging="0"/>
              <w:jc w:val="right"/>
              <w:rPr/>
            </w:pPr>
            <w:r>
              <w:rPr/>
              <w:t>—</w:t>
            </w:r>
          </w:p>
        </w:tc>
      </w:tr>
      <w:tr>
        <w:trPr/>
        <w:tc>
          <w:tcPr>
            <w:tcW w:w="11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pPr>
            <w:r>
              <w:rPr/>
              <w:t>​</w:t>
            </w:r>
          </w:p>
        </w:tc>
        <w:tc>
          <w:tcPr>
            <w:tcW w:w="4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8" w:type="dxa"/>
            <w:tcBorders/>
            <w:shd w:fill="CCEEFF" w:val="clear"/>
            <w:vAlign w:val="center"/>
          </w:tcPr>
          <w:p>
            <w:pPr>
              <w:pStyle w:val="TableContents"/>
              <w:bidi w:val="0"/>
              <w:spacing w:before="0" w:after="1"/>
              <w:ind w:left="0" w:right="0" w:hanging="0"/>
              <w:jc w:val="left"/>
              <w:rPr/>
            </w:pPr>
            <w:r>
              <w:rPr/>
              <w:t>​</w:t>
            </w:r>
          </w:p>
        </w:tc>
        <w:tc>
          <w:tcPr>
            <w:tcW w:w="702" w:type="dxa"/>
            <w:tcBorders/>
            <w:shd w:fill="CCEEFF" w:val="clear"/>
            <w:vAlign w:val="center"/>
          </w:tcPr>
          <w:p>
            <w:pPr>
              <w:pStyle w:val="TableContents"/>
              <w:bidi w:val="0"/>
              <w:spacing w:before="0" w:after="1"/>
              <w:ind w:left="0" w:right="0" w:hanging="0"/>
              <w:jc w:val="right"/>
              <w:rPr/>
            </w:pPr>
            <w:r>
              <w:rPr/>
              <w:t>​</w:t>
            </w:r>
          </w:p>
        </w:tc>
      </w:tr>
      <w:tr>
        <w:trPr/>
        <w:tc>
          <w:tcPr>
            <w:tcW w:w="1111"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Paul Gaske</w:t>
            </w:r>
          </w:p>
        </w:tc>
        <w:tc>
          <w:tcPr>
            <w:tcW w:w="346" w:type="dxa"/>
            <w:tcBorders/>
            <w:vAlign w:val="center"/>
          </w:tcPr>
          <w:p>
            <w:pPr>
              <w:pStyle w:val="TableContents"/>
              <w:bidi w:val="0"/>
              <w:spacing w:before="0" w:after="1"/>
              <w:ind w:left="0" w:right="0" w:hanging="0"/>
              <w:jc w:val="left"/>
              <w:rPr/>
            </w:pPr>
            <w:r>
              <w:rPr/>
              <w:t>​</w:t>
            </w:r>
          </w:p>
        </w:tc>
        <w:tc>
          <w:tcPr>
            <w:tcW w:w="7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35,781</w:t>
            </w:r>
          </w:p>
        </w:tc>
        <w:tc>
          <w:tcPr>
            <w:tcW w:w="34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6"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14.04</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04/01/2034</w:t>
            </w:r>
          </w:p>
        </w:tc>
        <w:tc>
          <w:tcPr>
            <w:tcW w:w="346" w:type="dxa"/>
            <w:tcBorders/>
            <w:vAlign w:val="center"/>
          </w:tcPr>
          <w:p>
            <w:pPr>
              <w:pStyle w:val="TableContents"/>
              <w:bidi w:val="0"/>
              <w:spacing w:before="0" w:after="1"/>
              <w:ind w:left="0" w:right="0" w:hanging="0"/>
              <w:jc w:val="center"/>
              <w:rPr>
                <w:rFonts w:ascii="Times New Roman;Times;serif" w:hAnsi="Times New Roman;Times;serif"/>
                <w:b/>
                <w:sz w:val="12"/>
              </w:rPr>
            </w:pPr>
            <w:r>
              <w:rPr>
                <w:rFonts w:ascii="Times New Roman;Times;serif" w:hAnsi="Times New Roman;Times;serif"/>
                <w:b/>
                <w:sz w:val="12"/>
              </w:rPr>
              <w:t>(5)</w:t>
            </w:r>
          </w:p>
        </w:tc>
        <w:tc>
          <w:tcPr>
            <w:tcW w:w="6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8" w:type="dxa"/>
            <w:tcBorders/>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02" w:type="dxa"/>
            <w:tcBorders/>
            <w:vAlign w:val="center"/>
          </w:tcPr>
          <w:p>
            <w:pPr>
              <w:pStyle w:val="TableContents"/>
              <w:bidi w:val="0"/>
              <w:spacing w:before="0" w:after="1"/>
              <w:ind w:left="0" w:right="0" w:hanging="0"/>
              <w:jc w:val="right"/>
              <w:rPr/>
            </w:pPr>
            <w:r>
              <w:rPr/>
              <w:t>—</w:t>
            </w:r>
          </w:p>
        </w:tc>
      </w:tr>
      <w:tr>
        <w:trPr/>
        <w:tc>
          <w:tcPr>
            <w:tcW w:w="11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15,000</w:t>
            </w:r>
          </w:p>
        </w:tc>
        <w:tc>
          <w:tcPr>
            <w:tcW w:w="34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6"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79.50</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12"/>
              </w:rPr>
            </w:pPr>
            <w:r>
              <w:rPr>
                <w:rFonts w:ascii="Times New Roman;Times;serif" w:hAnsi="Times New Roman;Times;serif"/>
                <w:sz w:val="12"/>
              </w:rPr>
              <w:t>10/01/2035</w:t>
            </w:r>
          </w:p>
        </w:tc>
        <w:tc>
          <w:tcPr>
            <w:tcW w:w="346" w:type="dxa"/>
            <w:tcBorders/>
            <w:shd w:fill="CCEEFF" w:val="clear"/>
            <w:vAlign w:val="center"/>
          </w:tcPr>
          <w:p>
            <w:pPr>
              <w:pStyle w:val="TableContents"/>
              <w:bidi w:val="0"/>
              <w:spacing w:before="0" w:after="1"/>
              <w:ind w:left="0" w:right="0" w:hanging="0"/>
              <w:jc w:val="center"/>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68" w:type="dxa"/>
            <w:tcBorders/>
            <w:shd w:fill="CCEEFF" w:val="clear"/>
            <w:vAlign w:val="center"/>
          </w:tcPr>
          <w:p>
            <w:pPr>
              <w:pStyle w:val="TableContents"/>
              <w:bidi w:val="0"/>
              <w:spacing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02" w:type="dxa"/>
            <w:tcBorders/>
            <w:shd w:fill="CCEEFF" w:val="clear"/>
            <w:vAlign w:val="center"/>
          </w:tcPr>
          <w:p>
            <w:pPr>
              <w:pStyle w:val="TableContents"/>
              <w:bidi w:val="0"/>
              <w:spacing w:before="0" w:after="1"/>
              <w:ind w:left="0" w:right="36"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32"/>
        <w:gridCol w:w="9873"/>
      </w:tblGrid>
      <w:tr>
        <w:trPr/>
        <w:tc>
          <w:tcPr>
            <w:tcW w:w="3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73" w:type="dxa"/>
            <w:tcBorders/>
            <w:vAlign w:val="center"/>
          </w:tcPr>
          <w:p>
            <w:pPr>
              <w:pStyle w:val="TableContents"/>
              <w:bidi w:val="0"/>
              <w:spacing w:before="0" w:after="283"/>
              <w:jc w:val="left"/>
              <w:rPr>
                <w:rFonts w:ascii="Times New Roman;Times;serif" w:hAnsi="Times New Roman;Times;serif"/>
                <w:b w:val="false"/>
                <w:i w:val="false"/>
                <w:caps w:val="false"/>
                <w:smallCaps w:val="false"/>
                <w:color w:val="222222"/>
                <w:sz w:val="20"/>
              </w:rPr>
            </w:pPr>
            <w:r>
              <w:rPr>
                <w:rFonts w:ascii="Times New Roman;Times;serif" w:hAnsi="Times New Roman;Times;serif"/>
                <w:b w:val="false"/>
                <w:i w:val="false"/>
                <w:caps w:val="false"/>
                <w:smallCaps w:val="false"/>
                <w:color w:val="222222"/>
                <w:sz w:val="20"/>
              </w:rPr>
              <w:t>In connection with Mr. Akhavan’s resignation, we entered into a separate agreement providing for the accelerated vesting of one tranche of his options.</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granted under Stock Incentive Plans generally vest at the rate of 20% - 33% per year commencing one year from the date of grant.</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granted under DISH Network’s performance-based plans vest at various times based on certain company-specific goals, discussed under “2019 Long-Term Incentive Plan” and “2022 Incentive Plan” above.</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represents the number of unvested, performance-based restricted stock units multiplied by $108.70, the closing market price of the Company’s Class A Shares on December 31, 2025.</w:t>
            </w:r>
          </w:p>
        </w:tc>
      </w:tr>
    </w:tbl>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discussed, on March 4, 2024, we commenced an Exchange Offer to eligible employees (which excludes our co-founders and the independent members of our Board of Directors) to exchange eligible stock options for new options to, among other things, further align employee incentives with the current market. As a result of the Exchange Offer, options to purchase shares under the 2019 LTIP were exchanged and the exercise price of these options was adjusted to $14.04 effective April 1, 2024.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Option Exercises and Stock Vested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exercises of stock options by our NEOs and the vesting of stock and restricted stock units held by our NEOs during the year ended December 31, 2025.</w:t>
      </w:r>
    </w:p>
    <w:p>
      <w:pPr>
        <w:pStyle w:val="TextBody"/>
        <w:bidi w:val="0"/>
        <w:spacing w:before="0" w:after="240"/>
        <w:ind w:left="0" w:right="0" w:hanging="0"/>
        <w:jc w:val="both"/>
        <w:rPr/>
      </w:pPr>
      <w:r>
        <w:rPr/>
        <w:t>​</w:t>
      </w:r>
    </w:p>
    <w:tbl>
      <w:tblPr>
        <w:tblW w:w="7301" w:type="dxa"/>
        <w:jc w:val="left"/>
        <w:tblInd w:w="0" w:type="dxa"/>
        <w:tblLayout w:type="fixed"/>
        <w:tblCellMar>
          <w:top w:w="0" w:type="dxa"/>
          <w:left w:w="0" w:type="dxa"/>
          <w:bottom w:w="0" w:type="dxa"/>
          <w:right w:w="0" w:type="dxa"/>
        </w:tblCellMar>
      </w:tblPr>
      <w:tblGrid>
        <w:gridCol w:w="1486"/>
        <w:gridCol w:w="346"/>
        <w:gridCol w:w="976"/>
        <w:gridCol w:w="346"/>
        <w:gridCol w:w="196"/>
        <w:gridCol w:w="916"/>
        <w:gridCol w:w="346"/>
        <w:gridCol w:w="1186"/>
        <w:gridCol w:w="346"/>
        <w:gridCol w:w="196"/>
        <w:gridCol w:w="961"/>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943610" cy="175260"/>
                      <wp:effectExtent l="0" t="0" r="0" b="0"/>
                      <wp:wrapNone/>
                      <wp:docPr id="211" name="Frame204"/>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19710" cy="175260"/>
                      <wp:effectExtent l="0" t="0" r="0" b="0"/>
                      <wp:wrapNone/>
                      <wp:docPr id="212"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19760" cy="175260"/>
                      <wp:effectExtent l="0" t="0" r="0" b="0"/>
                      <wp:wrapNone/>
                      <wp:docPr id="213" name="Frame20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4"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24460" cy="175260"/>
                      <wp:effectExtent l="0" t="0" r="0" b="0"/>
                      <wp:wrapNone/>
                      <wp:docPr id="215" name="Frame2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81660" cy="175260"/>
                      <wp:effectExtent l="0" t="0" r="0" b="0"/>
                      <wp:wrapNone/>
                      <wp:docPr id="216" name="Frame20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17"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753110" cy="175260"/>
                      <wp:effectExtent l="0" t="0" r="0" b="0"/>
                      <wp:wrapNone/>
                      <wp:docPr id="218" name="Frame211"/>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19710" cy="175260"/>
                      <wp:effectExtent l="0" t="0" r="0" b="0"/>
                      <wp:wrapNone/>
                      <wp:docPr id="219"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24460" cy="175260"/>
                      <wp:effectExtent l="0" t="0" r="0" b="0"/>
                      <wp:wrapNone/>
                      <wp:docPr id="220" name="Frame2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10235" cy="175260"/>
                      <wp:effectExtent l="0" t="0" r="0" b="0"/>
                      <wp:wrapNone/>
                      <wp:docPr id="221" name="Frame214"/>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43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Option Awards</w:t>
            </w:r>
          </w:p>
        </w:tc>
        <w:tc>
          <w:tcPr>
            <w:tcW w:w="346" w:type="dxa"/>
            <w:tcBorders/>
            <w:vAlign w:val="center"/>
          </w:tcPr>
          <w:p>
            <w:pPr>
              <w:pStyle w:val="TableContents"/>
              <w:bidi w:val="0"/>
              <w:spacing w:before="0" w:after="1"/>
              <w:ind w:left="0" w:right="0" w:hanging="0"/>
              <w:jc w:val="center"/>
              <w:rPr/>
            </w:pPr>
            <w:r>
              <w:rPr/>
              <w:t>​</w:t>
            </w:r>
          </w:p>
        </w:tc>
        <w:tc>
          <w:tcPr>
            <w:tcW w:w="268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Stock Awards</w:t>
            </w:r>
          </w:p>
        </w:tc>
      </w:tr>
      <w:tr>
        <w:trPr/>
        <w:tc>
          <w:tcPr>
            <w:tcW w:w="14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961" w:type="dxa"/>
            <w:tcBorders/>
            <w:vAlign w:val="center"/>
          </w:tcPr>
          <w:p>
            <w:pPr>
              <w:pStyle w:val="TableContents"/>
              <w:bidi w:val="0"/>
              <w:spacing w:before="0" w:after="1"/>
              <w:ind w:left="0" w:right="0" w:hanging="0"/>
              <w:jc w:val="center"/>
              <w:rPr/>
            </w:pPr>
            <w:r>
              <w:rPr/>
              <w:t>​</w:t>
            </w:r>
          </w:p>
        </w:tc>
      </w:tr>
      <w:tr>
        <w:trPr/>
        <w:tc>
          <w:tcPr>
            <w:tcW w:w="14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346" w:type="dxa"/>
            <w:tcBorders/>
            <w:vAlign w:val="center"/>
          </w:tcPr>
          <w:p>
            <w:pPr>
              <w:pStyle w:val="TableContents"/>
              <w:bidi w:val="0"/>
              <w:spacing w:before="0" w:after="1"/>
              <w:ind w:left="0" w:right="0" w:hanging="0"/>
              <w:jc w:val="center"/>
              <w:rPr/>
            </w:pPr>
            <w:r>
              <w:rPr/>
              <w:t>​</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Value </w:t>
            </w:r>
          </w:p>
        </w:tc>
        <w:tc>
          <w:tcPr>
            <w:tcW w:w="34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Number of</w:t>
            </w:r>
          </w:p>
        </w:tc>
        <w:tc>
          <w:tcPr>
            <w:tcW w:w="346" w:type="dxa"/>
            <w:tcBorders/>
            <w:vAlign w:val="center"/>
          </w:tcPr>
          <w:p>
            <w:pPr>
              <w:pStyle w:val="TableContents"/>
              <w:bidi w:val="0"/>
              <w:spacing w:before="0" w:after="1"/>
              <w:ind w:left="0" w:right="0" w:hanging="0"/>
              <w:jc w:val="center"/>
              <w:rPr/>
            </w:pPr>
            <w:r>
              <w:rPr/>
              <w:t>​</w:t>
            </w:r>
          </w:p>
        </w:tc>
        <w:tc>
          <w:tcPr>
            <w:tcW w:w="115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Value</w:t>
            </w:r>
          </w:p>
        </w:tc>
      </w:tr>
      <w:tr>
        <w:trPr/>
        <w:tc>
          <w:tcPr>
            <w:tcW w:w="14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Acquired </w:t>
            </w:r>
          </w:p>
        </w:tc>
        <w:tc>
          <w:tcPr>
            <w:tcW w:w="346" w:type="dxa"/>
            <w:tcBorders/>
            <w:vAlign w:val="center"/>
          </w:tcPr>
          <w:p>
            <w:pPr>
              <w:pStyle w:val="TableContents"/>
              <w:bidi w:val="0"/>
              <w:spacing w:before="0" w:after="1"/>
              <w:ind w:left="0" w:right="0" w:hanging="0"/>
              <w:jc w:val="center"/>
              <w:rPr/>
            </w:pPr>
            <w:r>
              <w:rPr/>
              <w:t>​</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Realized on </w:t>
            </w:r>
          </w:p>
        </w:tc>
        <w:tc>
          <w:tcPr>
            <w:tcW w:w="34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Shares </w:t>
            </w:r>
          </w:p>
        </w:tc>
        <w:tc>
          <w:tcPr>
            <w:tcW w:w="346" w:type="dxa"/>
            <w:tcBorders/>
            <w:vAlign w:val="center"/>
          </w:tcPr>
          <w:p>
            <w:pPr>
              <w:pStyle w:val="TableContents"/>
              <w:bidi w:val="0"/>
              <w:spacing w:before="0" w:after="1"/>
              <w:ind w:left="0" w:right="0" w:hanging="0"/>
              <w:jc w:val="center"/>
              <w:rPr/>
            </w:pPr>
            <w:r>
              <w:rPr/>
              <w:t>​</w:t>
            </w:r>
          </w:p>
        </w:tc>
        <w:tc>
          <w:tcPr>
            <w:tcW w:w="115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Realized on</w:t>
            </w:r>
          </w:p>
        </w:tc>
      </w:tr>
      <w:tr>
        <w:trPr/>
        <w:tc>
          <w:tcPr>
            <w:tcW w:w="14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97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on Exercise</w:t>
            </w:r>
          </w:p>
        </w:tc>
        <w:tc>
          <w:tcPr>
            <w:tcW w:w="346" w:type="dxa"/>
            <w:tcBorders/>
            <w:vAlign w:val="center"/>
          </w:tcPr>
          <w:p>
            <w:pPr>
              <w:pStyle w:val="TableContents"/>
              <w:bidi w:val="0"/>
              <w:spacing w:before="0" w:after="1"/>
              <w:ind w:left="0" w:right="0" w:hanging="0"/>
              <w:jc w:val="center"/>
              <w:rPr/>
            </w:pPr>
            <w:r>
              <w:rPr/>
              <w:t>​</w:t>
            </w:r>
          </w:p>
        </w:tc>
        <w:tc>
          <w:tcPr>
            <w:tcW w:w="111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Exercise (1)</w:t>
            </w:r>
          </w:p>
        </w:tc>
        <w:tc>
          <w:tcPr>
            <w:tcW w:w="34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Acquired</w:t>
            </w:r>
          </w:p>
        </w:tc>
        <w:tc>
          <w:tcPr>
            <w:tcW w:w="346" w:type="dxa"/>
            <w:tcBorders/>
            <w:vAlign w:val="center"/>
          </w:tcPr>
          <w:p>
            <w:pPr>
              <w:pStyle w:val="TableContents"/>
              <w:bidi w:val="0"/>
              <w:spacing w:before="0" w:after="1"/>
              <w:ind w:left="0" w:right="0" w:hanging="0"/>
              <w:jc w:val="center"/>
              <w:rPr/>
            </w:pPr>
            <w:r>
              <w:rPr/>
              <w:t>​</w:t>
            </w:r>
          </w:p>
        </w:tc>
        <w:tc>
          <w:tcPr>
            <w:tcW w:w="1157"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Vesting</w:t>
            </w:r>
          </w:p>
        </w:tc>
      </w:tr>
      <w:tr>
        <w:trPr/>
        <w:tc>
          <w:tcPr>
            <w:tcW w:w="14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Name</w:t>
            </w:r>
          </w:p>
        </w:tc>
        <w:tc>
          <w:tcPr>
            <w:tcW w:w="346" w:type="dxa"/>
            <w:tcBorders/>
            <w:vAlign w:val="center"/>
          </w:tcPr>
          <w:p>
            <w:pPr>
              <w:pStyle w:val="TableContents"/>
              <w:bidi w:val="0"/>
              <w:spacing w:before="0" w:after="1"/>
              <w:ind w:left="0" w:right="0" w:hanging="0"/>
              <w:jc w:val="left"/>
              <w:rPr/>
            </w:pPr>
            <w:r>
              <w:rPr/>
              <w:t>  ​ ​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346" w:type="dxa"/>
            <w:tcBorders/>
            <w:vAlign w:val="center"/>
          </w:tcPr>
          <w:p>
            <w:pPr>
              <w:pStyle w:val="TableContents"/>
              <w:bidi w:val="0"/>
              <w:spacing w:before="0" w:after="1"/>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346" w:type="dxa"/>
            <w:tcBorders/>
            <w:vAlign w:val="center"/>
          </w:tcPr>
          <w:p>
            <w:pPr>
              <w:pStyle w:val="TableContents"/>
              <w:bidi w:val="0"/>
              <w:spacing w:before="0" w:after="1"/>
              <w:ind w:left="0" w:right="0" w:hanging="0"/>
              <w:jc w:val="left"/>
              <w:rPr/>
            </w:pPr>
            <w:r>
              <w:rPr/>
              <w:t>  ​ ​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on Vesting (#)</w:t>
            </w:r>
          </w:p>
        </w:tc>
        <w:tc>
          <w:tcPr>
            <w:tcW w:w="346" w:type="dxa"/>
            <w:tcBorders/>
            <w:vAlign w:val="center"/>
          </w:tcPr>
          <w:p>
            <w:pPr>
              <w:pStyle w:val="TableContents"/>
              <w:bidi w:val="0"/>
              <w:spacing w:before="0" w:after="1"/>
              <w:ind w:left="0" w:right="0" w:hanging="0"/>
              <w:jc w:val="left"/>
              <w:rPr/>
            </w:pPr>
            <w:r>
              <w:rPr/>
              <w:t>  ​ ​ ​</w:t>
            </w:r>
          </w:p>
        </w:tc>
        <w:tc>
          <w:tcPr>
            <w:tcW w:w="11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r>
      <w:tr>
        <w:trPr/>
        <w:tc>
          <w:tcPr>
            <w:tcW w:w="14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Charles W. Ergen</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shd w:fill="CCEEFF" w:val="clear"/>
            <w:vAlign w:val="center"/>
          </w:tcPr>
          <w:p>
            <w:pPr>
              <w:pStyle w:val="TableContents"/>
              <w:bidi w:val="0"/>
              <w:spacing w:before="0" w:after="1"/>
              <w:ind w:left="0" w:right="0" w:hanging="0"/>
              <w:jc w:val="right"/>
              <w:rPr/>
            </w:pPr>
            <w:r>
              <w:rPr/>
              <w:t>—</w:t>
            </w:r>
          </w:p>
        </w:tc>
      </w:tr>
      <w:tr>
        <w:trPr/>
        <w:tc>
          <w:tcPr>
            <w:tcW w:w="14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Hamid Akhavan</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519,750</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39,845,019</w:t>
            </w:r>
          </w:p>
        </w:tc>
        <w:tc>
          <w:tcPr>
            <w:tcW w:w="34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263,158</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28,605,275</w:t>
            </w:r>
          </w:p>
        </w:tc>
      </w:tr>
      <w:tr>
        <w:trPr/>
        <w:tc>
          <w:tcPr>
            <w:tcW w:w="14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John W. Swieringa</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127,559</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8,477,047</w:t>
            </w:r>
          </w:p>
        </w:tc>
        <w:tc>
          <w:tcPr>
            <w:tcW w:w="34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71,052</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4,457,091</w:t>
            </w:r>
          </w:p>
        </w:tc>
      </w:tr>
      <w:tr>
        <w:trPr/>
        <w:tc>
          <w:tcPr>
            <w:tcW w:w="14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Paul W. Orban</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76,764</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3,474,766</w:t>
            </w:r>
          </w:p>
        </w:tc>
        <w:tc>
          <w:tcPr>
            <w:tcW w:w="34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vAlign w:val="center"/>
          </w:tcPr>
          <w:p>
            <w:pPr>
              <w:pStyle w:val="TableContents"/>
              <w:bidi w:val="0"/>
              <w:spacing w:before="0" w:after="1"/>
              <w:ind w:left="0" w:right="0" w:hanging="0"/>
              <w:jc w:val="right"/>
              <w:rPr/>
            </w:pPr>
            <w:r>
              <w:rPr/>
              <w:t>—</w:t>
            </w:r>
          </w:p>
        </w:tc>
      </w:tr>
      <w:tr>
        <w:trPr/>
        <w:tc>
          <w:tcPr>
            <w:tcW w:w="14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Dean A. Manson</w:t>
            </w:r>
          </w:p>
        </w:tc>
        <w:tc>
          <w:tcPr>
            <w:tcW w:w="34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85,000</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4,506,138</w:t>
            </w:r>
          </w:p>
        </w:tc>
        <w:tc>
          <w:tcPr>
            <w:tcW w:w="34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shd w:fill="CCEEFF" w:val="clear"/>
            <w:vAlign w:val="center"/>
          </w:tcPr>
          <w:p>
            <w:pPr>
              <w:pStyle w:val="TableContents"/>
              <w:bidi w:val="0"/>
              <w:spacing w:before="0" w:after="1"/>
              <w:ind w:left="0" w:right="0" w:hanging="0"/>
              <w:jc w:val="right"/>
              <w:rPr/>
            </w:pPr>
            <w:r>
              <w:rPr/>
              <w:t>—</w:t>
            </w:r>
          </w:p>
        </w:tc>
      </w:tr>
      <w:tr>
        <w:trPr/>
        <w:tc>
          <w:tcPr>
            <w:tcW w:w="14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Paul Gaske</w:t>
            </w:r>
          </w:p>
        </w:tc>
        <w:tc>
          <w:tcPr>
            <w:tcW w:w="34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53,039</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3,476,823</w:t>
            </w:r>
          </w:p>
        </w:tc>
        <w:tc>
          <w:tcPr>
            <w:tcW w:w="34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961" w:type="dxa"/>
            <w:tcBorders/>
            <w:vAlign w:val="center"/>
          </w:tcPr>
          <w:p>
            <w:pPr>
              <w:pStyle w:val="TableContents"/>
              <w:bidi w:val="0"/>
              <w:spacing w:before="0" w:after="1"/>
              <w:ind w:left="0" w:right="60" w:hanging="0"/>
              <w:jc w:val="right"/>
              <w:rPr/>
            </w:pPr>
            <w:r>
              <w:rPr/>
              <w:t>—</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90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value realized on exercise is computed by multiplying the difference between: (i) for stock options, the exercise price of the stock option and the market price of the shares by the number of shares with respect to which the option was exercised; and (ii) for other stock awards, zero and the closing market price of the shares on the date of acquisition (or the prior trading day if the date of acquisition was not a trading day) by the number of shares acquired.</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Nonqualified Deferred Compensation</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nonqualified deferred compensation earned or contributed by, or on behalf of, our NEOs under our Nonqualified Plan for the year ended December 31, 2025.</w:t>
      </w:r>
    </w:p>
    <w:tbl>
      <w:tblPr>
        <w:tblW w:w="8684" w:type="dxa"/>
        <w:jc w:val="left"/>
        <w:tblInd w:w="0" w:type="dxa"/>
        <w:tblLayout w:type="fixed"/>
        <w:tblCellMar>
          <w:top w:w="0" w:type="dxa"/>
          <w:left w:w="0" w:type="dxa"/>
          <w:bottom w:w="0" w:type="dxa"/>
          <w:right w:w="0" w:type="dxa"/>
        </w:tblCellMar>
      </w:tblPr>
      <w:tblGrid>
        <w:gridCol w:w="1486"/>
        <w:gridCol w:w="346"/>
        <w:gridCol w:w="308"/>
        <w:gridCol w:w="1087"/>
        <w:gridCol w:w="346"/>
        <w:gridCol w:w="503"/>
        <w:gridCol w:w="892"/>
        <w:gridCol w:w="109"/>
        <w:gridCol w:w="246"/>
        <w:gridCol w:w="759"/>
        <w:gridCol w:w="346"/>
        <w:gridCol w:w="417"/>
        <w:gridCol w:w="738"/>
        <w:gridCol w:w="109"/>
        <w:gridCol w:w="196"/>
        <w:gridCol w:w="796"/>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943610" cy="175260"/>
                      <wp:effectExtent l="0" t="0" r="0" b="0"/>
                      <wp:wrapNone/>
                      <wp:docPr id="222" name="Frame215"/>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3" name="Frame2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95580" cy="175260"/>
                      <wp:effectExtent l="0" t="0" r="0" b="0"/>
                      <wp:wrapNone/>
                      <wp:docPr id="224" name="Frame217"/>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90245" cy="175260"/>
                      <wp:effectExtent l="0" t="0" r="0" b="0"/>
                      <wp:wrapNone/>
                      <wp:docPr id="225" name="Frame218"/>
                      <a:graphic xmlns:a="http://schemas.openxmlformats.org/drawingml/2006/main">
                        <a:graphicData uri="http://schemas.microsoft.com/office/word/2010/wordprocessingShape">
                          <wps:wsp>
                            <wps:cNvSpPr txBox="1"/>
                            <wps:spPr>
                              <a:xfrm>
                                <a:off x="0" y="0"/>
                                <a:ext cx="690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6"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319405" cy="175260"/>
                      <wp:effectExtent l="0" t="0" r="0" b="0"/>
                      <wp:wrapNone/>
                      <wp:docPr id="227" name="Frame220"/>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66420" cy="175260"/>
                      <wp:effectExtent l="0" t="0" r="0" b="0"/>
                      <wp:wrapNone/>
                      <wp:docPr id="228" name="Frame221"/>
                      <a:graphic xmlns:a="http://schemas.openxmlformats.org/drawingml/2006/main">
                        <a:graphicData uri="http://schemas.microsoft.com/office/word/2010/wordprocessingShape">
                          <wps:wsp>
                            <wps:cNvSpPr txBox="1"/>
                            <wps:spPr>
                              <a:xfrm>
                                <a:off x="0" y="0"/>
                                <a:ext cx="566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9215" cy="175260"/>
                      <wp:effectExtent l="0" t="0" r="0" b="0"/>
                      <wp:wrapNone/>
                      <wp:docPr id="229" name="Frame22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56210" cy="175260"/>
                      <wp:effectExtent l="0" t="0" r="0" b="0"/>
                      <wp:wrapNone/>
                      <wp:docPr id="230" name="Frame223"/>
                      <a:graphic xmlns:a="http://schemas.openxmlformats.org/drawingml/2006/main">
                        <a:graphicData uri="http://schemas.microsoft.com/office/word/2010/wordprocessingShape">
                          <wps:wsp>
                            <wps:cNvSpPr txBox="1"/>
                            <wps:spPr>
                              <a:xfrm>
                                <a:off x="0" y="0"/>
                                <a:ext cx="156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81965" cy="175260"/>
                      <wp:effectExtent l="0" t="0" r="0" b="0"/>
                      <wp:wrapNone/>
                      <wp:docPr id="231" name="Frame224"/>
                      <a:graphic xmlns:a="http://schemas.openxmlformats.org/drawingml/2006/main">
                        <a:graphicData uri="http://schemas.microsoft.com/office/word/2010/wordprocessingShape">
                          <wps:wsp>
                            <wps:cNvSpPr txBox="1"/>
                            <wps:spPr>
                              <a:xfrm>
                                <a:off x="0" y="0"/>
                                <a:ext cx="481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2"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64795" cy="175260"/>
                      <wp:effectExtent l="0" t="0" r="0" b="0"/>
                      <wp:wrapNone/>
                      <wp:docPr id="233" name="Frame226"/>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468630" cy="175260"/>
                      <wp:effectExtent l="0" t="0" r="0" b="0"/>
                      <wp:wrapNone/>
                      <wp:docPr id="234" name="Frame227"/>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9215" cy="175260"/>
                      <wp:effectExtent l="0" t="0" r="0" b="0"/>
                      <wp:wrapNone/>
                      <wp:docPr id="235" name="Frame2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24460" cy="175260"/>
                      <wp:effectExtent l="0" t="0" r="0" b="0"/>
                      <wp:wrapNone/>
                      <wp:docPr id="236" name="Frame2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05460" cy="175260"/>
                      <wp:effectExtent l="0" t="0" r="0" b="0"/>
                      <wp:wrapNone/>
                      <wp:docPr id="237" name="Frame23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9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Executive</w:t>
            </w:r>
          </w:p>
        </w:tc>
        <w:tc>
          <w:tcPr>
            <w:tcW w:w="346" w:type="dxa"/>
            <w:tcBorders/>
            <w:vAlign w:val="center"/>
          </w:tcPr>
          <w:p>
            <w:pPr>
              <w:pStyle w:val="TableContents"/>
              <w:bidi w:val="0"/>
              <w:spacing w:before="0" w:after="1"/>
              <w:ind w:left="0" w:right="0" w:hanging="0"/>
              <w:jc w:val="center"/>
              <w:rPr/>
            </w:pPr>
            <w:r>
              <w:rPr/>
              <w:t>​</w:t>
            </w:r>
          </w:p>
        </w:tc>
        <w:tc>
          <w:tcPr>
            <w:tcW w:w="139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Registrant</w:t>
            </w:r>
          </w:p>
        </w:tc>
        <w:tc>
          <w:tcPr>
            <w:tcW w:w="109" w:type="dxa"/>
            <w:tcBorders/>
            <w:vAlign w:val="center"/>
          </w:tcPr>
          <w:p>
            <w:pPr>
              <w:pStyle w:val="TableContents"/>
              <w:bidi w:val="0"/>
              <w:spacing w:before="0" w:after="1"/>
              <w:ind w:left="0" w:right="0" w:hanging="0"/>
              <w:jc w:val="center"/>
              <w:rPr/>
            </w:pPr>
            <w:r>
              <w:rPr/>
              <w:t>​</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Aggregate</w:t>
            </w:r>
          </w:p>
        </w:tc>
        <w:tc>
          <w:tcPr>
            <w:tcW w:w="346" w:type="dxa"/>
            <w:tcBorders/>
            <w:vAlign w:val="center"/>
          </w:tcPr>
          <w:p>
            <w:pPr>
              <w:pStyle w:val="TableContents"/>
              <w:bidi w:val="0"/>
              <w:spacing w:before="0" w:after="1"/>
              <w:ind w:left="0" w:right="0" w:hanging="0"/>
              <w:jc w:val="center"/>
              <w:rPr/>
            </w:pPr>
            <w:r>
              <w:rPr/>
              <w:t>​</w:t>
            </w:r>
          </w:p>
        </w:tc>
        <w:tc>
          <w:tcPr>
            <w:tcW w:w="115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Aggregate</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Aggregate</w:t>
            </w:r>
          </w:p>
        </w:tc>
      </w:tr>
      <w:tr>
        <w:trPr/>
        <w:tc>
          <w:tcPr>
            <w:tcW w:w="14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39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Contributions in</w:t>
            </w:r>
          </w:p>
        </w:tc>
        <w:tc>
          <w:tcPr>
            <w:tcW w:w="346" w:type="dxa"/>
            <w:tcBorders/>
            <w:vAlign w:val="center"/>
          </w:tcPr>
          <w:p>
            <w:pPr>
              <w:pStyle w:val="TableContents"/>
              <w:bidi w:val="0"/>
              <w:spacing w:before="0" w:after="1"/>
              <w:ind w:left="0" w:right="0" w:hanging="0"/>
              <w:jc w:val="center"/>
              <w:rPr/>
            </w:pPr>
            <w:r>
              <w:rPr/>
              <w:t>​</w:t>
            </w:r>
          </w:p>
        </w:tc>
        <w:tc>
          <w:tcPr>
            <w:tcW w:w="139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Contributions in</w:t>
            </w:r>
          </w:p>
        </w:tc>
        <w:tc>
          <w:tcPr>
            <w:tcW w:w="109" w:type="dxa"/>
            <w:tcBorders/>
            <w:vAlign w:val="center"/>
          </w:tcPr>
          <w:p>
            <w:pPr>
              <w:pStyle w:val="TableContents"/>
              <w:bidi w:val="0"/>
              <w:spacing w:before="0" w:after="1"/>
              <w:ind w:left="0" w:right="0" w:hanging="0"/>
              <w:jc w:val="center"/>
              <w:rPr/>
            </w:pPr>
            <w:r>
              <w:rPr/>
              <w:t>​</w:t>
            </w:r>
          </w:p>
        </w:tc>
        <w:tc>
          <w:tcPr>
            <w:tcW w:w="100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Earnings in</w:t>
            </w:r>
          </w:p>
        </w:tc>
        <w:tc>
          <w:tcPr>
            <w:tcW w:w="346" w:type="dxa"/>
            <w:tcBorders/>
            <w:vAlign w:val="center"/>
          </w:tcPr>
          <w:p>
            <w:pPr>
              <w:pStyle w:val="TableContents"/>
              <w:bidi w:val="0"/>
              <w:spacing w:before="0" w:after="1"/>
              <w:ind w:left="0" w:right="0" w:hanging="0"/>
              <w:jc w:val="center"/>
              <w:rPr/>
            </w:pPr>
            <w:r>
              <w:rPr/>
              <w:t>​</w:t>
            </w:r>
          </w:p>
        </w:tc>
        <w:tc>
          <w:tcPr>
            <w:tcW w:w="1155"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Withdrawals/</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Balance at</w:t>
            </w:r>
          </w:p>
        </w:tc>
      </w:tr>
      <w:tr>
        <w:trPr/>
        <w:tc>
          <w:tcPr>
            <w:tcW w:w="14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Name</w:t>
            </w:r>
          </w:p>
        </w:tc>
        <w:tc>
          <w:tcPr>
            <w:tcW w:w="346" w:type="dxa"/>
            <w:tcBorders/>
            <w:vAlign w:val="center"/>
          </w:tcPr>
          <w:p>
            <w:pPr>
              <w:pStyle w:val="TableContents"/>
              <w:bidi w:val="0"/>
              <w:spacing w:before="0" w:after="1"/>
              <w:ind w:left="0" w:right="0" w:hanging="0"/>
              <w:jc w:val="left"/>
              <w:rPr/>
            </w:pPr>
            <w:r>
              <w:rPr/>
              <w:t>  ​ ​ ​</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3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109" w:type="dxa"/>
            <w:tcBorders/>
            <w:vAlign w:val="center"/>
          </w:tcPr>
          <w:p>
            <w:pPr>
              <w:pStyle w:val="TableContents"/>
              <w:bidi w:val="0"/>
              <w:spacing w:before="0" w:after="1"/>
              <w:ind w:left="0" w:right="0" w:hanging="0"/>
              <w:jc w:val="center"/>
              <w:rPr/>
            </w:pPr>
            <w:r>
              <w:rPr/>
              <w:t>​</w:t>
            </w:r>
          </w:p>
        </w:tc>
        <w:tc>
          <w:tcPr>
            <w:tcW w:w="10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46" w:type="dxa"/>
            <w:tcBorders/>
            <w:vAlign w:val="center"/>
          </w:tcPr>
          <w:p>
            <w:pPr>
              <w:pStyle w:val="TableContents"/>
              <w:bidi w:val="0"/>
              <w:spacing w:before="0" w:after="1"/>
              <w:ind w:left="0" w:right="0" w:hanging="0"/>
              <w:jc w:val="left"/>
              <w:rPr/>
            </w:pPr>
            <w:r>
              <w:rPr/>
              <w:t>  ​ ​ ​</w:t>
            </w:r>
          </w:p>
        </w:tc>
        <w:tc>
          <w:tcPr>
            <w:tcW w:w="11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Distributions</w:t>
            </w:r>
          </w:p>
        </w:tc>
        <w:tc>
          <w:tcPr>
            <w:tcW w:w="109" w:type="dxa"/>
            <w:tcBorders/>
            <w:vAlign w:val="center"/>
          </w:tcPr>
          <w:p>
            <w:pPr>
              <w:pStyle w:val="TableContents"/>
              <w:bidi w:val="0"/>
              <w:spacing w:before="0" w:after="1"/>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12/31/25</w:t>
            </w:r>
          </w:p>
        </w:tc>
      </w:tr>
      <w:tr>
        <w:trPr/>
        <w:tc>
          <w:tcPr>
            <w:tcW w:w="14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Charles W. Ergen</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1"/>
              <w:ind w:left="0" w:right="0" w:hanging="0"/>
              <w:jc w:val="right"/>
              <w:rPr/>
            </w:pPr>
            <w:r>
              <w:rPr/>
              <w:t>—</w:t>
            </w:r>
          </w:p>
        </w:tc>
      </w:tr>
      <w:tr>
        <w:trPr/>
        <w:tc>
          <w:tcPr>
            <w:tcW w:w="14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Hamid Akhavan</w:t>
            </w:r>
          </w:p>
        </w:tc>
        <w:tc>
          <w:tcPr>
            <w:tcW w:w="34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8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301,002</w:t>
            </w:r>
          </w:p>
        </w:tc>
        <w:tc>
          <w:tcPr>
            <w:tcW w:w="346"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28,087</w:t>
            </w:r>
          </w:p>
        </w:tc>
        <w:tc>
          <w:tcPr>
            <w:tcW w:w="346"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329,089</w:t>
            </w:r>
          </w:p>
        </w:tc>
      </w:tr>
      <w:tr>
        <w:trPr/>
        <w:tc>
          <w:tcPr>
            <w:tcW w:w="14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John W. Swieringa</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1"/>
              <w:ind w:left="0" w:right="0" w:hanging="0"/>
              <w:jc w:val="right"/>
              <w:rPr/>
            </w:pPr>
            <w:r>
              <w:rPr/>
              <w:t>—</w:t>
            </w:r>
          </w:p>
        </w:tc>
      </w:tr>
      <w:tr>
        <w:trPr/>
        <w:tc>
          <w:tcPr>
            <w:tcW w:w="14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Paul W. Orban</w:t>
            </w:r>
          </w:p>
        </w:tc>
        <w:tc>
          <w:tcPr>
            <w:tcW w:w="34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vAlign w:val="center"/>
          </w:tcPr>
          <w:p>
            <w:pPr>
              <w:pStyle w:val="TableContents"/>
              <w:bidi w:val="0"/>
              <w:spacing w:before="0" w:after="1"/>
              <w:ind w:left="0" w:right="0" w:hanging="0"/>
              <w:jc w:val="right"/>
              <w:rPr/>
            </w:pPr>
            <w:r>
              <w:rPr/>
              <w:t>—</w:t>
            </w:r>
          </w:p>
        </w:tc>
      </w:tr>
      <w:tr>
        <w:trPr/>
        <w:tc>
          <w:tcPr>
            <w:tcW w:w="148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Dean A. Manson</w:t>
            </w:r>
          </w:p>
        </w:tc>
        <w:tc>
          <w:tcPr>
            <w:tcW w:w="346" w:type="dxa"/>
            <w:tcBorders/>
            <w:shd w:fill="CCEEFF" w:val="clear"/>
            <w:vAlign w:val="center"/>
          </w:tcPr>
          <w:p>
            <w:pPr>
              <w:pStyle w:val="TableContents"/>
              <w:bidi w:val="0"/>
              <w:spacing w:before="0" w:after="1"/>
              <w:ind w:left="0" w:right="0" w:hanging="0"/>
              <w:jc w:val="left"/>
              <w:rPr/>
            </w:pPr>
            <w:r>
              <w:rPr/>
              <w:t>​</w:t>
            </w:r>
          </w:p>
        </w:tc>
        <w:tc>
          <w:tcPr>
            <w:tcW w:w="308"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87"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03"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2"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4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64,458</w:t>
            </w:r>
          </w:p>
        </w:tc>
        <w:tc>
          <w:tcPr>
            <w:tcW w:w="346" w:type="dxa"/>
            <w:tcBorders/>
            <w:shd w:fill="CCEEFF" w:val="clear"/>
            <w:vAlign w:val="center"/>
          </w:tcPr>
          <w:p>
            <w:pPr>
              <w:pStyle w:val="TableContents"/>
              <w:bidi w:val="0"/>
              <w:spacing w:before="0" w:after="1"/>
              <w:ind w:left="0" w:right="0" w:hanging="0"/>
              <w:jc w:val="left"/>
              <w:rPr/>
            </w:pPr>
            <w:r>
              <w:rPr/>
              <w:t>​</w:t>
            </w:r>
          </w:p>
        </w:tc>
        <w:tc>
          <w:tcPr>
            <w:tcW w:w="417"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8"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925,425</w:t>
            </w:r>
          </w:p>
        </w:tc>
      </w:tr>
      <w:tr>
        <w:trPr/>
        <w:tc>
          <w:tcPr>
            <w:tcW w:w="148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Paul Gaske</w:t>
            </w:r>
          </w:p>
        </w:tc>
        <w:tc>
          <w:tcPr>
            <w:tcW w:w="346" w:type="dxa"/>
            <w:tcBorders/>
            <w:vAlign w:val="center"/>
          </w:tcPr>
          <w:p>
            <w:pPr>
              <w:pStyle w:val="TableContents"/>
              <w:bidi w:val="0"/>
              <w:spacing w:before="0" w:after="1"/>
              <w:ind w:left="0" w:right="0" w:hanging="0"/>
              <w:jc w:val="left"/>
              <w:rPr/>
            </w:pPr>
            <w:r>
              <w:rPr/>
              <w:t>​</w:t>
            </w:r>
          </w:p>
        </w:tc>
        <w:tc>
          <w:tcPr>
            <w:tcW w:w="308"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1087"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03"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92"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24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5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72,348</w:t>
            </w:r>
          </w:p>
        </w:tc>
        <w:tc>
          <w:tcPr>
            <w:tcW w:w="346" w:type="dxa"/>
            <w:tcBorders/>
            <w:vAlign w:val="center"/>
          </w:tcPr>
          <w:p>
            <w:pPr>
              <w:pStyle w:val="TableContents"/>
              <w:bidi w:val="0"/>
              <w:spacing w:before="0" w:after="1"/>
              <w:ind w:left="0" w:right="0" w:hanging="0"/>
              <w:jc w:val="left"/>
              <w:rPr/>
            </w:pPr>
            <w:r>
              <w:rPr/>
              <w:t>​</w:t>
            </w:r>
          </w:p>
        </w:tc>
        <w:tc>
          <w:tcPr>
            <w:tcW w:w="417"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38"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96" w:type="dxa"/>
            <w:tcBorders/>
            <w:vAlign w:val="center"/>
          </w:tcPr>
          <w:p>
            <w:pPr>
              <w:pStyle w:val="TableContents"/>
              <w:bidi w:val="0"/>
              <w:spacing w:before="0" w:after="1"/>
              <w:ind w:left="0" w:right="60" w:hanging="0"/>
              <w:jc w:val="right"/>
              <w:rPr>
                <w:rFonts w:ascii="Times New Roman;Times;serif" w:hAnsi="Times New Roman;Times;serif"/>
                <w:sz w:val="18"/>
              </w:rPr>
            </w:pPr>
            <w:r>
              <w:rPr>
                <w:rFonts w:ascii="Times New Roman;Times;serif" w:hAnsi="Times New Roman;Times;serif"/>
                <w:sz w:val="18"/>
              </w:rPr>
              <w:t>624,878</w:t>
            </w:r>
          </w:p>
        </w:tc>
      </w:tr>
    </w:tbl>
    <w:tbl>
      <w:tblPr>
        <w:tblW w:w="10205" w:type="dxa"/>
        <w:jc w:val="left"/>
        <w:tblInd w:w="0" w:type="dxa"/>
        <w:tblLayout w:type="fixed"/>
        <w:tblCellMar>
          <w:top w:w="0" w:type="dxa"/>
          <w:left w:w="0" w:type="dxa"/>
          <w:bottom w:w="0" w:type="dxa"/>
          <w:right w:w="0" w:type="dxa"/>
        </w:tblCellMar>
      </w:tblPr>
      <w:tblGrid>
        <w:gridCol w:w="326"/>
        <w:gridCol w:w="9879"/>
      </w:tblGrid>
      <w:tr>
        <w:trPr/>
        <w:tc>
          <w:tcPr>
            <w:tcW w:w="3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8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Aggregate earnings are dependent on the investment decisions the executive has made. All earnings are market earnings, and none are preferential or set by the Corporation.</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Potential Payments upon Termination or Following a Change in Control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discussed in “Compensation Discussion and Analysis” above, we do not offer severance to our NEOs upon a termination of employment or a change on control. However, our standard executive option agreements and restricted stock unit agreements given to our NEOs have generally included acceleration of vesting following a change in control for those executive officers who are terminated by us or the surviving entity, as applicable, for any reason other than for cause during the twenty-four month period following such change in control. There are no benefits under such agreements triggered solely by a change in control or solely because of termination.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Generally, under our standard executive option agreements and restricted stock unit agreements, a “change in control” is deemed to occur upon:  (i) a transaction or a series of transactions the result of which is that any person (other than Mr. Ergen, our controlling shareholder, or a related party) individually owns more than 50% of the total equity interests of either (a) EchoStar or (b) the surviving entity in any such transaction(s) or a controlling affiliate of such surviving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entity in such transaction(s); and (ii) except in the case of awards under the 2017 Stock Incentive Plan, the first day on which a majority of the members of the Board of Directors are not continuing directors (as such term is used in the individual award agreements).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table below provides the estimated benefits that would have been provided to our NEOs assuming the NEO’s employment had been terminated by the Company or the surviving entity other than for cause on December 31, 2025 upon the occurrence of a change in control using the per-share value of Common Shares as of December 31, 2025.</w:t>
      </w:r>
    </w:p>
    <w:p>
      <w:pPr>
        <w:pStyle w:val="TextBody"/>
        <w:bidi w:val="0"/>
        <w:spacing w:before="0" w:after="240"/>
        <w:ind w:left="0" w:right="0" w:hanging="0"/>
        <w:jc w:val="both"/>
        <w:rPr/>
      </w:pPr>
      <w:r>
        <w:rPr/>
        <w:t>​</w:t>
      </w:r>
    </w:p>
    <w:tbl>
      <w:tblPr>
        <w:tblW w:w="3544" w:type="dxa"/>
        <w:jc w:val="left"/>
        <w:tblInd w:w="0" w:type="dxa"/>
        <w:tblLayout w:type="fixed"/>
        <w:tblCellMar>
          <w:top w:w="0" w:type="dxa"/>
          <w:left w:w="0" w:type="dxa"/>
          <w:bottom w:w="0" w:type="dxa"/>
          <w:right w:w="0" w:type="dxa"/>
        </w:tblCellMar>
      </w:tblPr>
      <w:tblGrid>
        <w:gridCol w:w="1906"/>
        <w:gridCol w:w="346"/>
        <w:gridCol w:w="211"/>
        <w:gridCol w:w="1081"/>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210310" cy="175260"/>
                      <wp:effectExtent l="0" t="0" r="0" b="0"/>
                      <wp:wrapNone/>
                      <wp:docPr id="238" name="Frame231"/>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19710" cy="175260"/>
                      <wp:effectExtent l="0" t="0" r="0" b="0"/>
                      <wp:wrapNone/>
                      <wp:docPr id="239"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33985" cy="175260"/>
                      <wp:effectExtent l="0" t="0" r="0" b="0"/>
                      <wp:wrapNone/>
                      <wp:docPr id="240" name="Frame2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86435" cy="175260"/>
                      <wp:effectExtent l="0" t="0" r="0" b="0"/>
                      <wp:wrapNone/>
                      <wp:docPr id="241" name="Frame23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92"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Maximum</w:t>
            </w:r>
          </w:p>
        </w:tc>
      </w:tr>
      <w:tr>
        <w:trPr/>
        <w:tc>
          <w:tcPr>
            <w:tcW w:w="1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92"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Value of</w:t>
            </w:r>
          </w:p>
        </w:tc>
      </w:tr>
      <w:tr>
        <w:trPr/>
        <w:tc>
          <w:tcPr>
            <w:tcW w:w="1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92"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Accelerated</w:t>
            </w:r>
          </w:p>
        </w:tc>
      </w:tr>
      <w:tr>
        <w:trPr/>
        <w:tc>
          <w:tcPr>
            <w:tcW w:w="19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292"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Vesting of</w:t>
            </w:r>
          </w:p>
        </w:tc>
      </w:tr>
      <w:tr>
        <w:trPr/>
        <w:tc>
          <w:tcPr>
            <w:tcW w:w="19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Name</w:t>
            </w:r>
          </w:p>
        </w:tc>
        <w:tc>
          <w:tcPr>
            <w:tcW w:w="346" w:type="dxa"/>
            <w:tcBorders/>
            <w:vAlign w:val="center"/>
          </w:tcPr>
          <w:p>
            <w:pPr>
              <w:pStyle w:val="TableContents"/>
              <w:bidi w:val="0"/>
              <w:spacing w:before="0" w:after="1"/>
              <w:ind w:left="0" w:right="0" w:hanging="0"/>
              <w:jc w:val="left"/>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Options</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Charles W. Ergen (1)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1"/>
              <w:ind w:left="0" w:right="0" w:hanging="0"/>
              <w:jc w:val="right"/>
              <w:rPr/>
            </w:pPr>
            <w:r>
              <w:rPr/>
              <w:t>—</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Hamid Akhavan (2)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38,944,735</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John W. Swieringa (2)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20,330,297</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Paul W. Orban (2)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12,957,345</w:t>
            </w:r>
          </w:p>
        </w:tc>
      </w:tr>
      <w:tr>
        <w:trPr/>
        <w:tc>
          <w:tcPr>
            <w:tcW w:w="19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Dean A. Manson (2)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8,171,722</w:t>
            </w:r>
          </w:p>
        </w:tc>
      </w:tr>
      <w:tr>
        <w:trPr/>
        <w:tc>
          <w:tcPr>
            <w:tcW w:w="19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Paul Gaske (2)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3,825,029</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a change in control were to have taken place as of December 31, 2025, and Mr. Ergen was terminated by EchoStar or the surviving entity at such date, the value of potentially accelerated unvested options for Mr. Ergen would be zero because Mr. Ergen did not have any non-performance based unvested stock options.</w:t>
            </w:r>
          </w:p>
        </w:tc>
      </w:tr>
    </w:tbl>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represents the value of non-performance based options that vest assuming a change in control were to have taken place as of December 31, 2025, and these executives were terminated other than for cause by EchoStar or the surviving entity at such date.</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427" w:name="EquityCompensationPlanInformation_356237"/>
      <w:bookmarkEnd w:id="427"/>
      <w:r>
        <w:rPr>
          <w:rFonts w:ascii="Times New Roman;Times;serif" w:hAnsi="Times New Roman;Times;serif"/>
          <w:b/>
          <w:sz w:val="20"/>
        </w:rPr>
        <w:t>Equity Compensation Plan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information regarding outstanding stock options and restricted stock unit awards and the Class A Shares reserved for future issuance under our equity compensation plans, including the Stock Incentive Plans, Director Plans and the ESPP, as of December 31, 2025:</w:t>
      </w:r>
    </w:p>
    <w:p>
      <w:pPr>
        <w:pStyle w:val="TextBody"/>
        <w:bidi w:val="0"/>
        <w:spacing w:before="0" w:after="240"/>
        <w:ind w:left="0" w:right="0" w:hanging="0"/>
        <w:jc w:val="both"/>
        <w:rPr/>
      </w:pPr>
      <w:r>
        <w:rPr/>
        <w:t>​</w:t>
      </w:r>
    </w:p>
    <w:tbl>
      <w:tblPr>
        <w:tblW w:w="10101" w:type="dxa"/>
        <w:jc w:val="left"/>
        <w:tblInd w:w="0" w:type="dxa"/>
        <w:tblLayout w:type="fixed"/>
        <w:tblCellMar>
          <w:top w:w="0" w:type="dxa"/>
          <w:left w:w="0" w:type="dxa"/>
          <w:bottom w:w="0" w:type="dxa"/>
          <w:right w:w="0" w:type="dxa"/>
        </w:tblCellMar>
      </w:tblPr>
      <w:tblGrid>
        <w:gridCol w:w="5056"/>
        <w:gridCol w:w="346"/>
        <w:gridCol w:w="1186"/>
        <w:gridCol w:w="346"/>
        <w:gridCol w:w="319"/>
        <w:gridCol w:w="866"/>
        <w:gridCol w:w="346"/>
        <w:gridCol w:w="1636"/>
      </w:tblGrid>
      <w:tr>
        <w:trPr/>
        <w:tc>
          <w:tcPr>
            <w:tcW w:w="5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3210560" cy="175260"/>
                      <wp:effectExtent l="0" t="0" r="0" b="0"/>
                      <wp:wrapNone/>
                      <wp:docPr id="242" name="Frame235"/>
                      <a:graphic xmlns:a="http://schemas.openxmlformats.org/drawingml/2006/main">
                        <a:graphicData uri="http://schemas.microsoft.com/office/word/2010/wordprocessingShape">
                          <wps:wsp>
                            <wps:cNvSpPr txBox="1"/>
                            <wps:spPr>
                              <a:xfrm>
                                <a:off x="0" y="0"/>
                                <a:ext cx="3210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3"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753110" cy="175260"/>
                      <wp:effectExtent l="0" t="0" r="0" b="0"/>
                      <wp:wrapNone/>
                      <wp:docPr id="244" name="Frame23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5"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2565" cy="175260"/>
                      <wp:effectExtent l="0" t="0" r="0" b="0"/>
                      <wp:wrapNone/>
                      <wp:docPr id="246" name="Frame239"/>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549910" cy="175260"/>
                      <wp:effectExtent l="0" t="0" r="0" b="0"/>
                      <wp:wrapNone/>
                      <wp:docPr id="247" name="Frame240"/>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48"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038860" cy="175260"/>
                      <wp:effectExtent l="0" t="0" r="0" b="0"/>
                      <wp:wrapNone/>
                      <wp:docPr id="249" name="Frame242"/>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19" w:type="dxa"/>
            <w:tcBorders/>
            <w:vAlign w:val="center"/>
          </w:tcPr>
          <w:p>
            <w:pPr>
              <w:pStyle w:val="TableContents"/>
              <w:bidi w:val="0"/>
              <w:spacing w:before="0" w:after="1"/>
              <w:ind w:left="0" w:right="0" w:hanging="0"/>
              <w:jc w:val="center"/>
              <w:rPr/>
            </w:pPr>
            <w:r>
              <w:rPr/>
              <w:t>​</w:t>
            </w:r>
          </w:p>
        </w:tc>
        <w:tc>
          <w:tcPr>
            <w:tcW w:w="8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Number of </w:t>
            </w:r>
          </w:p>
        </w:tc>
      </w:tr>
      <w:tr>
        <w:trPr/>
        <w:tc>
          <w:tcPr>
            <w:tcW w:w="50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Number of </w:t>
            </w:r>
          </w:p>
        </w:tc>
        <w:tc>
          <w:tcPr>
            <w:tcW w:w="346" w:type="dxa"/>
            <w:tcBorders/>
            <w:vAlign w:val="center"/>
          </w:tcPr>
          <w:p>
            <w:pPr>
              <w:pStyle w:val="TableContents"/>
              <w:bidi w:val="0"/>
              <w:spacing w:before="0" w:after="1"/>
              <w:ind w:left="0" w:right="0" w:hanging="0"/>
              <w:jc w:val="center"/>
              <w:rPr/>
            </w:pPr>
            <w:r>
              <w:rPr/>
              <w:t>​</w:t>
            </w:r>
          </w:p>
        </w:tc>
        <w:tc>
          <w:tcPr>
            <w:tcW w:w="319" w:type="dxa"/>
            <w:tcBorders/>
            <w:vAlign w:val="center"/>
          </w:tcPr>
          <w:p>
            <w:pPr>
              <w:pStyle w:val="TableContents"/>
              <w:bidi w:val="0"/>
              <w:spacing w:before="0" w:after="1"/>
              <w:ind w:left="0" w:right="0" w:hanging="0"/>
              <w:jc w:val="center"/>
              <w:rPr/>
            </w:pPr>
            <w:r>
              <w:rPr/>
              <w:t>​</w:t>
            </w:r>
          </w:p>
        </w:tc>
        <w:tc>
          <w:tcPr>
            <w:tcW w:w="8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Securities </w:t>
            </w:r>
          </w:p>
        </w:tc>
      </w:tr>
      <w:tr>
        <w:trPr/>
        <w:tc>
          <w:tcPr>
            <w:tcW w:w="50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Securities to </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w:t>
            </w:r>
          </w:p>
        </w:tc>
        <w:tc>
          <w:tcPr>
            <w:tcW w:w="346"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Remaining </w:t>
            </w:r>
          </w:p>
        </w:tc>
      </w:tr>
      <w:tr>
        <w:trPr/>
        <w:tc>
          <w:tcPr>
            <w:tcW w:w="50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be Issued </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Average </w:t>
            </w:r>
          </w:p>
        </w:tc>
        <w:tc>
          <w:tcPr>
            <w:tcW w:w="346"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Available for </w:t>
            </w:r>
          </w:p>
        </w:tc>
      </w:tr>
      <w:tr>
        <w:trPr/>
        <w:tc>
          <w:tcPr>
            <w:tcW w:w="50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Upon </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Exercise </w:t>
            </w:r>
          </w:p>
        </w:tc>
        <w:tc>
          <w:tcPr>
            <w:tcW w:w="346"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Future Issuance </w:t>
            </w:r>
          </w:p>
        </w:tc>
      </w:tr>
      <w:tr>
        <w:trPr/>
        <w:tc>
          <w:tcPr>
            <w:tcW w:w="50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Exercise of </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Price of </w:t>
            </w:r>
          </w:p>
        </w:tc>
        <w:tc>
          <w:tcPr>
            <w:tcW w:w="346"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Under Equity </w:t>
            </w:r>
          </w:p>
        </w:tc>
      </w:tr>
      <w:tr>
        <w:trPr/>
        <w:tc>
          <w:tcPr>
            <w:tcW w:w="50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Outstanding </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Outstanding </w:t>
            </w:r>
          </w:p>
        </w:tc>
        <w:tc>
          <w:tcPr>
            <w:tcW w:w="346"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Compensation </w:t>
            </w:r>
          </w:p>
        </w:tc>
      </w:tr>
      <w:tr>
        <w:trPr/>
        <w:tc>
          <w:tcPr>
            <w:tcW w:w="50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Options, </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Options, </w:t>
            </w:r>
          </w:p>
        </w:tc>
        <w:tc>
          <w:tcPr>
            <w:tcW w:w="346"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Plans (excluding </w:t>
            </w:r>
          </w:p>
        </w:tc>
      </w:tr>
      <w:tr>
        <w:trPr/>
        <w:tc>
          <w:tcPr>
            <w:tcW w:w="50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Warrants </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Warrants </w:t>
            </w:r>
          </w:p>
        </w:tc>
        <w:tc>
          <w:tcPr>
            <w:tcW w:w="346"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securities </w:t>
            </w:r>
          </w:p>
        </w:tc>
      </w:tr>
      <w:tr>
        <w:trPr/>
        <w:tc>
          <w:tcPr>
            <w:tcW w:w="505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and Rights </w:t>
            </w:r>
          </w:p>
        </w:tc>
        <w:tc>
          <w:tcPr>
            <w:tcW w:w="346" w:type="dxa"/>
            <w:tcBorders/>
            <w:vAlign w:val="center"/>
          </w:tcPr>
          <w:p>
            <w:pPr>
              <w:pStyle w:val="TableContents"/>
              <w:bidi w:val="0"/>
              <w:spacing w:before="0" w:after="1"/>
              <w:ind w:left="0" w:right="0" w:hanging="0"/>
              <w:jc w:val="center"/>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and Rights </w:t>
            </w:r>
          </w:p>
        </w:tc>
        <w:tc>
          <w:tcPr>
            <w:tcW w:w="346"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reflected in </w:t>
            </w:r>
          </w:p>
        </w:tc>
      </w:tr>
      <w:tr>
        <w:trPr/>
        <w:tc>
          <w:tcPr>
            <w:tcW w:w="50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Plan Category</w:t>
            </w:r>
          </w:p>
        </w:tc>
        <w:tc>
          <w:tcPr>
            <w:tcW w:w="346" w:type="dxa"/>
            <w:tcBorders/>
            <w:vAlign w:val="center"/>
          </w:tcPr>
          <w:p>
            <w:pPr>
              <w:pStyle w:val="TableContents"/>
              <w:bidi w:val="0"/>
              <w:spacing w:before="0" w:after="1"/>
              <w:ind w:left="0" w:right="0" w:hanging="0"/>
              <w:jc w:val="left"/>
              <w:rPr/>
            </w:pPr>
            <w:r>
              <w:rPr/>
              <w:t>  ​ ​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(a)</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(b) (1)</w:t>
            </w:r>
          </w:p>
        </w:tc>
        <w:tc>
          <w:tcPr>
            <w:tcW w:w="346" w:type="dxa"/>
            <w:tcBorders/>
            <w:vAlign w:val="center"/>
          </w:tcPr>
          <w:p>
            <w:pPr>
              <w:pStyle w:val="TableContents"/>
              <w:bidi w:val="0"/>
              <w:spacing w:before="0" w:after="1"/>
              <w:ind w:left="0" w:right="0" w:hanging="0"/>
              <w:jc w:val="left"/>
              <w:rPr/>
            </w:pPr>
            <w:r>
              <w:rPr/>
              <w:t>  ​ ​ ​</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column (a)) (c) (2)</w:t>
            </w:r>
          </w:p>
        </w:tc>
      </w:tr>
      <w:tr>
        <w:trPr/>
        <w:tc>
          <w:tcPr>
            <w:tcW w:w="5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compensation plans approved by security holders</w:t>
            </w:r>
          </w:p>
        </w:tc>
        <w:tc>
          <w:tcPr>
            <w:tcW w:w="34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11,608,152</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56.09</w:t>
            </w:r>
          </w:p>
        </w:tc>
        <w:tc>
          <w:tcPr>
            <w:tcW w:w="346" w:type="dxa"/>
            <w:tcBorders/>
            <w:shd w:fill="CCEEFF" w:val="clear"/>
            <w:vAlign w:val="center"/>
          </w:tcPr>
          <w:p>
            <w:pPr>
              <w:pStyle w:val="TableContents"/>
              <w:bidi w:val="0"/>
              <w:spacing w:before="0" w:after="1"/>
              <w:ind w:left="0" w:right="0" w:hanging="0"/>
              <w:jc w:val="left"/>
              <w:rPr/>
            </w:pPr>
            <w:r>
              <w:rPr/>
              <w:t>​</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23,739,126</w:t>
            </w:r>
          </w:p>
        </w:tc>
      </w:tr>
      <w:tr>
        <w:trPr/>
        <w:tc>
          <w:tcPr>
            <w:tcW w:w="50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compensation plans not approved by security holders</w:t>
            </w:r>
          </w:p>
        </w:tc>
        <w:tc>
          <w:tcPr>
            <w:tcW w:w="346" w:type="dxa"/>
            <w:tcBorders/>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50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11,608,152</w:t>
            </w:r>
          </w:p>
        </w:tc>
        <w:tc>
          <w:tcPr>
            <w:tcW w:w="346" w:type="dxa"/>
            <w:tcBorders/>
            <w:shd w:fill="CCEEFF" w:val="clear"/>
            <w:vAlign w:val="center"/>
          </w:tcPr>
          <w:p>
            <w:pPr>
              <w:pStyle w:val="TableContents"/>
              <w:bidi w:val="0"/>
              <w:spacing w:before="0" w:after="1"/>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56.09</w:t>
            </w:r>
          </w:p>
        </w:tc>
        <w:tc>
          <w:tcPr>
            <w:tcW w:w="346" w:type="dxa"/>
            <w:tcBorders/>
            <w:shd w:fill="CCEEFF" w:val="clear"/>
            <w:vAlign w:val="center"/>
          </w:tcPr>
          <w:p>
            <w:pPr>
              <w:pStyle w:val="TableContents"/>
              <w:bidi w:val="0"/>
              <w:spacing w:before="0" w:after="1"/>
              <w:ind w:left="0" w:right="0" w:hanging="0"/>
              <w:jc w:val="left"/>
              <w:rPr/>
            </w:pPr>
            <w:r>
              <w:rPr/>
              <w:t>​</w:t>
            </w:r>
          </w:p>
        </w:tc>
        <w:tc>
          <w:tcPr>
            <w:tcW w:w="1636"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23,739,126</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the weighted-average exercise price of outstanding options, warrants and rights excludes restricted stock units that provide for the issuance of Class A Shares upon vesting because these awards do not require payment of an exercise price in order to obtain the underlying shares upon vesting.</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securities are composed of 19,916,106; 599,662; and 3,223,358 Class A Shares remaining available for future issuance under our Stock Incentive Plan, Director Plans and ESPP, respectively. The annual maximum that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employee may purchase under our ESPP is $25,000 in fair market value of Class A Shares per year. Our 2008 Stock Incentive Plan expired on January 1, 2018, and no new awards have been or will be granted under this plan after May 2, 2017, but any awards previously granted under this plan remain outstanding and will vest and/or be exercised in accordance with their terms. The shares available for issuance under the 2008 Class B Chairman Stock Option Plan are not included.</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bookmarkStart w:id="428" w:name="CERTAINRELATIONSHIPSANDRELATEDPARTYTRANS"/>
      <w:bookmarkStart w:id="429" w:name="_4261e609_2f48_409c_bfd7_6af85bc5c046"/>
      <w:bookmarkEnd w:id="428"/>
      <w:bookmarkEnd w:id="429"/>
      <w:r>
        <w:rPr>
          <w:rFonts w:ascii="Times New Roman;Times;serif" w:hAnsi="Times New Roman;Times;serif"/>
          <w:b/>
          <w:sz w:val="20"/>
        </w:rPr>
        <w:t>CERTAIN RELATIONSHIPS AND RELATED PARTY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Board of Directors has adopted a written policy for the review and approval of transactions involving EchoStar or our subsidiaries, on the one hand, and certain related parties, such as directors or executive officers and their immediate family members on the other hand. We distribute questionnaires to our officers and directors on an annual basis. Our Chief Legal Officer directs the appropriate review of potential related-party transactions and schedules their presentation at meetings of the Audit Committee and/or the Board of Directors, as applicable. Generally, our Audit Committee and/or the Board of Directors, as applicable, must approve these transactions, with all interested parties abstaining from the vote. Once each calendar year, the Audit Committee and/or the Board of Directors, as applicable, undertake a review of certain recurring potential related-party transactions to determine whether to approve the continuation of such transactions, with all interested parties abstaining. For purposes of this section entitled “Certain Relationships and Related Party Transactions” the terms “we,” “us,” “EchoStar,” the “Corporation,” the “Company” and “our” refer to EchoStar Corporation and its subsidiaries.</w:t>
      </w:r>
    </w:p>
    <w:p>
      <w:pPr>
        <w:pStyle w:val="TextBody"/>
        <w:bidi w:val="0"/>
        <w:spacing w:before="0" w:after="240"/>
        <w:ind w:left="0" w:right="0" w:hanging="0"/>
        <w:jc w:val="left"/>
        <w:rPr>
          <w:rFonts w:ascii="Times New Roman;Times;serif" w:hAnsi="Times New Roman;Times;serif"/>
          <w:b/>
          <w:sz w:val="20"/>
        </w:rPr>
      </w:pPr>
      <w:bookmarkStart w:id="430" w:name="RelatedPartyTransactionswithBroadbandCon"/>
      <w:bookmarkEnd w:id="430"/>
      <w:r>
        <w:rPr>
          <w:rFonts w:ascii="Times New Roman;Times;serif" w:hAnsi="Times New Roman;Times;serif"/>
          <w:b/>
          <w:sz w:val="20"/>
        </w:rPr>
        <w:t>Related Party Transactions with Broadband Connectivity Solutions (Restricted) Limited (“BCS”)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own 20% of BCS, a joint venture that we entered into in 2018 to provide commercial Ka-band satellite broadband services across Africa, the Middle East, and southwest Asia operating over Yahsat’s Al Yah 2 and Al Yah 3 Ka-band satellites. We earned revenue of approximately $3.1 million from BCS during the year ended December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Related Party Transactions with CONX</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10, 2024, CONX, a special purpose acquisition company at that time, substantially owned beneficially by Mr. Ergen, entered into a definitive purchase and sale agreement with one of the Company’s subsidiaries for CONX’s purchase of certain commercial real estate property, comprising the corporate headquarters of our DISH Wireless business, for a purchase price of $26.75 million, net of deferred tax. The transaction closed May 1, 2024.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Concurrently with the transaction closing on May 1, 2024, we entered into an agreement to lease back the property from CONX for an initial 10 year term. During 2025, the Company paid CONX approximately $3 million for this lease.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Related Party Transactions with Certain Members of Our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Ergen Family</w:t>
      </w:r>
      <w:r>
        <w:rPr>
          <w:rFonts w:ascii="Times New Roman;Times;serif" w:hAnsi="Times New Roman;Times;serif"/>
          <w:sz w:val="20"/>
        </w:rPr>
        <w:t>. During 2025, Mrs. Cantey Ergen served as a senior advisor and as a member of our Board of Directors, and was paid approximately $60,000.  Mrs. Ergen was also granted: (i) a time-vested option to purchase 5,000 Class A Shares with a strike price equal to the fair market value on the grant date of April 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2025, we employed Mrs.  Flynn, the daughter of Mr. and Mrs. Ergen, as Senior Vice President, Chief People Officer and paid Mrs. Flynn a salary of approximately $250,000. Mrs. Flynn was also granted: (i) a time-vested option to purchase 7,500 Class A Shares with a strike price equal to the fair market value on the grant date of October 1 2025; and (ii) a performance award grant under the 2022 Incentive Plan, at the Senior Vice President level.  Mrs. Flynn also participated in the 2025 EIP.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2025, we also employed Mr. Kevin Murray, the son-in-law of Mr. and Mrs. Ergen, as Director – Corporate Development and paid him a salary of approximately $165,000. Mr. Murray was also granted a time-vested option to purchase 1,500 Class A Shares with a strike price equal to the fair market value on the grant date of October 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2026, we expect to continue to employ Mrs. Ergen, Mrs. Flynn, Mr. Murray and certain other Ergen children. While the amounts paid during 2026 will depend on the time and services that will be provided, we expect to pay Mrs. Ergen approximately $60,000 and grant a time-vested option to purchase 5,000 Class A Shares. We expect to pay Mrs. Flynn approximately $260,000, and Mr. Murray approximately $170,000.   In addition, in 2026, we expect to award Mrs. Flynn an option to purchase 7,500 Class A Shares under our Stock Incentive Plans and expect to award Mr. Murray an option to purchase 1,500 Class A Shares under our Stock Incentive Plans.  Mrs. Flynn and Mr. Murray are also expected to participate in the EIP for 2026.</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 xml:space="preserve">Stephen J. Bye. </w:t>
      </w:r>
      <w:r>
        <w:rPr>
          <w:rFonts w:ascii="Times New Roman;Times;serif" w:hAnsi="Times New Roman;Times;serif"/>
          <w:sz w:val="20"/>
        </w:rPr>
        <w:t>EchoStar purchased network performance data and software licenses from Ookla LLC, a division of Ziff Davis, Inc., for which we paid $257,000 in 2025. Mr. Bye serves as President and Chief Executive Officer of Ookla LLC.</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 xml:space="preserve">R. Stanton Dodge. </w:t>
      </w:r>
      <w:r>
        <w:rPr>
          <w:rFonts w:ascii="Times New Roman;Times;serif" w:hAnsi="Times New Roman;Times;serif"/>
          <w:sz w:val="20"/>
        </w:rPr>
        <w:t>EchoStar purchases certain referral marketing services from DraftKings, Inc., for which we paid $1.55 million in 2025. Mr. Dodge serves as the Chief Legal Officer and Secretary of DraftKings.</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431" w:name="PROPOSAL2RATIFICATIONOFINDEPENDENTREGIST"/>
      <w:bookmarkStart w:id="432" w:name="_2445fce5_cf0e_4c44_adaf_3651d93fdbf4"/>
      <w:bookmarkEnd w:id="431"/>
      <w:bookmarkEnd w:id="432"/>
      <w:r>
        <w:rPr>
          <w:rFonts w:ascii="Times New Roman;Times;serif" w:hAnsi="Times New Roman;Times;serif"/>
          <w:b/>
          <w:sz w:val="20"/>
        </w:rPr>
        <w:t>PROPOSAL 2 — RATIFICATION OF INDEPENDENT REGISTERED PUBLIC ACCOUNTING FIRM</w:t>
      </w:r>
    </w:p>
    <w:p>
      <w:pPr>
        <w:pStyle w:val="TextBody"/>
        <w:bidi w:val="0"/>
        <w:spacing w:before="0" w:after="240"/>
        <w:ind w:left="0" w:right="0" w:hanging="0"/>
        <w:jc w:val="left"/>
        <w:rPr>
          <w:rFonts w:ascii="Times New Roman;Times;serif" w:hAnsi="Times New Roman;Times;serif"/>
          <w:b/>
          <w:sz w:val="20"/>
        </w:rPr>
      </w:pPr>
      <w:bookmarkStart w:id="433" w:name="AppointmentofIndependentRegisteredPublic"/>
      <w:bookmarkEnd w:id="433"/>
      <w:r>
        <w:rPr>
          <w:rFonts w:ascii="Times New Roman;Times;serif" w:hAnsi="Times New Roman;Times;serif"/>
          <w:b/>
          <w:sz w:val="20"/>
        </w:rPr>
        <w:t>Appointment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customarily ask our shareholders to ratify the appointment of our independent registered public accounting firm at each annual meeting. The Audit Committee and the Board of Directors have selected and appointed KPMG LLP as our independent registered public accounting firm for the fiscal year ending December 31, 2026, and we are asking our shareholders to ratify this appointment at the Annual Meeting. Even if the selection is ratified, the Audit Committee in its discretion may select a different independent registered public accounting firm at any time if it determines that such a change would be in the best interests of EchoStar. Representatives of KPMG LLP are expected to be present at the Annual Meeting and will have the opportunity to make any statements they may desire. They also will be available to respond to appropriate questions of shareholders.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Board of Directors unanimously recommends a vote FOR the ratification of KPMG LLP as our independent registered public accounting firm for the fiscal year ending December 31, 2026.</w:t>
      </w:r>
    </w:p>
    <w:p>
      <w:pPr>
        <w:pStyle w:val="TextBody"/>
        <w:bidi w:val="0"/>
        <w:spacing w:before="0" w:after="240"/>
        <w:ind w:left="0" w:right="0" w:hanging="0"/>
        <w:jc w:val="left"/>
        <w:rPr>
          <w:rFonts w:ascii="Times New Roman;Times;serif" w:hAnsi="Times New Roman;Times;serif"/>
          <w:b/>
          <w:sz w:val="20"/>
        </w:rPr>
      </w:pPr>
      <w:bookmarkStart w:id="434" w:name="PrincipalAccountantFeesandServices_96836"/>
      <w:bookmarkEnd w:id="434"/>
      <w:r>
        <w:rPr>
          <w:rFonts w:ascii="Times New Roman;Times;serif" w:hAnsi="Times New Roman;Times;serif"/>
          <w:b/>
          <w:sz w:val="20"/>
        </w:rPr>
        <w:t>Principal Accountant Fees and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presents fees for the aggregate professional audit services rendered by KPMG LLP for the annual audit of the financial statements of EchoStar and its subsidiaries for the years ended December 31, 2025 and 2024, and fees billed for other services rendered by KPMG LLP to EchoStar and its subsidiaries during those periods. We have reported the fees billed for services rendered to both EchoStar and its subsidiaries because the services are not rendered or billed specifically for us but for the EchoStar consolidated group as a whole.</w:t>
      </w:r>
    </w:p>
    <w:tbl>
      <w:tblPr>
        <w:tblW w:w="6109" w:type="dxa"/>
        <w:jc w:val="left"/>
        <w:tblInd w:w="0" w:type="dxa"/>
        <w:tblLayout w:type="fixed"/>
        <w:tblCellMar>
          <w:top w:w="0" w:type="dxa"/>
          <w:left w:w="0" w:type="dxa"/>
          <w:bottom w:w="0" w:type="dxa"/>
          <w:right w:w="0" w:type="dxa"/>
        </w:tblCellMar>
      </w:tblPr>
      <w:tblGrid>
        <w:gridCol w:w="3016"/>
        <w:gridCol w:w="346"/>
        <w:gridCol w:w="211"/>
        <w:gridCol w:w="931"/>
        <w:gridCol w:w="346"/>
        <w:gridCol w:w="211"/>
        <w:gridCol w:w="1048"/>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915160" cy="175260"/>
                      <wp:effectExtent l="0" t="0" r="0" b="0"/>
                      <wp:wrapNone/>
                      <wp:docPr id="250" name="Frame243"/>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1"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2"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91185" cy="175260"/>
                      <wp:effectExtent l="0" t="0" r="0" b="0"/>
                      <wp:wrapNone/>
                      <wp:docPr id="253" name="Frame24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710" cy="175260"/>
                      <wp:effectExtent l="0" t="0" r="0" b="0"/>
                      <wp:wrapNone/>
                      <wp:docPr id="254"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3985" cy="175260"/>
                      <wp:effectExtent l="0" t="0" r="0" b="0"/>
                      <wp:wrapNone/>
                      <wp:docPr id="255" name="Frame2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65480" cy="175260"/>
                      <wp:effectExtent l="0" t="0" r="0" b="0"/>
                      <wp:wrapNone/>
                      <wp:docPr id="256" name="Frame249"/>
                      <a:graphic xmlns:a="http://schemas.openxmlformats.org/drawingml/2006/main">
                        <a:graphicData uri="http://schemas.microsoft.com/office/word/2010/wordprocessingShape">
                          <wps:wsp>
                            <wps:cNvSpPr txBox="1"/>
                            <wps:spPr>
                              <a:xfrm>
                                <a:off x="0" y="0"/>
                                <a:ext cx="665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747" w:type="dxa"/>
            <w:gridSpan w:val="5"/>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For the Years Ended </w:t>
            </w:r>
          </w:p>
        </w:tc>
      </w:tr>
      <w:tr>
        <w:trPr/>
        <w:tc>
          <w:tcPr>
            <w:tcW w:w="30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274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30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346" w:type="dxa"/>
            <w:tcBorders/>
            <w:vAlign w:val="center"/>
          </w:tcPr>
          <w:p>
            <w:pPr>
              <w:pStyle w:val="TableContents"/>
              <w:bidi w:val="0"/>
              <w:spacing w:before="0" w:after="1"/>
              <w:ind w:left="0" w:right="0" w:hanging="0"/>
              <w:jc w:val="left"/>
              <w:rPr/>
            </w:pPr>
            <w:r>
              <w:rPr/>
              <w:t>  ​ ​ ​</w:t>
            </w:r>
          </w:p>
        </w:tc>
        <w:tc>
          <w:tcPr>
            <w:tcW w:w="12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2024</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Audit Fees (1)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7,761,396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7,756,168</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Audit-Related Fees (2)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107,963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4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480,000</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Audit and Audit-Related Fees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7,869,359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8,236,168</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Compliance Fees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533,709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4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643,786</w:t>
            </w:r>
          </w:p>
        </w:tc>
      </w:tr>
      <w:tr>
        <w:trPr/>
        <w:tc>
          <w:tcPr>
            <w:tcW w:w="30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 Other Fees (3)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141,744</w:t>
            </w:r>
          </w:p>
        </w:tc>
      </w:tr>
      <w:tr>
        <w:trPr/>
        <w:tc>
          <w:tcPr>
            <w:tcW w:w="301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Fees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8,403,068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4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9,021,698</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fees for the audit of our and our subsidiaries’ consolidated financial statements included in our 2025 and 2024 Form 10-K, review of our and our subsidiaries’ unaudited financial statements included in our Quarterly Reports on Form 10-Q and fees in connection with statutory and other audits of our foreign subsidiaries.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(2)</w:t>
            </w:r>
          </w:p>
        </w:tc>
        <w:tc>
          <w:tcPr>
            <w:tcW w:w="98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fees for assurance and other services that are provided in connection with the issuance of consents, comfort letters, certifications, and professional consultations with respect to accounting issues or matters that are non-recurring in nature.</w:t>
            </w:r>
          </w:p>
        </w:tc>
      </w:tr>
    </w:tbl>
    <w:tbl>
      <w:tblPr>
        <w:tblW w:w="6062" w:type="dxa"/>
        <w:jc w:val="left"/>
        <w:tblInd w:w="0" w:type="dxa"/>
        <w:tblLayout w:type="fixed"/>
        <w:tblCellMar>
          <w:top w:w="0" w:type="dxa"/>
          <w:left w:w="0" w:type="dxa"/>
          <w:bottom w:w="0" w:type="dxa"/>
          <w:right w:w="0" w:type="dxa"/>
        </w:tblCellMar>
      </w:tblPr>
      <w:tblGrid>
        <w:gridCol w:w="346"/>
        <w:gridCol w:w="571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57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fees for services related to review of contract compliance.</w:t>
            </w:r>
          </w:p>
        </w:tc>
      </w:tr>
    </w:tbl>
    <w:p>
      <w:pPr>
        <w:pStyle w:val="TextBody"/>
        <w:bidi w:val="0"/>
        <w:spacing w:before="0" w:after="240"/>
        <w:ind w:left="0" w:right="0" w:hanging="0"/>
        <w:jc w:val="left"/>
        <w:rPr>
          <w:rFonts w:ascii="Times New Roman;Times;serif" w:hAnsi="Times New Roman;Times;serif"/>
          <w:b/>
          <w:sz w:val="20"/>
        </w:rPr>
      </w:pPr>
      <w:bookmarkStart w:id="435" w:name="AuditCommitteePreApprovalProcess_469805"/>
      <w:bookmarkEnd w:id="435"/>
      <w:r>
        <w:rPr>
          <w:rFonts w:ascii="Times New Roman;Times;serif" w:hAnsi="Times New Roman;Times;serif"/>
          <w:b/>
          <w:sz w:val="20"/>
        </w:rPr>
        <w:t>Audit Committee Pre-Approval Process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Audit Committee is responsible for appointing, setting compensation, retaining, and overseeing the work of our independent registered public accounting firm. The Audit Committee has established a process regarding pre-approval of all audit and permissible non-audit services provided by the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Requests are submitted to the Audit Committee in one of the following ways:</w:t>
      </w:r>
    </w:p>
    <w:tbl>
      <w:tblPr>
        <w:tblW w:w="6396" w:type="dxa"/>
        <w:jc w:val="left"/>
        <w:tblInd w:w="0" w:type="dxa"/>
        <w:tblLayout w:type="fixed"/>
        <w:tblCellMar>
          <w:top w:w="28" w:type="dxa"/>
          <w:left w:w="28" w:type="dxa"/>
          <w:bottom w:w="28" w:type="dxa"/>
          <w:right w:w="28" w:type="dxa"/>
        </w:tblCellMar>
      </w:tblPr>
      <w:tblGrid>
        <w:gridCol w:w="124"/>
        <w:gridCol w:w="256"/>
        <w:gridCol w:w="6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 for approval of services at a meeting of the Audit Committee; or</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Request for approval of services by members of the Audit Committee acting by written consent.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request may be made with respect to either specific services or a type of service for predictable or recurring services. All of the fees paid by us to KPMG LLP for services for 2025 and 2024 were pre-approved by the Audit Committee or by management pursuant to delegation from the Audit Committee.</w:t>
      </w:r>
    </w:p>
    <w:p>
      <w:pPr>
        <w:pStyle w:val="TextBody"/>
        <w:bidi w:val="0"/>
        <w:spacing w:before="0" w:after="240"/>
        <w:ind w:left="0" w:right="0" w:hanging="0"/>
        <w:jc w:val="center"/>
        <w:rPr>
          <w:rFonts w:ascii="Times New Roman;Times;serif" w:hAnsi="Times New Roman;Times;serif"/>
          <w:b/>
          <w:sz w:val="20"/>
        </w:rPr>
      </w:pPr>
      <w:bookmarkStart w:id="436" w:name="ReportoftheAuditCommittee_467923"/>
      <w:bookmarkEnd w:id="436"/>
      <w:r>
        <w:rPr>
          <w:rFonts w:ascii="Times New Roman;Times;serif" w:hAnsi="Times New Roman;Times;serif"/>
          <w:b/>
          <w:sz w:val="20"/>
        </w:rPr>
        <w:t>Report of the Audit Committee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role of the Audit Committee is to assist the Board of Directors in its oversight of EchoStar’s financial reporting process, as is more fully described in the committee charter. EchoStar’s management is responsible for conducting its financial reporting process, applying its system of internal controls, and preparing and presenting of consolidated financial statements in accordance with generally accepted accounting principles. EchoStar’s independent registered public accounting firm is responsible for auditing those financial statements and expressing an opinion as to their conformity with generally accepted accounting principles. Our responsibility as a committee is to monitor and review these processes. It is not our duty or responsibility to conduct auditing or accounting reviews or procedures. We are not and may not be employees of EchoStar, and we may not represent ourselves to be, or to serve as, accountants or auditors by profession or experts in the fields of accounting or auditing. Therefore, we have relied, without independent verification, on representations made by EchoStar’s management that its financial statements have been prepared with integrity and objectivity and in conformity with accounting principles generally accepted in the United States. We have also relied on representations that EchoStar’s independent registered public accounting firm included in its report on EchoStar’s financial statements. Our oversight does not provide us with an independent basis upon which to determine that management has maintained appropriate accounting and financial reporting principles or policies or appropriate internal controls and procedures designed to assure compliance with accounting standards and applicable laws and regulations. Furthermore, our committee proceedings and discussions with EchoStar’s management and independent registered public accounting firm are not intended to assure that EchoStar’s financial statements are presented in accordance with generally accepted accounting principles, that the audit of EchoStar’s financial statements has been carried out in accordance with the applicable requirements of the Public Company Accounting Oversight Board (United States) (“PCAOB”) and the Securities and Exchange Commission, or that EchoStar’s independent registered public accounting firm is in fact “independent.”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performance of the Audit Committee’s oversight function, we reviewed EchoStar’s audited financial statements for the fiscal year ended December 31, 2025, and discussed them with EchoStar management. We also discussed these audited financial statements with EchoStar’s independent registered public accounting firm. Our discussions with the independent registered public accounting firm included matters that the PCAOB’s rules require us to discuss. We also discussed with them their independence and any relationship that might affect their objectivity or independence. In connection with these discussions, we received and reviewed the written disclosures from KPMG LLP required by applicable PCAOB requirements. Finally, we have considered whether the non-audit services provided by the independent registered public accounting firm are compatible with maintaining their independence.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reviews and discussions referred to above, we are not aware of any relationship between the independent registered public accounting firm and EchoStar that affects the objectivity or independence of the independent registered public accounting firm. Based on these discussions and our review as described above, we recommended to the Board of Directors that its audited financial statements for fiscal year 2025 be included in EchoStar’s Annual Report on Form 10-K for the year ended December 31, 2025 for filing with the SEC.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Respectfully submitted,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The Audit Committee (approved February 25, 2026)</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George R. Brokaw (Chair)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Lisa W. Hershman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Tom A. Ortolf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William D. Wade</w:t>
      </w:r>
    </w:p>
    <w:p>
      <w:pPr>
        <w:pStyle w:val="TextBody"/>
        <w:bidi w:val="0"/>
        <w:spacing w:before="0" w:after="0"/>
        <w:ind w:left="0" w:right="0" w:hanging="0"/>
        <w:jc w:val="center"/>
        <w:rPr/>
      </w:pPr>
      <w:bookmarkStart w:id="437" w:name="PROPOSAL3ADVISORYVOTEONEXECCOMP"/>
      <w:bookmarkStart w:id="438" w:name="_771fc31d_584d_4bba_bb61_25648801ba1f"/>
      <w:bookmarkEnd w:id="437"/>
      <w:bookmarkEnd w:id="438"/>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PROPOSAL 3 — ADVISORY VOTE ON EXECUTIVE COMPENSATION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required by Section 14A of the Exchange Act and related SEC rules, we are seeking a non-binding advisory vote from our shareholders to approve the compensation paid to our NEOs as disclosed in this Proxy Statement. Shareholders are being asked to approve the following resolution at the Annual Meeting:</w:t>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Times;serif" w:hAnsi="Times New Roman;Times;serif"/>
          <w:sz w:val="20"/>
        </w:rPr>
      </w:pPr>
      <w:r>
        <w:rPr>
          <w:rFonts w:ascii="Times New Roman;Times;serif" w:hAnsi="Times New Roman;Times;serif"/>
          <w:sz w:val="20"/>
        </w:rPr>
        <w:t>RESOLVED, that the shareholders of EchoStar Corporation (the “Corporation”) hereby approve, on a non-binding advisory basis, the compensation paid to the Corporation’s named executive officers, as disclosed pursuant to Item 402 of Regulation S-K in the Corporation’s Proxy Statement for its 2026 Annual Meeting of Shareholders (including the Compensation Discussion and Analysis, compensation tables and related narrative discussion therein).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Board believes that the compensation paid to our NEOs, as described more fully in the “Compensation Discussion and Analysis” section of this Proxy Statement, is appropriate and advances our key compensation principles, including attraction, retention and motivation of executive officers over the long-term, recognition of individual performance and company-wide and group performance goals, and creation of shareholder value by aligning the interests of management and our shareholders through equity and cash incentives. We urge shareholders to read the “Compensation Discussion and Analysis” section, compensation tables and related narrative discussion in this Proxy Statement for a more detailed discussion of our compensation programs and policies, the compensation-related actions taken in fiscal year 2025 and the compensation paid to our NEOs.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Although this vote on the compensation paid to our NEOs is advisory and non-binding, the Board and the Compensation Committee value shareholders’ opinions and will consider the outcome of the vote when considering future executive compensation policies and decisions. Currently, the advisory vote on executive compensation occurs every three years. Accordingly, unless changed by the Board, the next advisory vote on executive compensation will occur at the 2029 Annual Meeting of Shareholders.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Board of Directors unanimously recommends a vote FOR approval, on a non-binding advisory basis, of the compensation paid to our NEOs as disclosed in this Proxy Statement.</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439" w:name="OTHERMATTERS_449325"/>
      <w:bookmarkStart w:id="440" w:name="_4831cd51_c54d_48f3_9998_792aba9f3481"/>
      <w:bookmarkEnd w:id="439"/>
      <w:bookmarkEnd w:id="440"/>
      <w:r>
        <w:rPr>
          <w:rFonts w:ascii="Times New Roman;Times;serif" w:hAnsi="Times New Roman;Times;serif"/>
          <w:b/>
          <w:sz w:val="20"/>
        </w:rPr>
        <w:t>OTHER MATTERS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knows of no other business that will be presented at the Annual Meeting other than that which is set forth in this Proxy Statement. However, if any other matter is properly presented at the Annual Meeting, the persons named in the accompanying proxy card will have discretionary authority to vote on such matter.</w:t>
      </w:r>
    </w:p>
    <w:p>
      <w:pPr>
        <w:pStyle w:val="TextBody"/>
        <w:bidi w:val="0"/>
        <w:spacing w:before="0" w:after="240"/>
        <w:ind w:left="0" w:right="0" w:hanging="0"/>
        <w:jc w:val="center"/>
        <w:rPr>
          <w:rFonts w:ascii="Times New Roman;Times;serif" w:hAnsi="Times New Roman;Times;serif"/>
          <w:b/>
          <w:sz w:val="20"/>
        </w:rPr>
      </w:pPr>
      <w:bookmarkStart w:id="441" w:name="ADDITIONALINFORMATION_389301"/>
      <w:bookmarkStart w:id="442" w:name="_9b68b1b7_5d65_4b24_a1f5_1ed4e631d3c1"/>
      <w:bookmarkEnd w:id="441"/>
      <w:bookmarkEnd w:id="442"/>
      <w:r>
        <w:rPr>
          <w:rFonts w:ascii="Times New Roman;Times;serif" w:hAnsi="Times New Roman;Times;serif"/>
          <w:b/>
          <w:sz w:val="20"/>
        </w:rPr>
        <w:t>ADDITIONAL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Where to Get Additional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 reporting company, we are subject to the informational requirements of the Exchange Act and accordingly file our annual reports on Form 10-K, quarterly reports on Form 10-Q, current reports on Form 8-K, proxy statements and other information with the SEC. As an electronic filer, our public filings are maintained on the SEC’s Internet site that contains reports, proxy and information statements, and other information regarding issuers that file electronically with the SEC. The address of that website is http://www.sec.gov. In addition, our annual reports on Form 10-K, quarterly reports on Form 10-Q, current reports on Form 8-K and amendments to those reports filed or furnished pursuant to Section 13(a) or 15(d) of the Exchange Act may be accessed free of charge through our website as soon as reasonably practicable after we have electronically filed such material with, or furnished it to, the SEC.  The address of that website is http://www.ir.echostar.com.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Proxy Solicitation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will bear the cost of the solicitation of proxies on behalf of the Board of Directors. In addition to the use of the mail, proxies may be solicited by us personally, by telephone or by similar means. None of our directors, officers or employees will be specifically compensated for those activities. We do not expect to pay any compensation for the solicitation of proxies. However, we will reimburse brokerage firms, custodians, nominees, fiduciaries and other persons holding our shares in their names, or in the names of nominees, at approved rates for their reasonable expenses in forwarding proxy materials to beneficial owners of securities held of record by them and obtaining their proxies.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Shareholder Communications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General</w:t>
      </w:r>
      <w:r>
        <w:rPr>
          <w:rFonts w:ascii="Times New Roman;Times;serif" w:hAnsi="Times New Roman;Times;serif"/>
          <w:sz w:val="20"/>
        </w:rPr>
        <w:t>. We provide an informal process for shareholders to send communications to our Board of Directors and its members. Shareholders who wish to contact the Board of Directors or any of its members may do so by writing to EchoStar Corporation, Attn: Board of Directors, 9601 South Meridian Boulevard, Englewood, Colorado 80112. At the direction of the Board of Directors, all mail received will be opened and screened for security purposes. Correspondence directed to an individual Board member is referred to that member. Correspondence not directed to a particular Board member is referred to Mr. Jeffrey H. Blum, our Acting Chief Legal Officer and Secretary.  Mr. Blum’s office will forward applicable letters to the Board of Directors, unless the envelope specifies that it should be delivered to a specific director or employee.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 xml:space="preserve">Submission of Shareholder Proposals and Director Nominations for the 2027 Annual Meeting. </w:t>
      </w:r>
      <w:r>
        <w:rPr>
          <w:rFonts w:ascii="Times New Roman;Times;serif" w:hAnsi="Times New Roman;Times;serif"/>
          <w:sz w:val="20"/>
        </w:rPr>
        <w:t>Shareholders who intend to submit a proposal or director nomination for consideration for inclusion in our proxy materials for presentation at our 2027 Annual Meeting of shareholders (the “2027 Annual Meeting”) must submit the proposal or director nomination to us no later than November 20,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accordance with our bylaws, for a proposal or director nomination not included in our proxy materials to be brought before the 2027 Annual Meeting, a shareholder’s notice of the proposal or director nomination that the shareholder wishes to present must be delivered to Mr. Jeffrey H. Blum, our Acting Chief Legal Officer and Secretary, at EchoStar Corporation, 9601 South Meridian Boulevard, Englewood, Colorado 80112 not less than 90 nor more than 120 days prior to the first anniversary of the assumed date for the 2027 Annual Meeting of Shareholders. Accordingly, based on the date of our 2026 Annual Meeting of Shareholders, any notice given pursuant to our bylaws and outside the process of Rule 14a-8 must be received no earlier than January 1, 2027, and no later than February 2, 2027. In addition, to comply with the universal proxy rules, stockholders who intend to solicit proxies in support of director nominees other than the Company’s nominees must provide notice that sets forth the information required by Rule 14a-19 under the Securities Exchange Act of 1934 no later than March 4, 2027. We reserve the right to reject, rule out of order or take other appropriate action with respect to any proposal or director nomination that does not comply with these and other applicable requirements.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Order of the Board of Directors</w:t>
      </w:r>
    </w:p>
    <w:p>
      <w:pPr>
        <w:pStyle w:val="TextBody"/>
        <w:bidi w:val="0"/>
        <w:spacing w:before="0" w:after="240"/>
        <w:ind w:left="0" w:right="0" w:hanging="0"/>
        <w:jc w:val="left"/>
        <w:rPr/>
      </w:pPr>
      <w:r>
        <w:rPr/>
        <w:drawing>
          <wp:inline distT="0" distB="0" distL="0" distR="0">
            <wp:extent cx="1007110" cy="457200"/>
            <wp:effectExtent l="0" t="0" r="0" b="0"/>
            <wp:docPr id="25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8" descr=""/>
                    <pic:cNvPicPr>
                      <a:picLocks noChangeAspect="1" noChangeArrowheads="1"/>
                    </pic:cNvPicPr>
                  </pic:nvPicPr>
                  <pic:blipFill>
                    <a:blip r:embed="rId9"/>
                    <a:stretch>
                      <a:fillRect/>
                    </a:stretch>
                  </pic:blipFill>
                  <pic:spPr bwMode="auto">
                    <a:xfrm>
                      <a:off x="0" y="0"/>
                      <a:ext cx="1007110" cy="457200"/>
                    </a:xfrm>
                    <a:prstGeom prst="rect">
                      <a:avLst/>
                    </a:prstGeom>
                  </pic:spPr>
                </pic:pic>
              </a:graphicData>
            </a:graphic>
          </wp:inline>
        </w:drawing>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H. BLUM</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Acting Chief Legal Officer and Secretary</w:t>
      </w:r>
    </w:p>
    <w:p>
      <w:pPr>
        <w:pStyle w:val="TextBody"/>
        <w:bidi w:val="0"/>
        <w:spacing w:before="0" w:after="122"/>
        <w:ind w:left="0" w:right="0" w:hanging="0"/>
        <w:jc w:val="left"/>
        <w:rPr/>
      </w:pPr>
      <w:r>
        <w:rPr/>
        <w:t>​</w:t>
      </w:r>
    </w:p>
    <w:p>
      <w:pPr>
        <w:pStyle w:val="TextBody"/>
        <w:bidi w:val="0"/>
        <w:spacing w:before="0" w:after="122"/>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tbl>
      <w:tblPr>
        <w:tblW w:w="13108" w:type="dxa"/>
        <w:jc w:val="left"/>
        <w:tblInd w:w="0" w:type="dxa"/>
        <w:tblLayout w:type="fixed"/>
        <w:tblCellMar>
          <w:top w:w="0" w:type="dxa"/>
          <w:left w:w="0" w:type="dxa"/>
          <w:bottom w:w="0" w:type="dxa"/>
          <w:right w:w="0" w:type="dxa"/>
        </w:tblCellMar>
      </w:tblPr>
      <w:tblGrid>
        <w:gridCol w:w="23"/>
        <w:gridCol w:w="12735"/>
        <w:gridCol w:w="35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25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9" descr=""/>
                          <pic:cNvPicPr>
                            <a:picLocks noChangeAspect="1" noChangeArrowheads="1"/>
                          </pic:cNvPicPr>
                        </pic:nvPicPr>
                        <pic:blipFill>
                          <a:blip r:embed="rId10"/>
                          <a:stretch>
                            <a:fillRect/>
                          </a:stretch>
                        </pic:blipFill>
                        <pic:spPr bwMode="auto">
                          <a:xfrm>
                            <a:off x="0" y="0"/>
                            <a:ext cx="8086725" cy="10477500"/>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T03515-P57540-Z93851 ! ! ! 01) George R. Brokaw 02) James DeFranco 03) R. Stanton Dodge 04) Cantey M. Ergen 05) Charles W. Ergen 06) Katherine E. Flynn 07) Tom A. Ortolf 08) William P. Wall For All Withhold All For All Except For Against Abstain ! ! ! To withhold authority to vote for any individual nominee(s), mark "For All Except" and write the number(s) of the nominee(s) on the line below. ECHOSTAR CORPORATION 9601 SOUTH MERIDIAN BOULEVARD ENGLEWOOD, CO 80112 VOTE BY INTERNET Before The Meeting - Go to www.proxyvote.com or scan the QR Barcode above Use the Internet to transmit your voting instructions and for electronic delivery of information up until 11:59 p.m. Eastern Time on October 29, 2026. Have your proxy card in hand when you access the website and follow the instructions to obtain your records and to create an electronic voting instruction form. During The Meeting - Go to www.virtualshareholdermeeting.com/ECHO2026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October 29, 2026. Have your proxy card in hand when you call and then follow the instructions. VOTE BY MAIL Mark, sign and date your proxy card and return it in the postage-paid envelope we have provided or return it to Vote Processing, c/o Broadridge, 51 Mercedes Way, Edgewood, NY 11717. 2. To ratify the appointment of KPMG LLP as EchoStar Corporation's independent registered public accounting firm for the fiscal year ending December 31, 2026. 3. To conduct a non-binding advisory vote on executive compensation.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ECHOSTAR CORPORATION 1. Election of Directors. Nominees: The Board of Directors recommends you vote FOR the following: The Board of Directors recommends you vote FOR the following: NOTE: Such other business as may properly come before the meeting or any adjournment thereof. ! ! ! SCAN TO VIEW MATERIALS &amp; VOTEw</w:t>
            </w:r>
          </w:p>
        </w:tc>
      </w:tr>
    </w:tbl>
    <w:tbl>
      <w:tblPr>
        <w:tblW w:w="12973" w:type="dxa"/>
        <w:jc w:val="left"/>
        <w:tblInd w:w="0" w:type="dxa"/>
        <w:tblLayout w:type="fixed"/>
        <w:tblCellMar>
          <w:top w:w="0" w:type="dxa"/>
          <w:left w:w="0" w:type="dxa"/>
          <w:bottom w:w="0" w:type="dxa"/>
          <w:right w:w="0" w:type="dxa"/>
        </w:tblCellMar>
      </w:tblPr>
      <w:tblGrid>
        <w:gridCol w:w="23"/>
        <w:gridCol w:w="1273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25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0" descr=""/>
                          <pic:cNvPicPr>
                            <a:picLocks noChangeAspect="1" noChangeArrowheads="1"/>
                          </pic:cNvPicPr>
                        </pic:nvPicPr>
                        <pic:blipFill>
                          <a:blip r:embed="rId11"/>
                          <a:stretch>
                            <a:fillRect/>
                          </a:stretch>
                        </pic:blipFill>
                        <pic:spPr bwMode="auto">
                          <a:xfrm>
                            <a:off x="0" y="0"/>
                            <a:ext cx="8086725" cy="10477500"/>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T03516-P57540-Z93851 Important Notice Regarding the Availability of Proxy Materials for the Annual Meeting: The Notice and Proxy Statement and Annual Report are available at www.proxyvote.com. ECHOSTAR CORPORATION PROXY SOLICITED ON BEHALF OF THE BOARD OF DIRECTORS The undersigned hereby appoints Charles W. Ergen and Jeffrey H. Blum, each with the power to appoint his substitute, and hereby authorizes them to represent and to vote as designated on the reverse, all Class A Shares and Class B Shares of EchoStar Corporation held of record by the undersigned on September 4, 2026, at the Annual Meeting of Shareholders to be held on October 30, 2026, at 9:00 AM MDT, or any adjournment or postponement thereof. THIS PROXY WHEN PROPERLY EXECUTED WILL BE VOTED IN THE MANNER DIRECTED HEREIN BY THE UNDERSIGNED SHAREHOLDER. IF NO DIRECTION IS MADE THIS PROXY WILL BE VOTED (1) FOR THE ELECTION OF EACH OF THE EIGHT DIRECTORS SET FORTH ON THE REVERSE SIDE, (2) FOR THE RATIFICATION OF THE APPOINTMENT OF KPMG LLP AS ECHOSTAR CORPORATION'S INDEPENDENT REGISTERED PUBLIC ACCOUNTING FIRM FOR THE FISCAL YEAR ENDING DECEMBER 31, 2026, AND (3) FOR THE PROPOSAL TO CONDUCT A NON-BINDING ADVISORY VOTE ON EXECUTIVE COMPENSATION. THIS PROXY CONFERS DISCRETIONARY AUTHORITY WITH RESPECT TO PROPOSALS NOT KNOWN OR DETERMINED AT THE TIME OF THE MAILING OF THE NOTICE OF ANNUAL MEETING OF SHAREHOLDERS TO THE UNDERSIGNED. PLEASE SIGN AND RETURN THIS PROXY IN THE ENCLOSED PRE-ADDRESSED ENVELOPE. THE TENDER OF A PROXY WILL NOT AFFECT YOUR RIGHT TO VOTE IN PERSON IF YOU ATTEND THE MEETING OR TO SUBMIT A LATER DATED REVOCATION OR AMENDMENT TO THIS PROXY ON ANY OF THE ISSUES SET FORTH ON THE REVERSE. Continued and to be signed on reverse side</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3.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28907</Words>
  <Characters>154956</Characters>
  <CharactersWithSpaces>185126</CharactersWithSpaces>
  <Paragraphs>5567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