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980" w:right="80" w:hanging="648"/>
        <w:spacing w:after="0" w:line="256" w:lineRule="auto"/>
        <w:tabs>
          <w:tab w:leader="none" w:pos="84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 FOR THE QUARTERLY PERIOD ENDED JUNE 30, 2014.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80" w:right="20" w:hanging="648"/>
        <w:spacing w:after="0" w:line="256" w:lineRule="auto"/>
        <w:tabs>
          <w:tab w:leader="none" w:pos="88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360"/>
        <w:spacing w:after="0"/>
        <w:tabs>
          <w:tab w:leader="none" w:pos="7200" w:val="left"/>
          <w:tab w:leader="none" w:pos="8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333-179121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Hughes Satellite Systems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00" w:type="dxa"/>
        <w:tblCellMar>
          <w:top w:w="0" w:type="dxa"/>
          <w:left w:w="0" w:type="dxa"/>
          <w:bottom w:w="0" w:type="dxa"/>
          <w:right w:w="0" w:type="dxa"/>
        </w:tblCellMar>
      </w:tblPr>
      <w:tr>
        <w:trPr>
          <w:trHeight w:val="220"/>
        </w:trPr>
        <w:tc>
          <w:tcPr>
            <w:tcW w:w="55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Colorado</w:t>
            </w:r>
          </w:p>
        </w:tc>
        <w:tc>
          <w:tcPr>
            <w:tcW w:w="378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45-0897865</w:t>
            </w:r>
          </w:p>
        </w:tc>
      </w:tr>
      <w:tr>
        <w:trPr>
          <w:trHeight w:val="230"/>
        </w:trPr>
        <w:tc>
          <w:tcPr>
            <w:tcW w:w="556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8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56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100 Inverness Terrace East, Englewood, Colorado</w:t>
            </w:r>
          </w:p>
        </w:tc>
        <w:tc>
          <w:tcPr>
            <w:tcW w:w="378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80112-5308</w:t>
            </w:r>
          </w:p>
        </w:tc>
      </w:tr>
      <w:tr>
        <w:trPr>
          <w:trHeight w:val="230"/>
        </w:trPr>
        <w:tc>
          <w:tcPr>
            <w:tcW w:w="556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706-4000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47"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180" w:space="720"/>
            <w:col w:w="3520"/>
          </w:cols>
          <w:pgMar w:left="240" w:top="233" w:right="239" w:bottom="0" w:gutter="0" w:footer="0" w:header="0"/>
          <w:type w:val="continuous"/>
        </w:sectPr>
      </w:pPr>
    </w:p>
    <w:p>
      <w:pPr>
        <w:spacing w:after="0" w:line="48"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2014, the Registrant’s outstanding common stock consisted of 1,000 shares of common stock, $0.01 par value per share.</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The Registrant meets the conditions set forth in General Instructions (H)(1)(a) and (b) of Form 10-Q and is therefore filing this Form 10-Q with the reduced disclosure format.</w:t>
      </w:r>
    </w:p>
    <w:p>
      <w:pPr>
        <w:spacing w:after="0" w:line="170" w:lineRule="exact"/>
        <w:rPr>
          <w:sz w:val="24"/>
          <w:szCs w:val="24"/>
          <w:color w:val="auto"/>
        </w:rPr>
      </w:pPr>
    </w:p>
    <w:p>
      <w:pPr>
        <w:ind w:left="180" w:right="80" w:hanging="172"/>
        <w:spacing w:after="0" w:line="286" w:lineRule="auto"/>
        <w:tabs>
          <w:tab w:leader="none" w:pos="1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currently is not subject to the filing requirements of Section 13 or 15(d) of the Securities Exchange Act of 1934 and is filing this Quarterly Report on Form 10-Q on a voluntary basis. The registrant has filed all reports required to be filed by Section 13 or 15(d) of the Securities Exchange Act of 1934 during the preceding 12 months as if it were subject to such filing requirements during the entirety of such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8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Disclosure Regarding Forward-Looking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240" w:type="dxa"/>
            <w:vAlign w:val="bottom"/>
            <w:gridSpan w:val="11"/>
          </w:tcPr>
          <w:p>
            <w:pPr>
              <w:jc w:val="center"/>
              <w:ind w:right="328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4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60" w:type="dxa"/>
            <w:vAlign w:val="bottom"/>
            <w:gridSpan w:val="2"/>
          </w:tcPr>
          <w:p>
            <w:pPr>
              <w:spacing w:after="0"/>
              <w:rPr>
                <w:sz w:val="24"/>
                <w:szCs w:val="24"/>
                <w:color w:val="auto"/>
              </w:rPr>
            </w:pPr>
          </w:p>
        </w:tc>
        <w:tc>
          <w:tcPr>
            <w:tcW w:w="298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120" w:type="dxa"/>
            <w:vAlign w:val="bottom"/>
            <w:tcBorders>
              <w:top w:val="single" w:sz="8" w:color="0000EE"/>
            </w:tcBorders>
            <w:gridSpan w:val="5"/>
          </w:tcPr>
          <w:p>
            <w:pPr>
              <w:spacing w:after="0"/>
              <w:rPr>
                <w:sz w:val="24"/>
                <w:szCs w:val="24"/>
                <w:color w:val="auto"/>
              </w:rPr>
            </w:pPr>
          </w:p>
        </w:tc>
        <w:tc>
          <w:tcPr>
            <w:tcW w:w="370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2014 (Unaudited) and December 31, 2013</w:t>
              </w:r>
            </w:hyperlink>
          </w:p>
        </w:tc>
        <w:tc>
          <w:tcPr>
            <w:tcW w:w="27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(Loss) for the Three and Six Months Ended June 30,</w:t>
              </w:r>
            </w:hyperlink>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2014 and 2013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9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Changes in Shareholders’ Equity for the Six Months Ended June 30, 2014 and 2013</w:t>
              </w:r>
            </w:hyperlink>
          </w:p>
        </w:tc>
        <w:tc>
          <w:tcPr>
            <w:tcW w:w="8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w:t>
              </w:r>
            </w:hyperlink>
          </w:p>
        </w:tc>
        <w:tc>
          <w:tcPr>
            <w:tcW w:w="874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June 30, 2014 and 2013 (Unaudited)</w:t>
              </w:r>
            </w:hyperlink>
          </w:p>
        </w:tc>
        <w:tc>
          <w:tcPr>
            <w:tcW w:w="150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Condensed Consolidated Financial Statements (Unaudited)</w:t>
              </w:r>
            </w:hyperlink>
          </w:p>
        </w:tc>
        <w:tc>
          <w:tcPr>
            <w:tcW w:w="488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660" w:type="dxa"/>
            <w:vAlign w:val="bottom"/>
            <w:gridSpan w:val="2"/>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Narrative Analysis of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0"/>
              </w:rPr>
              <w:t>Item 3.</w:t>
            </w:r>
          </w:p>
        </w:tc>
        <w:tc>
          <w:tcPr>
            <w:tcW w:w="660" w:type="dxa"/>
            <w:vAlign w:val="bottom"/>
            <w:gridSpan w:val="2"/>
          </w:tcPr>
          <w:p>
            <w:pPr>
              <w:spacing w:after="0"/>
              <w:rPr>
                <w:sz w:val="19"/>
                <w:szCs w:val="19"/>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1180" w:type="dxa"/>
            <w:vAlign w:val="bottom"/>
            <w:gridSpan w:val="3"/>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800" w:type="dxa"/>
            <w:vAlign w:val="bottom"/>
            <w:gridSpan w:val="21"/>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45</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80" w:type="dxa"/>
            <w:vAlign w:val="bottom"/>
            <w:gridSpan w:val="9"/>
          </w:tcPr>
          <w:p>
            <w:pPr>
              <w:jc w:val="center"/>
              <w:ind w:right="386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44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66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1780" w:type="dxa"/>
            <w:vAlign w:val="bottom"/>
            <w:gridSpan w:val="6"/>
          </w:tcPr>
          <w:p>
            <w:pPr>
              <w:spacing w:after="0"/>
              <w:rPr>
                <w:sz w:val="24"/>
                <w:szCs w:val="24"/>
                <w:color w:val="auto"/>
              </w:rPr>
            </w:pPr>
          </w:p>
        </w:tc>
        <w:tc>
          <w:tcPr>
            <w:tcW w:w="2820" w:type="dxa"/>
            <w:vAlign w:val="bottom"/>
            <w:tcBorders>
              <w:top w:val="single" w:sz="8" w:color="0000EE"/>
            </w:tcBorders>
            <w:gridSpan w:val="3"/>
          </w:tcPr>
          <w:p>
            <w:pPr>
              <w:spacing w:after="0"/>
              <w:rPr>
                <w:sz w:val="24"/>
                <w:szCs w:val="24"/>
                <w:color w:val="auto"/>
              </w:rPr>
            </w:pPr>
          </w:p>
        </w:tc>
        <w:tc>
          <w:tcPr>
            <w:tcW w:w="386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1180" w:type="dxa"/>
            <w:vAlign w:val="bottom"/>
            <w:gridSpan w:val="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80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9"/>
                <w:szCs w:val="19"/>
                <w:color w:val="auto"/>
              </w:rPr>
            </w:pPr>
          </w:p>
        </w:tc>
        <w:tc>
          <w:tcPr>
            <w:tcW w:w="9800" w:type="dxa"/>
            <w:vAlign w:val="bottom"/>
            <w:gridSpan w:val="21"/>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21"/>
          </w:tcPr>
          <w:p>
            <w:pPr>
              <w:spacing w:after="0"/>
              <w:rPr>
                <w:sz w:val="20"/>
                <w:szCs w:val="20"/>
                <w:color w:val="auto"/>
              </w:rPr>
            </w:pPr>
            <w:r>
              <w:rPr>
                <w:rFonts w:ascii="Arial" w:cs="Arial" w:eastAsia="Arial" w:hAnsi="Arial"/>
                <w:sz w:val="18"/>
                <w:szCs w:val="18"/>
                <w:color w:val="auto"/>
              </w:rPr>
              <w:t>Defaults upon Senior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520" w:type="dxa"/>
            <w:vAlign w:val="bottom"/>
            <w:tcBorders>
              <w:bottom w:val="single" w:sz="8" w:color="0000EE"/>
            </w:tcBorders>
          </w:tcPr>
          <w:p>
            <w:pPr>
              <w:spacing w:after="0" w:line="190"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660" w:type="dxa"/>
            <w:vAlign w:val="bottom"/>
            <w:gridSpan w:val="2"/>
          </w:tcPr>
          <w:p>
            <w:pPr>
              <w:spacing w:after="0"/>
              <w:rPr>
                <w:sz w:val="16"/>
                <w:szCs w:val="16"/>
                <w:color w:val="auto"/>
              </w:rPr>
            </w:pPr>
          </w:p>
        </w:tc>
        <w:tc>
          <w:tcPr>
            <w:tcW w:w="1780" w:type="dxa"/>
            <w:vAlign w:val="bottom"/>
            <w:tcBorders>
              <w:bottom w:val="single" w:sz="8" w:color="0000EE"/>
            </w:tcBorders>
            <w:gridSpan w:val="8"/>
          </w:tcPr>
          <w:p>
            <w:pPr>
              <w:spacing w:after="0" w:line="190"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8020" w:type="dxa"/>
            <w:vAlign w:val="bottom"/>
            <w:gridSpan w:val="13"/>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47</w:t>
            </w:r>
          </w:p>
        </w:tc>
      </w:tr>
      <w:tr>
        <w:trPr>
          <w:trHeight w:val="222"/>
        </w:trPr>
        <w:tc>
          <w:tcPr>
            <w:tcW w:w="118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800" w:type="dxa"/>
            <w:vAlign w:val="bottom"/>
            <w:gridSpan w:val="21"/>
          </w:tcPr>
          <w:p>
            <w:pPr>
              <w:spacing w:after="0"/>
              <w:rPr>
                <w:sz w:val="20"/>
                <w:szCs w:val="20"/>
                <w:color w:val="auto"/>
              </w:rPr>
            </w:pPr>
            <w:r>
              <w:rPr>
                <w:rFonts w:ascii="Arial" w:cs="Arial" w:eastAsia="Arial" w:hAnsi="Arial"/>
                <w:sz w:val="18"/>
                <w:szCs w:val="18"/>
                <w:color w:val="auto"/>
              </w:rPr>
              <w:t>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0"/>
        </w:trPr>
        <w:tc>
          <w:tcPr>
            <w:tcW w:w="520" w:type="dxa"/>
            <w:vAlign w:val="bottom"/>
          </w:tcPr>
          <w:p>
            <w:pPr>
              <w:spacing w:after="0" w:line="190"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660" w:type="dxa"/>
            <w:vAlign w:val="bottom"/>
            <w:gridSpan w:val="2"/>
          </w:tcPr>
          <w:p>
            <w:pPr>
              <w:spacing w:after="0"/>
              <w:rPr>
                <w:sz w:val="16"/>
                <w:szCs w:val="16"/>
                <w:color w:val="auto"/>
              </w:rPr>
            </w:pPr>
          </w:p>
        </w:tc>
        <w:tc>
          <w:tcPr>
            <w:tcW w:w="9800" w:type="dxa"/>
            <w:vAlign w:val="bottom"/>
            <w:gridSpan w:val="21"/>
          </w:tcPr>
          <w:p>
            <w:pPr>
              <w:spacing w:after="0" w:line="190"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4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This item has been omitted pursuant to the reduced disclosure format as set forth in General Instructions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including, in particular, statements about our estimates, expectations, plans, objectives, strategies, results of operations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78"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our primary customer, DISH Network Corporation (“DISH Network”), for a significant portion of our revenue;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competitors;</w:t>
      </w:r>
    </w:p>
    <w:p>
      <w:pPr>
        <w:spacing w:after="0" w:line="9" w:lineRule="exact"/>
        <w:rPr>
          <w:rFonts w:ascii="Arial" w:cs="Arial" w:eastAsia="Arial" w:hAnsi="Arial"/>
          <w:sz w:val="18"/>
          <w:szCs w:val="18"/>
          <w:color w:val="auto"/>
        </w:rPr>
      </w:pPr>
    </w:p>
    <w:p>
      <w:pPr>
        <w:jc w:val="both"/>
        <w:ind w:left="660" w:right="42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risks related to the construction, launch and operation of our satellites, such as the risk of material malfunction on one or more of our satellites, changes in the space weather environment that could interfere with the operation of our satellites, and our general lack of commercial insurance coverage on our satellites;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uncertainty in global economic conditions, which may, among other things, cause consumers and enterprise customers to defer purchases;</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to adequately anticipate the need for satellite capacity or the inability to obtain satellite capacity for our Hughes segment; and</w:t>
      </w:r>
    </w:p>
    <w:p>
      <w:pPr>
        <w:spacing w:after="0" w:line="9" w:lineRule="exact"/>
        <w:rPr>
          <w:rFonts w:ascii="Arial" w:cs="Arial" w:eastAsia="Arial" w:hAnsi="Arial"/>
          <w:sz w:val="18"/>
          <w:szCs w:val="18"/>
          <w:color w:val="auto"/>
        </w:rPr>
      </w:pPr>
    </w:p>
    <w:p>
      <w:pPr>
        <w:ind w:left="660" w:right="340" w:hanging="328"/>
        <w:spacing w:after="0" w:line="26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Quarterly Report on Form 10-Q and in Part I, Item 1A of our most recent Annual Report on Form 10-K (“10-K”) filed with the Securities and Exchange Commission (“SEC”), those discussed in “Management’s Discussion and Analysis of Financial Condition and Results of Operations” herein and in the 10-K and those discussed in other documents we file with the SEC.</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to reflect the occurrence of anticipated or unanticipated events or circumstances after the date of such statements, except as required by federal securities laws.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ectPr>
          <w:pgSz w:w="11900" w:h="16883" w:orient="portrait"/>
          <w:cols w:equalWidth="0" w:num="1">
            <w:col w:w="11420"/>
          </w:cols>
          <w:pgMar w:left="240" w:top="324"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1180" w:type="dxa"/>
            <w:vAlign w:val="bottom"/>
          </w:tcPr>
          <w:p>
            <w:pPr>
              <w:jc w:val="right"/>
              <w:ind w:right="171"/>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ind w:left="374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267,266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Marketable investment securities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204,035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Trade accounts receivable, net of allowance for doubtful accounts of $11,664 and $10,737, respectively</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Trade accounts receivable - DISH Network, net of allowance for doubtful accounts of zero</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18,562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63,756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Prepaids and deposits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29,960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Advances to affiliates,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954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798,321</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Restricted cash and cash equivalents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18,200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Property and equipment, net of accumulated depreciation of $1,865,483 and $1,676,182, respectively</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2,324,579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Regulatory authorizations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471,658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504,173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182,671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176,217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165,976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3,707,352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4,505,673</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4,041,811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20" w:type="dxa"/>
            <w:vAlign w:val="bottom"/>
            <w:shd w:val="clear" w:color="auto" w:fill="CCEEFF"/>
          </w:tcPr>
          <w:p>
            <w:pPr>
              <w:ind w:left="2580"/>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Trade accounts payable - DISH Network</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and capital lease obligations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Advances from affiliates,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28,984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and prepayments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20,839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83,183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324,860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Long-term debt and capital lease obligations, net of current portion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2,339,103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2,351,572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416,311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Advances from affiliates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8,287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96,419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liabilities</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2,860,120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2,688,589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3,184,980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shares authorized: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2"/>
              </w:rPr>
              <w:t>Hughes Retail Preferred Tracking Stock, $0.001 par value; 300 shares authorized, 81.128 shares issued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and outstanding</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$0.01 par value; 1,000,000 shares authorized: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w w:val="96"/>
              </w:rPr>
              <w:t>Common stock, $0.01 par value; 1,000,000 shares authorized, 1,000 shares issued and outstanding</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1,360,201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(16,379)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HSS shareholders’ equity</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1,310,856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1,320,693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1,024,818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4,505,673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4,041,811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337"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Ended June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Ended 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Services and other revenue - other</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268,815</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247,346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530,482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488,717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228,105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Equipment revenue - other</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53,666</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95,498</w:t>
            </w: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revenue - DISH Network</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17,899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457,671</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397,871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871,984</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760,426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w w:val="95"/>
              </w:rPr>
              <w:t>Cost of sales - services and other (exclusive of depreciation</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and amortization)</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132,969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122,883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265,315</w:t>
            </w:r>
          </w:p>
        </w:tc>
        <w:tc>
          <w:tcPr>
            <w:tcW w:w="5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244,413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Cost of sales - equipment (exclusive of depreciation and</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52,791</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100,197</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64,528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58,525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127,799</w:t>
            </w: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9,146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115,818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101,512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224,003</w:t>
            </w: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long-lived asset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370,760</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390,953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726,460</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86,911</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145,524</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620</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1,575</w:t>
            </w: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(48,595)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(97,342)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Equity in earnings of unconsolidated affiliate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 net (includes reclassification of realized gains on</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available-for-sale (“AFS”) securities out of accumulated</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of $2, $5, $10 and $22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(46,486)</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(49,729)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(93,277)</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(12,423)</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(12,624)</w:t>
            </w: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428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HSS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28,002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(27,005)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39,623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(36,357)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3,351</w:t>
            </w:r>
          </w:p>
        </w:tc>
        <w:tc>
          <w:tcPr>
            <w:tcW w:w="5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losses on AFS securities and other</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Recognition of previously unrealized gains 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AFS securities included in net income (loss)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5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5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HSS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Noncontrolling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1,100,276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1,059,911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(36,573)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AFS securities, net and other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(4,976)</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2013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2013</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8,861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Issuance of Hughes Retail Preferred Tracking Stock</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252,990</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252,990</w:t>
            </w:r>
          </w:p>
        </w:tc>
        <w:tc>
          <w:tcPr>
            <w:tcW w:w="0" w:type="dxa"/>
            <w:vAlign w:val="bottom"/>
          </w:tcPr>
          <w:p>
            <w:pPr>
              <w:spacing w:after="0"/>
              <w:rPr>
                <w:sz w:val="1"/>
                <w:szCs w:val="1"/>
                <w:color w:val="auto"/>
              </w:rPr>
            </w:pPr>
          </w:p>
        </w:tc>
      </w:tr>
    </w:tbl>
    <w:p>
      <w:pPr>
        <w:sectPr>
          <w:pgSz w:w="11900" w:h="16900" w:orient="portrait"/>
          <w:cols w:equalWidth="0" w:num="1">
            <w:col w:w="11420"/>
          </w:cols>
          <w:pgMar w:left="240" w:top="320" w:right="239" w:bottom="0" w:gutter="0" w:footer="0" w:header="0"/>
        </w:sectPr>
      </w:pPr>
    </w:p>
    <w:bookmarkStart w:id="4" w:name="page5"/>
    <w:bookmarkEnd w:id="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Other,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(552)</w:t>
            </w:r>
          </w:p>
        </w:tc>
        <w:tc>
          <w:tcPr>
            <w:tcW w:w="340" w:type="dxa"/>
            <w:vAlign w:val="bottom"/>
          </w:tcPr>
          <w:p>
            <w:pPr>
              <w:spacing w:after="0"/>
              <w:rPr>
                <w:sz w:val="18"/>
                <w:szCs w:val="18"/>
                <w:color w:val="auto"/>
              </w:rPr>
            </w:pPr>
          </w:p>
        </w:tc>
        <w:tc>
          <w:tcPr>
            <w:tcW w:w="1440" w:type="dxa"/>
            <w:vAlign w:val="bottom"/>
            <w:gridSpan w:val="3"/>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(552)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38,896</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39,623</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Unrealized gains on AFS securities, net and other</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(837)</w:t>
            </w:r>
          </w:p>
        </w:tc>
        <w:tc>
          <w:tcPr>
            <w:tcW w:w="340" w:type="dxa"/>
            <w:vAlign w:val="bottom"/>
          </w:tcPr>
          <w:p>
            <w:pPr>
              <w:spacing w:after="0"/>
              <w:rPr>
                <w:sz w:val="18"/>
                <w:szCs w:val="18"/>
                <w:color w:val="auto"/>
              </w:rPr>
            </w:pPr>
          </w:p>
        </w:tc>
        <w:tc>
          <w:tcPr>
            <w:tcW w:w="148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(837)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3,102</w:t>
            </w: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3,351</w:t>
            </w:r>
          </w:p>
        </w:tc>
        <w:tc>
          <w:tcPr>
            <w:tcW w:w="8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Balance, June 30, 2014</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1,360,201</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9,837</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1,320,693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 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39,623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flows from operating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224,003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of unconsolidated affiliate</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2,853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gains on marketable investment securities and other investments, net</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Impairment of long-lived asset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Deferred tax benefit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5,623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current assets and current liabilities, net</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Changes in noncurrent assets and noncurrent liabilities, net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(6,663)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flows from operating activities</w:t>
            </w:r>
          </w:p>
        </w:tc>
        <w:tc>
          <w:tcPr>
            <w:tcW w:w="8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329,707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Purchases of marketable investment securities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(163,798)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investment securities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(97,506)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restricted cash and cash equivalents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(12,316)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flows from investing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 and capital lease obligations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Net proceeds from issuance of Hughes Retail Preferred Tracking Stock (Note 2)</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10,601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flows from financing activities</w:t>
            </w:r>
          </w:p>
        </w:tc>
        <w:tc>
          <w:tcPr>
            <w:tcW w:w="8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Effect of exchange rates on cash and cash equivalents</w:t>
            </w:r>
          </w:p>
        </w:tc>
        <w:tc>
          <w:tcPr>
            <w:tcW w:w="8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103,557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163,709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8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267,266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93,468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income taxes</w:t>
            </w:r>
          </w:p>
        </w:tc>
        <w:tc>
          <w:tcPr>
            <w:tcW w:w="8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4,978</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Satellites and other assets financed under capital lease obligations</w:t>
            </w: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1,382</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160"/>
              <w:spacing w:after="0"/>
              <w:rPr>
                <w:sz w:val="20"/>
                <w:szCs w:val="20"/>
                <w:color w:val="auto"/>
              </w:rPr>
            </w:pPr>
            <w:r>
              <w:rPr>
                <w:rFonts w:ascii="Arial" w:cs="Arial" w:eastAsia="Arial" w:hAnsi="Arial"/>
                <w:sz w:val="18"/>
                <w:szCs w:val="18"/>
                <w:color w:val="auto"/>
              </w:rPr>
              <w:t>Capitalized in-orbit obligations</w:t>
            </w:r>
          </w:p>
        </w:tc>
        <w:tc>
          <w:tcPr>
            <w:tcW w:w="8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Transfer of regulatory authorization to DISH Network included in accounts receivable</w:t>
            </w: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160"/>
              <w:spacing w:after="0"/>
              <w:rPr>
                <w:sz w:val="20"/>
                <w:szCs w:val="20"/>
                <w:color w:val="auto"/>
              </w:rPr>
            </w:pPr>
            <w:r>
              <w:rPr>
                <w:rFonts w:ascii="Arial" w:cs="Arial" w:eastAsia="Arial" w:hAnsi="Arial"/>
                <w:sz w:val="18"/>
                <w:szCs w:val="18"/>
                <w:color w:val="auto"/>
              </w:rPr>
              <w:t>Reduction of capital lease obligation for AMC-16</w:t>
            </w:r>
          </w:p>
        </w:tc>
        <w:tc>
          <w:tcPr>
            <w:tcW w:w="8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Increase (decrease) in capital expenditures included in accounts payable</w:t>
            </w: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(1,169)</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(9,304)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160"/>
              <w:spacing w:after="0"/>
              <w:rPr>
                <w:sz w:val="20"/>
                <w:szCs w:val="20"/>
                <w:color w:val="auto"/>
              </w:rPr>
            </w:pPr>
            <w:r>
              <w:rPr>
                <w:rFonts w:ascii="Arial" w:cs="Arial" w:eastAsia="Arial" w:hAnsi="Arial"/>
                <w:sz w:val="18"/>
                <w:szCs w:val="18"/>
                <w:color w:val="auto"/>
              </w:rPr>
              <w:t>Net assets transferred from DISH Network in exchange for HSS Tracking Stock (Note 2)</w:t>
            </w:r>
          </w:p>
        </w:tc>
        <w:tc>
          <w:tcPr>
            <w:tcW w:w="8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71,048</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Net assets transferred from EchoStar related to Tracking Stock Transaction (Note 2)</w:t>
            </w:r>
          </w:p>
        </w:tc>
        <w:tc>
          <w:tcPr>
            <w:tcW w:w="8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315,643</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w:t>
      </w:r>
      <w:r>
        <w:rPr>
          <w:rFonts w:ascii="Arial" w:cs="Arial" w:eastAsia="Arial" w:hAnsi="Arial"/>
          <w:sz w:val="18"/>
          <w:szCs w:val="18"/>
          <w:color w:val="auto"/>
        </w:rPr>
        <w:t>(Unaudited)</w:t>
      </w:r>
    </w:p>
    <w:p>
      <w:pPr>
        <w:sectPr>
          <w:pgSz w:w="11900" w:h="16852" w:orient="portrait"/>
          <w:cols w:equalWidth="0" w:num="1">
            <w:col w:w="11420"/>
          </w:cols>
          <w:pgMar w:left="240" w:top="140" w:right="239" w:bottom="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Hughes Satellite Systems Corporation (together with its subsidiaries is referred to as “HSS,” the “Company,” “we,” “us” and/or “our”) is a holding company and a subsidiary of EchoStar Corporation (“EchoStar”). We are a global provider of satellite operations, video delivery solutions, and broadband satellite technologies and services for home and office, delivering innovative network technologies, managed services, and solutions for enterprises and governments.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two business segments.</w:t>
      </w:r>
    </w:p>
    <w:p>
      <w:pPr>
        <w:spacing w:after="0" w:line="225" w:lineRule="exact"/>
        <w:rPr>
          <w:sz w:val="20"/>
          <w:szCs w:val="20"/>
          <w:color w:val="auto"/>
        </w:rPr>
      </w:pPr>
    </w:p>
    <w:p>
      <w:pPr>
        <w:ind w:left="660" w:right="120" w:hanging="328"/>
        <w:spacing w:after="0" w:line="264"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satellite broadband internet access to North American consumers and broadband network services and equipment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and international enterprise markets. The Hughes segment also provides managed services to large enterprises and solutions to customers for mobile satellite systems.</w:t>
      </w:r>
    </w:p>
    <w:p>
      <w:pPr>
        <w:spacing w:after="0" w:line="181" w:lineRule="exact"/>
        <w:rPr>
          <w:rFonts w:ascii="Arial" w:cs="Arial" w:eastAsia="Arial" w:hAnsi="Arial"/>
          <w:sz w:val="18"/>
          <w:szCs w:val="18"/>
          <w:color w:val="auto"/>
        </w:rPr>
      </w:pPr>
    </w:p>
    <w:p>
      <w:pPr>
        <w:ind w:left="660" w:right="160" w:hanging="328"/>
        <w:spacing w:after="0" w:line="279"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EchoStar Satellite Services </w:t>
      </w:r>
      <w:r>
        <w:rPr>
          <w:rFonts w:ascii="Arial" w:cs="Arial" w:eastAsia="Arial" w:hAnsi="Arial"/>
          <w:sz w:val="17"/>
          <w:szCs w:val="17"/>
          <w:color w:val="auto"/>
        </w:rPr>
        <w:t>— which uses certain of our owned and leased in-orbit satellites and related licenses to provide satellite services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full-time and occasional-use basis primarily to DISH Network Corporation (“DISH Network”), and also to Dish Mexico, S. de R.L. de C.V. (“Dish Mexico”), a joint venture that EchoStar entered into in 2008, as well as to United States (“U.S.”) government service providers, state agencies, internet service providers, broadcast news organizations, programmers, and private enterprise customers.</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were formed as a Colorado corporation in March 2011 to facilitate the acquisition (the “Hughes Acquisition”) of Hughes Communications, Inc. and its subsidiaries (“Hughes Communications”) and related financing transactions. In connection with our formation, EchoStar contributed the assets and liabilities of its satellite services business, including its principal operating subsidiary of its satellite services business, EchoStar Satellite Services L.L.C., to us. As a result of the Satellite and Tracking Stock Transaction described in Note 2 below, effective March 1, 2014, we issued to DISH Network shares of our newly authorized preferred tracking stock representing a 28.11% economic interest in the residential retail satellite broadband business of our Hughes segment.</w:t>
      </w:r>
    </w:p>
    <w:p>
      <w:pPr>
        <w:spacing w:after="0" w:line="1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Hughes Retail Preferred Tracking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and Tracking Stock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20, 2014, HSS and EchoStar entered into agreements with certain subsidiaries of DISH Network pursuant to which effective March 1, 2014,</w:t>
      </w:r>
    </w:p>
    <w:p>
      <w:pPr>
        <w:spacing w:after="0" w:line="46" w:lineRule="exact"/>
        <w:rPr>
          <w:sz w:val="20"/>
          <w:szCs w:val="20"/>
          <w:color w:val="auto"/>
        </w:rPr>
      </w:pPr>
    </w:p>
    <w:p>
      <w:pPr>
        <w:ind w:firstLine="8"/>
        <w:spacing w:after="0" w:line="252"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EchoStar issued shares of its newly authorized Hughes Retail Preferred Tracking Stock (the “EchoStar Tracking Stock”) and HSS issued shares of its newly authorized Hughes Retail Preferred Tracking Stock (the “HSS Tracking Stock” and together with the EchoStar Tracking Stock, the “Tracking Stock”) to DISH Network in exchange for five satellites (EchoStar I, EchoStar VII, EchoStar X, EchoStar XI, and EchoStar XIV) (including the assumption of related in-orbit incentive obligations) and $11.4 million in cash and (ii) DISH Network began receiving certain satellite services on these five satellites from us (the “Satellite and Tracking Stock Transaction”). Immediately upon receipt of net assets (consisting of two of the five satellites and related in-orbit incentive obligations) from DISH Network in exchange for EchoStar Tracking Stock, EchoStar transferred such net assets to us. The Tracking Stock tracks the residential retail satellite broadband business of our Hughes segment, including certain operations, assets and liabilities attributed to such business (collectively, the “Hughes Retail Group” or “HRG”).</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HSS has adopted a policy statement (the “Policy Statement”) setting forth management and allocation policies for purposes of attributing all of the business and operations of HSS to either the Hughes Retail Group or the “HSSC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Group”, which is defined as all other operations of HSS, including all existing and future businesses, other than the Hughes Retail Group. Among other things, the Policy Statement governs how assets, liabilities, revenue and expenses are attributed or allocated between HRG and the HSSC Group. Such attributions and allocations generally do not affect the amounts reported in our consolidated financial statements, except for the attribution of shareholders’ equity and net income or loss between the holders of Tracking Stock and common stock. The Policy Statement also does not significantly affect the way that management assesses operating performance and allocates resources within our Hughes segment.</w:t>
      </w:r>
    </w:p>
    <w:p>
      <w:pPr>
        <w:spacing w:after="0" w:line="17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See Note 8 for information about the five satellites received from DISH Network, Note 12 for information about the assumed in-orbit incentive obligations, and Note 14 for information regarding the related satellite services agreements with DISH Network. We provide unaudited attributed financial information for HRG and the HSSC Group in an exhibit to our periodic reports on Form 10-Q and Form 10-K. Set forth below is information about certain terms of the Tracking Stock and the initial recording of the Satellite and Tracking Stock Transaction in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Tracking Stock</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Tracking stock is a type of capital stock that the issuing company intends to reflect or “track” the economic performance of a particular business component within the company, rather than reflect the economic performance of the company as a whole. The Tracking Stock is intended to track the economic performance of the Hughes Retail Group. The shares of the Tracking Stock issued to DISH Network represent an aggregate 80.0% economic interest in the Hughes Retail Group, of which a 28.11% interest is issued as the HSS Tracking Stock. In addition to the remaining 20.0% economic interest in the Hughes Retail Group, HSS retains all economic interest in the wholesale satellite broadband business and other businesses of HSS. The Hughes Retail Group is not a separate legal entity and therefore cannot own assets, issue securities or enter into legally binding agreements. Holders of the Tracking Stock have no direct claim to the assets of the Hughes Retail Group; rather, holders of the Tracking Stock are stockholders of its respective issuer (EchoStar or HSS) and are subject to all risks and liabilities of the issuer. Accordingly, holders of EchoStar Tracking Stock do not have any direct equity interest in HSS, but have an indirect interest through EchoStar’s ownership of our outstanding common stock. Holders of shares of the Tracking Stock vote with holders of the outstanding shares of common stock of its respective issuer, as a single class, with respect to any and all matters presented to stockholders for their action or consideration. Each share of the Tracking Stock is entitled to one-tenth (1/10th) of one vote. The EchoStar Tracking Stock is a series of EchoStar preferred stock consisting of 13,000,000 authorized shares with a par value of $0.001 per share, of which 6,290,499 shares were issued to DISH Network on March 1, 2014. The outstanding shares of EchoStar Tracking Stock represent a 51.89% economic interest in the Hughes Retail Group</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HSS Tracking Stock is a series of HSS preferred stock consisting of 300 authorized shares with a par value of $0.001 per share, of which 81.128 shares were issued to DISH Network</w:t>
      </w:r>
    </w:p>
    <w:p>
      <w:pPr>
        <w:sectPr>
          <w:pgSz w:w="11900" w:h="16838" w:orient="portrait"/>
          <w:cols w:equalWidth="0" w:num="1">
            <w:col w:w="11400"/>
          </w:cols>
          <w:pgMar w:left="240" w:top="337" w:right="259" w:bottom="0" w:gutter="0" w:footer="0" w:header="0"/>
        </w:sectPr>
      </w:pPr>
    </w:p>
    <w:bookmarkStart w:id="6" w:name="page7"/>
    <w:bookmarkEnd w:id="6"/>
    <w:p>
      <w:pPr>
        <w:spacing w:after="0" w:line="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1, 2014. Following the issuance of the shares of the EchoStar Tracking Stock and the HSS Tracking Stock, DISH Network held 6.5% and 7.5% of the aggregate number of outstanding shares of EchoStar and HSS capital stock,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Satellite and Tracking Stock Transaction, EchoStar, HSS and DISH Network entered into an agreement (the “Investor Rights Agreement”) setting forth certain rights and obligations of the parties with respect to the Tracking Stock. Among other provisions, the Investor Rights Agreement provides: (i) certain information and consultation rights for DISH Network; (ii) certain transfer restrictions on the Tracking Stock and certain rights and obligations to offer and sell under certain circumstances (including a prohibition on transfer of the Tracking Stock until March 1, 2015), with continuing transfer restrictions (including a right of first offer in favor of EchoStar) thereafter, an obligation to sell the Tracking Stock to EchoStar in connection with a change of control of DISH Network and a right to require EchoStar to repurchase the Tracking Stock in connection with a change of control of EchoStar, in each case subject to certain terms and conditions; and (iii) certain protective covenants afforded to holders of the Tracking Stock.</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addition, the Investor Rights Agreement provides that DISH Network may, on or after September 1, 2016, require EchoStar to use its commercially reasonable efforts to register some or all of the outstanding shares of the Tracking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Stock under the Securities Act of 1933, subject to certain terms and conditions (including EchoStar’s right, upon the receipt of a demand for registration, to offer to repurchase all of the Tracking Stock). In connection with any demand for registration, DISH Network may require any outstanding shares of the HSS Tracking Stock to be exchanged for shares of the EchoStar Tracking Stock with an equivalent economic interest in the Hughes Retail Group. In the event that a registration of shares of EchoStar Tracking Stock is effected, EchoStar is required to use its reasonable best efforts to amend the terms of the Tracking Stock so that the Tracking Stock will be convertible or exchangeable for shares of EchoStar Class A Common Stock with equivalent market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Recording of the Satellite and Tracking Stock Transaction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EchoStar and DISH Network are entities under common control. In accordance with accounting principles that apply to transfers of assets between entities under common control, HSS recorded the net assets received from DISH Network in the Satellite and Tracking Stock Transaction (directly or indirectly through EchoStar) at their historical carrying amounts as reflected in DISH Network’s consolidated financial statements as of February 28, 2014, the day prior to the effective date of the Satellite and Tracking Stock Transaction. DISH Network transferred the EchoStar I, EchoStar VII, and EchoStar X satellites to HSS and transferred the EchoStar XI and EchoStar XIV satellites to EchoStar. All of the net assets received by EchoStar in the Satellite and Tracking Stock Transaction were immediately transferred to HSS and are being used by our EchoStar Satellite Services segment. The historical carrying amounts of net assets transferred to HSS were as follows:</w:t>
      </w:r>
    </w:p>
    <w:p>
      <w:pPr>
        <w:spacing w:after="0" w:line="168"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 Assets</w:t>
            </w:r>
          </w:p>
        </w:tc>
      </w:tr>
      <w:tr>
        <w:trPr>
          <w:trHeight w:val="171"/>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Transferred</w:t>
            </w:r>
          </w:p>
        </w:tc>
      </w:tr>
      <w:tr>
        <w:trPr>
          <w:trHeight w:val="180"/>
        </w:trPr>
        <w:tc>
          <w:tcPr>
            <w:tcW w:w="3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r>
      <w:tr>
        <w:trPr>
          <w:trHeight w:val="178"/>
        </w:trPr>
        <w:tc>
          <w:tcPr>
            <w:tcW w:w="3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432,080</w:t>
            </w:r>
          </w:p>
        </w:tc>
        <w:tc>
          <w:tcPr>
            <w:tcW w:w="1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(6,555)</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(38,834)</w:t>
            </w:r>
          </w:p>
        </w:tc>
      </w:tr>
      <w:tr>
        <w:trPr>
          <w:trHeight w:val="210"/>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net assets</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transferred net assets increased HSS shareholders’ equity by amounts that reflect the carrying amounts of net assets that would be distributed to holders of the Tracking Stock and common stock in a hypothetical liquidation, which would be in proportion to the relative market values (as defined in applicable agreements) of each class of stock. The amounts credited to equity were reduced by direct costs of the Tracking Stock issuance and deferred income tax liabilities arising from differences between the financial reporting carrying amounts and the tax bases of the transferred satellites. The net amounts credited to HSS’ shareholders’ equity (primarily additional paid-in capital) were as follows:</w:t>
      </w:r>
    </w:p>
    <w:p>
      <w:pPr>
        <w:sectPr>
          <w:pgSz w:w="11900" w:h="1685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Transferred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-121920</wp:posOffset>
            </wp:positionV>
            <wp:extent cx="434784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Offering costs, net of tax</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34784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Net increase in shareholders’ equity</w:t>
      </w:r>
    </w:p>
    <w:p>
      <w:pPr>
        <w:spacing w:after="0" w:line="2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2714"/>
        <w:spacing w:after="0"/>
        <w:rPr>
          <w:sz w:val="20"/>
          <w:szCs w:val="20"/>
          <w:color w:val="auto"/>
        </w:rPr>
      </w:pPr>
      <w:r>
        <w:rPr>
          <w:rFonts w:ascii="Arial" w:cs="Arial" w:eastAsia="Arial" w:hAnsi="Arial"/>
          <w:sz w:val="14"/>
          <w:szCs w:val="14"/>
          <w:b w:val="1"/>
          <w:bCs w:val="1"/>
          <w:color w:val="auto"/>
        </w:rPr>
        <w:t>Increase</w:t>
      </w:r>
    </w:p>
    <w:p>
      <w:pPr>
        <w:jc w:val="center"/>
        <w:ind w:right="2714"/>
        <w:spacing w:after="0" w:line="226" w:lineRule="auto"/>
        <w:rPr>
          <w:sz w:val="20"/>
          <w:szCs w:val="20"/>
          <w:color w:val="auto"/>
        </w:rPr>
      </w:pPr>
      <w:r>
        <w:rPr>
          <w:rFonts w:ascii="Arial" w:cs="Arial" w:eastAsia="Arial" w:hAnsi="Arial"/>
          <w:sz w:val="14"/>
          <w:szCs w:val="14"/>
          <w:b w:val="1"/>
          <w:bCs w:val="1"/>
          <w:color w:val="auto"/>
        </w:rPr>
        <w:t>(Decrease)</w:t>
      </w:r>
    </w:p>
    <w:p>
      <w:pPr>
        <w:spacing w:after="0" w:line="1" w:lineRule="exact"/>
        <w:rPr>
          <w:sz w:val="20"/>
          <w:szCs w:val="20"/>
          <w:color w:val="auto"/>
        </w:rPr>
      </w:pPr>
    </w:p>
    <w:p>
      <w:pPr>
        <w:jc w:val="center"/>
        <w:ind w:right="2714"/>
        <w:spacing w:after="0"/>
        <w:rPr>
          <w:sz w:val="20"/>
          <w:szCs w:val="20"/>
          <w:color w:val="auto"/>
        </w:rPr>
      </w:pPr>
      <w:r>
        <w:rPr>
          <w:rFonts w:ascii="Arial" w:cs="Arial" w:eastAsia="Arial" w:hAnsi="Arial"/>
          <w:sz w:val="14"/>
          <w:szCs w:val="14"/>
          <w:b w:val="1"/>
          <w:bCs w:val="1"/>
          <w:color w:val="auto"/>
        </w:rPr>
        <w:t>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75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jc w:val="center"/>
        <w:ind w:right="2714"/>
        <w:spacing w:after="0" w:line="235" w:lineRule="auto"/>
        <w:rPr>
          <w:sz w:val="20"/>
          <w:szCs w:val="20"/>
          <w:color w:val="auto"/>
        </w:rPr>
      </w:pPr>
      <w:r>
        <w:rPr>
          <w:rFonts w:ascii="Arial" w:cs="Arial" w:eastAsia="Arial" w:hAnsi="Arial"/>
          <w:sz w:val="14"/>
          <w:szCs w:val="14"/>
          <w:b w:val="1"/>
          <w:bCs w:val="1"/>
          <w:color w:val="auto"/>
        </w:rPr>
        <w:t>(In thousands)</w:t>
      </w:r>
    </w:p>
    <w:p>
      <w:pPr>
        <w:ind w:left="786" w:hanging="786"/>
        <w:spacing w:after="0"/>
        <w:tabs>
          <w:tab w:leader="none" w:pos="786" w:val="left"/>
        </w:tabs>
        <w:numPr>
          <w:ilvl w:val="0"/>
          <w:numId w:val="8"/>
        </w:numPr>
        <w:rPr>
          <w:rFonts w:ascii="Arial" w:cs="Arial" w:eastAsia="Arial" w:hAnsi="Arial"/>
          <w:sz w:val="18"/>
          <w:szCs w:val="18"/>
          <w:color w:val="auto"/>
        </w:rPr>
      </w:pPr>
      <w:r>
        <w:rPr>
          <w:rFonts w:ascii="Arial" w:cs="Arial" w:eastAsia="Arial" w:hAnsi="Arial"/>
          <w:sz w:val="18"/>
          <w:szCs w:val="18"/>
          <w:color w:val="auto"/>
        </w:rPr>
        <w:t>398,095</w:t>
      </w:r>
    </w:p>
    <w:p>
      <w:pPr>
        <w:spacing w:after="0" w:line="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7"/>
          <w:szCs w:val="17"/>
          <w:color w:val="auto"/>
        </w:rPr>
        <w:t>(609)</w:t>
      </w:r>
    </w:p>
    <w:p>
      <w:pPr>
        <w:spacing w:after="0" w:line="21" w:lineRule="exact"/>
        <w:rPr>
          <w:sz w:val="20"/>
          <w:szCs w:val="20"/>
          <w:color w:val="auto"/>
        </w:rPr>
      </w:pPr>
    </w:p>
    <w:p>
      <w:pPr>
        <w:jc w:val="right"/>
        <w:ind w:right="2660"/>
        <w:spacing w:after="0"/>
        <w:rPr>
          <w:sz w:val="20"/>
          <w:szCs w:val="20"/>
          <w:color w:val="auto"/>
        </w:rPr>
      </w:pPr>
      <w:r>
        <w:rPr>
          <w:rFonts w:ascii="Arial" w:cs="Arial" w:eastAsia="Arial" w:hAnsi="Arial"/>
          <w:sz w:val="18"/>
          <w:szCs w:val="18"/>
          <w:color w:val="auto"/>
        </w:rPr>
        <w:t>(144,496)</w:t>
      </w:r>
    </w:p>
    <w:p>
      <w:pPr>
        <w:spacing w:after="0" w:line="9" w:lineRule="exact"/>
        <w:rPr>
          <w:sz w:val="20"/>
          <w:szCs w:val="20"/>
          <w:color w:val="auto"/>
        </w:rPr>
      </w:pPr>
    </w:p>
    <w:p>
      <w:pPr>
        <w:ind w:left="786" w:hanging="786"/>
        <w:spacing w:after="0"/>
        <w:tabs>
          <w:tab w:leader="none" w:pos="786" w:val="left"/>
        </w:tabs>
        <w:numPr>
          <w:ilvl w:val="0"/>
          <w:numId w:val="9"/>
        </w:numPr>
        <w:rPr>
          <w:rFonts w:ascii="Arial" w:cs="Arial" w:eastAsia="Arial" w:hAnsi="Arial"/>
          <w:sz w:val="18"/>
          <w:szCs w:val="18"/>
          <w:color w:val="auto"/>
        </w:rPr>
      </w:pPr>
      <w:r>
        <w:rPr>
          <w:rFonts w:ascii="Arial" w:cs="Arial" w:eastAsia="Arial" w:hAnsi="Arial"/>
          <w:sz w:val="18"/>
          <w:szCs w:val="18"/>
          <w:color w:val="auto"/>
        </w:rPr>
        <w:t>252,990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75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75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875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100" w:lineRule="exact"/>
        <w:rPr>
          <w:sz w:val="20"/>
          <w:szCs w:val="20"/>
          <w:color w:val="auto"/>
        </w:rPr>
      </w:pPr>
    </w:p>
    <w:p>
      <w:pPr>
        <w:sectPr>
          <w:pgSz w:w="11900" w:h="16854" w:orient="portrait"/>
          <w:cols w:equalWidth="0" w:num="2">
            <w:col w:w="6594" w:space="720"/>
            <w:col w:w="4106"/>
          </w:cols>
          <w:pgMar w:left="240" w:top="125" w:right="239" w:bottom="0" w:gutter="0" w:footer="0" w:header="0"/>
          <w:type w:val="continuous"/>
        </w:sectPr>
      </w:pPr>
    </w:p>
    <w:p>
      <w:pPr>
        <w:spacing w:after="0" w:line="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U.S. (“GAAP”) and with the instructions to Form 10-Q and Article 10 of Regulation S-X for interim financial information. Accordingly, these financial statements do not include all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information and notes required for complete financial statements prepared in accordance with GAAP. In our opinion, all adjustments (consisting of normal recurring adjustments) considered necessary for a fair presentation have been included. Our results of operations for the interim periods presented are</w:t>
      </w:r>
    </w:p>
    <w:p>
      <w:pPr>
        <w:sectPr>
          <w:pgSz w:w="11900" w:h="16854" w:orient="portrait"/>
          <w:cols w:equalWidth="0" w:num="1">
            <w:col w:w="11420"/>
          </w:cols>
          <w:pgMar w:left="240" w:top="125" w:right="239" w:bottom="0" w:gutter="0" w:footer="0" w:header="0"/>
          <w:type w:val="continuous"/>
        </w:sectPr>
      </w:pPr>
    </w:p>
    <w:bookmarkStart w:id="7" w:name="page8"/>
    <w:bookmarkEnd w:id="7"/>
    <w:p>
      <w:pPr>
        <w:ind w:right="320"/>
        <w:spacing w:after="0" w:line="277" w:lineRule="auto"/>
        <w:rPr>
          <w:sz w:val="20"/>
          <w:szCs w:val="20"/>
          <w:color w:val="auto"/>
        </w:rPr>
      </w:pPr>
      <w:r>
        <w:rPr>
          <w:rFonts w:ascii="Arial" w:cs="Arial" w:eastAsia="Arial" w:hAnsi="Arial"/>
          <w:sz w:val="18"/>
          <w:szCs w:val="18"/>
          <w:color w:val="auto"/>
        </w:rPr>
        <w:t>not necessarily indicative of the results that may be expected for the full year. For further information, refer to the Consolidated Financial Statements and notes thereto included in our Annual Report on Form 10-K for the year ended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consolidate all majority owned subsidiaries, investments in entities in which we have controlling interest and variable interest entities where we are the primary beneficiary. For entities we control but do not wholly own, we record a noncontrolling interest within shareholders’ equity for the portion of the entity’s equity attributed to the noncontrolling ownership interests. We use the equity method to account for investments in entities that we do not control but have the ability to significantly influence the operating decisions of the investee. When we do not have the ability to significantly influence the operating decisions of the investee, the cost method is used. All significant intercompany accounts and transactions have been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preparation of financial statements in accordance with GAAP requires us to make certain estimates and assumptions that affect the reported amounts of assets and liabilities at the date of the balance sheets, the reported amounts of revenue and expense for each reporting period, and certain information disclosed in the notes to the Condensed Consolidated Financial Statements. Estimates are used in accounting for, among other things, amortization periods of deferred revenue and deferred subscriber acquisition costs, percentage-of-completion related to revenue recognition, allowances for doubtful accounts, allowances for sales returns and rebates, warranty obligations, self-insurance obligations, deferred taxes and related valuation allowances, uncertain tax positions, loss contingencies, fair value of financial instruments, fair value of options granted under EchoStar’s stock-based compensation plans, lease classifications, asset impairments, useful lives and amortization methods of property, equipment and intangible assets, goodwill impairment testing and royalty obligations. We base our estimates and assumptions on historical experience and on various other factors that we believe to be relevant under the circumstances. Weakened economic conditions may increase the inherent uncertainty in the estimates and assumptions indicated above. Due to the inherent uncertainty involved in making estimates, actual results may differ from previously estimated amounts, and such differences may be material to our Condensed Consolidated Financial Statements. Estimates and assumptions are reviewed periodically, and the effects of revisions are reflected in the period they occur or prospectively if the revised estimate affects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3" w:lineRule="exact"/>
        <w:rPr>
          <w:rFonts w:ascii="Arial" w:cs="Arial" w:eastAsia="Arial" w:hAnsi="Arial"/>
          <w:sz w:val="18"/>
          <w:szCs w:val="18"/>
          <w:color w:val="auto"/>
        </w:rPr>
      </w:pPr>
    </w:p>
    <w:p>
      <w:pPr>
        <w:ind w:left="660" w:right="160" w:hanging="328"/>
        <w:spacing w:after="0" w:line="250"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Arial" w:cs="Arial" w:eastAsia="Arial" w:hAnsi="Arial"/>
          <w:sz w:val="18"/>
          <w:szCs w:val="18"/>
          <w:color w:val="auto"/>
        </w:rPr>
      </w:pPr>
    </w:p>
    <w:p>
      <w:pPr>
        <w:ind w:left="660" w:right="340" w:hanging="328"/>
        <w:spacing w:after="0" w:line="26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the six months ended June 30, 2014 or 2013.</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June 30, 2014 and December 31, 2013, the carrying amount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Fair values of our current marketable investment securities are based on a variety of observable market inputs. For our investments in publicly traded equity securities, fair value ordinarily is determined based on a Level 1 measurement that reflects quoted prices for identical securities in active markets. Fair values of our investments in marketable debt securities generally are based on Level 2 measurements, as the markets for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for our publicly traded long-term debt are based on quoted market prices in less active markets and are categorized as Level 2 measurements. The fair values of our privately held debt are Level 2 measurements and are estimated to approximate their carrying amounts based on the proximity of their interest rates to current market rates. See Note 10 for the fair value of our long-term debt. As of June 30, 2014 and December 31, 2013, the fair values of our orbital incentive obligations, based on measurements categorized within Level 2 of the fair value hierarchy, approximated their carrying amounts of $89.0 million and $48.4 million, respectively. We use fair value measurements from time-to-time in connection with impairment testing and the assignment of purchase consideration to assets and liabilities of acquired companies that typically include significant unobservable inputs and are categorized within Level 3 of the fair value hierarchy.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It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ASU 2014-09 is effective for annual periods beginning after December 15, 2016 and interim periods within those annual periods and may be applied either retrospectively to prior periods or as a cumulative-effect adjustment as of the date of adoption. Early adoption is not permitted. Management has not selected a transition method and is assessing the impact of adopting this new accounting standard on our financial statements and related disclosures.</w:t>
      </w:r>
    </w:p>
    <w:p>
      <w:pPr>
        <w:sectPr>
          <w:pgSz w:w="11900" w:h="16838" w:orient="portrait"/>
          <w:cols w:equalWidth="0" w:num="1">
            <w:col w:w="11400"/>
          </w:cols>
          <w:pgMar w:left="240" w:top="125" w:right="259" w:bottom="0" w:gutter="0" w:footer="0" w:header="0"/>
        </w:sectPr>
      </w:pPr>
    </w:p>
    <w:bookmarkStart w:id="8" w:name="page9"/>
    <w:bookmarkEnd w:id="8"/>
    <w:p>
      <w:pPr>
        <w:spacing w:after="0" w:line="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not recognized any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existing capital loss carryforwards for which the related deferred tax asset has been fully offset by a valuation allowance.</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Accumulated other comprehensive loss includes cumulative foreign currency translation losses of $17.5 million and $20.6 million as of June 30, 2014 and December 31, 2013,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59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Investment Securities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40" w:type="dxa"/>
            <w:vAlign w:val="bottom"/>
            <w:gridSpan w:val="3"/>
          </w:tcPr>
          <w:p>
            <w:pPr>
              <w:spacing w:after="0"/>
              <w:rPr>
                <w:sz w:val="20"/>
                <w:szCs w:val="20"/>
                <w:color w:val="auto"/>
              </w:rPr>
            </w:pPr>
            <w:r>
              <w:rPr>
                <w:rFonts w:ascii="Arial" w:cs="Arial" w:eastAsia="Arial" w:hAnsi="Arial"/>
                <w:sz w:val="18"/>
                <w:szCs w:val="18"/>
                <w:color w:val="auto"/>
                <w:w w:val="95"/>
              </w:rPr>
              <w:t>Our marketable investment securities and other investments consisted of the following:</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118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71"/>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60" w:type="dxa"/>
            <w:vAlign w:val="bottom"/>
            <w:gridSpan w:val="4"/>
          </w:tcPr>
          <w:p>
            <w:pPr>
              <w:jc w:val="right"/>
              <w:ind w:right="9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investment securities—current: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Corporate bonds</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188,935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97,807</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VRDNs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Strategic equity security</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5,969</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7,159</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w:t>
            </w:r>
          </w:p>
        </w:tc>
      </w:tr>
      <w:tr>
        <w:trPr>
          <w:trHeight w:val="210"/>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204,035</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116,860</w:t>
            </w:r>
          </w:p>
        </w:tc>
        <w:tc>
          <w:tcPr>
            <w:tcW w:w="100" w:type="dxa"/>
            <w:vAlign w:val="bottom"/>
            <w:tcBorders>
              <w:bottom w:val="single" w:sz="8" w:color="CCEEFF"/>
            </w:tcBorders>
          </w:tcPr>
          <w:p>
            <w:pPr>
              <w:spacing w:after="0"/>
              <w:rPr>
                <w:sz w:val="18"/>
                <w:szCs w:val="18"/>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investments—noncurrent:</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Cost method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15,438</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15,438</w:t>
            </w: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14,416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w:t>
            </w:r>
          </w:p>
        </w:tc>
      </w:tr>
      <w:tr>
        <w:trPr>
          <w:trHeight w:val="210"/>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other investments—noncurrent</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29,854</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30,212</w:t>
            </w:r>
          </w:p>
        </w:tc>
        <w:tc>
          <w:tcPr>
            <w:tcW w:w="100" w:type="dxa"/>
            <w:vAlign w:val="bottom"/>
            <w:tcBorders>
              <w:bottom w:val="single" w:sz="8" w:color="CCEEFF"/>
            </w:tcBorders>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marketable and other investments</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233,889</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portfolio consists of various debt and equity instruments, all of which are classified as available-for-sale.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Rate Demand Notes (“VRDNs”)</w:t>
      </w:r>
    </w:p>
    <w:p>
      <w:pPr>
        <w:spacing w:after="0" w:line="22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VRDNs are long-term floating rate bonds with embedded put options that allow the bondholder to sell the security at par plus accrued interest. All of the put options are secured by a pledged liquidity source. Our VRDN portfolio is comprised of investments in municipalities and corporations, which are backed by financial institutions or other highly rated companies that serve as the pledged liquidity source. While they are classified as marketable investment securities, the put option allows VRDNs to be liquidated generally on a same day or on a five business day settlement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Our strategic investment portfolio consists of an investment in shares of common stock of a public company, which are highly speculative and have experienced and continue to experience volatility. The value of our investment portfolio depends on the value of such shares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government bonds.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 - Noncurrent</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several strategic investments in certain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investments are summarized in the table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40" w:type="dxa"/>
            <w:vAlign w:val="bottom"/>
          </w:tcPr>
          <w:p>
            <w:pPr>
              <w:jc w:val="center"/>
              <w:ind w:right="228"/>
              <w:spacing w:after="0"/>
              <w:rPr>
                <w:sz w:val="20"/>
                <w:szCs w:val="20"/>
                <w:color w:val="auto"/>
              </w:rPr>
            </w:pPr>
            <w:r>
              <w:rPr>
                <w:rFonts w:ascii="Arial" w:cs="Arial" w:eastAsia="Arial" w:hAnsi="Arial"/>
                <w:sz w:val="14"/>
                <w:szCs w:val="14"/>
                <w:b w:val="1"/>
                <w:bCs w:val="1"/>
                <w:color w:val="auto"/>
                <w:w w:val="96"/>
              </w:rPr>
              <w:t>Amortized</w:t>
            </w: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708"/>
              <w:spacing w:after="0"/>
              <w:rPr>
                <w:sz w:val="20"/>
                <w:szCs w:val="20"/>
                <w:color w:val="auto"/>
              </w:rPr>
            </w:pPr>
            <w:r>
              <w:rPr>
                <w:rFonts w:ascii="Arial" w:cs="Arial" w:eastAsia="Arial" w:hAnsi="Arial"/>
                <w:sz w:val="14"/>
                <w:szCs w:val="14"/>
                <w:b w:val="1"/>
                <w:bCs w:val="1"/>
                <w:color w:val="auto"/>
                <w:w w:val="95"/>
              </w:rPr>
              <w:t>Unrealized</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Estimated</w:t>
            </w:r>
          </w:p>
        </w:tc>
      </w:tr>
      <w:tr>
        <w:trPr>
          <w:trHeight w:val="142"/>
        </w:trPr>
        <w:tc>
          <w:tcPr>
            <w:tcW w:w="4360" w:type="dxa"/>
            <w:vAlign w:val="bottom"/>
          </w:tcPr>
          <w:p>
            <w:pPr>
              <w:spacing w:after="0"/>
              <w:rPr>
                <w:sz w:val="12"/>
                <w:szCs w:val="12"/>
                <w:color w:val="auto"/>
              </w:rPr>
            </w:pPr>
          </w:p>
        </w:tc>
        <w:tc>
          <w:tcPr>
            <w:tcW w:w="1440" w:type="dxa"/>
            <w:vAlign w:val="bottom"/>
          </w:tcPr>
          <w:p>
            <w:pPr>
              <w:jc w:val="center"/>
              <w:ind w:right="208"/>
              <w:spacing w:after="0" w:line="142" w:lineRule="exact"/>
              <w:rPr>
                <w:sz w:val="20"/>
                <w:szCs w:val="20"/>
                <w:color w:val="auto"/>
              </w:rPr>
            </w:pPr>
            <w:r>
              <w:rPr>
                <w:rFonts w:ascii="Arial" w:cs="Arial" w:eastAsia="Arial" w:hAnsi="Arial"/>
                <w:sz w:val="14"/>
                <w:szCs w:val="14"/>
                <w:b w:val="1"/>
                <w:bCs w:val="1"/>
                <w:color w:val="auto"/>
                <w:w w:val="89"/>
              </w:rPr>
              <w:t>Cost</w:t>
            </w:r>
          </w:p>
        </w:tc>
        <w:tc>
          <w:tcPr>
            <w:tcW w:w="78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92"/>
              </w:rPr>
              <w:t>Gains</w:t>
            </w:r>
          </w:p>
        </w:tc>
        <w:tc>
          <w:tcPr>
            <w:tcW w:w="1780" w:type="dxa"/>
            <w:vAlign w:val="bottom"/>
          </w:tcPr>
          <w:p>
            <w:pPr>
              <w:ind w:left="1020"/>
              <w:spacing w:after="0" w:line="142" w:lineRule="exact"/>
              <w:rPr>
                <w:sz w:val="20"/>
                <w:szCs w:val="20"/>
                <w:color w:val="auto"/>
              </w:rPr>
            </w:pPr>
            <w:r>
              <w:rPr>
                <w:rFonts w:ascii="Arial" w:cs="Arial" w:eastAsia="Arial" w:hAnsi="Arial"/>
                <w:sz w:val="14"/>
                <w:szCs w:val="14"/>
                <w:b w:val="1"/>
                <w:bCs w:val="1"/>
                <w:color w:val="auto"/>
              </w:rPr>
              <w:t>Losses</w:t>
            </w:r>
          </w:p>
        </w:tc>
        <w:tc>
          <w:tcPr>
            <w:tcW w:w="1520" w:type="dxa"/>
            <w:vAlign w:val="bottom"/>
            <w:gridSpan w:val="2"/>
          </w:tcPr>
          <w:p>
            <w:pPr>
              <w:ind w:left="520"/>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42"/>
        </w:trPr>
        <w:tc>
          <w:tcPr>
            <w:tcW w:w="43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center"/>
              <w:ind w:right="728"/>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43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00"/>
          </w:cols>
          <w:pgMar w:left="240" w:top="121" w:right="259" w:bottom="0" w:gutter="0" w:footer="0" w:header="0"/>
        </w:sectPr>
      </w:pPr>
    </w:p>
    <w:bookmarkStart w:id="9" w:name="page10"/>
    <w:bookmarkEnd w:id="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2014</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Debt securities: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9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188,968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VRDNs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Equity security - strategic</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marketable investment securities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202,933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2013</w:t>
            </w: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9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97,846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6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97,807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VRDNs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security - strategic</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360"/>
              <w:spacing w:after="0"/>
              <w:rPr>
                <w:sz w:val="20"/>
                <w:szCs w:val="20"/>
                <w:color w:val="auto"/>
              </w:rPr>
            </w:pPr>
            <w:r>
              <w:rPr>
                <w:rFonts w:ascii="Arial" w:cs="Arial" w:eastAsia="Arial" w:hAnsi="Arial"/>
                <w:sz w:val="18"/>
                <w:szCs w:val="18"/>
                <w:color w:val="auto"/>
              </w:rPr>
              <w:t>Total marketable investment securities</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114,573</w:t>
            </w: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June 30, 2014, restricted and non-restricted marketable investment securities included debt securities of $140.3 million with contractual maturities of one year or less and $57.7 million with contractual maturities greater than one year. We may realize proceeds from certain investments prior to their contractual maturity as a result of our ability to sell these securities prior to their contractual maturity.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 in a Loss Position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In addition, we are not aware of any specific factors indicating that the underlying issuers of these securities would not be able to pay interest as it becomes due or repay the principal at maturity. Therefore, we believe that these changes in the estimated fair values of these securities are primarily related to temporary market fluctuations.</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3"/>
          </w:tcPr>
          <w:p>
            <w:pPr>
              <w:jc w:val="right"/>
              <w:ind w:right="688"/>
              <w:spacing w:after="0" w:line="142" w:lineRule="exact"/>
              <w:rPr>
                <w:sz w:val="20"/>
                <w:szCs w:val="20"/>
                <w:color w:val="auto"/>
              </w:rPr>
            </w:pPr>
            <w:r>
              <w:rPr>
                <w:rFonts w:ascii="Arial" w:cs="Arial" w:eastAsia="Arial" w:hAnsi="Arial"/>
                <w:sz w:val="14"/>
                <w:szCs w:val="14"/>
                <w:b w:val="1"/>
                <w:bCs w:val="1"/>
                <w:color w:val="auto"/>
              </w:rPr>
              <w:t>June 30, 2014</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568"/>
              <w:spacing w:after="0" w:line="142" w:lineRule="exact"/>
              <w:rPr>
                <w:sz w:val="20"/>
                <w:szCs w:val="20"/>
                <w:color w:val="auto"/>
              </w:rPr>
            </w:pPr>
            <w:r>
              <w:rPr>
                <w:rFonts w:ascii="Arial" w:cs="Arial" w:eastAsia="Arial" w:hAnsi="Arial"/>
                <w:sz w:val="14"/>
                <w:szCs w:val="14"/>
                <w:b w:val="1"/>
                <w:bCs w:val="1"/>
                <w:color w:val="auto"/>
                <w:w w:val="95"/>
              </w:rPr>
              <w:t>December 31, 2013</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Fair</w:t>
            </w:r>
          </w:p>
        </w:tc>
        <w:tc>
          <w:tcPr>
            <w:tcW w:w="10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Loss</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right"/>
              <w:ind w:right="50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Less than 12 months</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126,480</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860" w:type="dxa"/>
            <w:vAlign w:val="bottom"/>
            <w:gridSpan w:val="2"/>
            <w:shd w:val="clear" w:color="auto" w:fill="CCEEFF"/>
          </w:tcPr>
          <w:p>
            <w:pPr>
              <w:jc w:val="right"/>
              <w:ind w:right="68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75,987</w:t>
            </w: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(64)</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12 months or more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2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75,987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Gains (Losses) on Marketable Investment Securities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recognized minimal gains from the sales of our available-for-sale marketable investment securities for the three and six months ended June 30, 2014, respectively, and minimal and $2.6 million for the three and six months ended June 30, 2013, respectively. We did not recognize any losses from the sales of our available-for-sale marketable investment securities for each of the three or six months ended June 30, 2014 and 2013.</w:t>
      </w:r>
    </w:p>
    <w:p>
      <w:pPr>
        <w:spacing w:after="0" w:line="16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Proceeds from sales of our available-for-sale marketable investment securities totaled $0.1 million and $0.1 million for the three and six months ended June 30, 2014, respectively, and $3.0 million and $5.1 million for the three and six months ended June 30, 2013,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June 30, 2014 and December 31, 2013, we did not have investments that were categorized within Level 3 of the fair value hierarchy.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December 31, 2013</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215,970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215,959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115,635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106,970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Debt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188,935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188,935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97,807</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2"/>
          </w:tcPr>
          <w:p>
            <w:pPr>
              <w:ind w:left="180"/>
              <w:spacing w:after="0"/>
              <w:rPr>
                <w:sz w:val="20"/>
                <w:szCs w:val="20"/>
                <w:color w:val="auto"/>
              </w:rPr>
            </w:pPr>
            <w:r>
              <w:rPr>
                <w:rFonts w:ascii="Arial" w:cs="Arial" w:eastAsia="Arial" w:hAnsi="Arial"/>
                <w:sz w:val="18"/>
                <w:szCs w:val="18"/>
                <w:color w:val="auto"/>
              </w:rPr>
              <w:t>VRDNs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4,580</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4,580</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4,551</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Equity security - strategic</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5,969</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Borders>
              <w:right w:val="single" w:sz="8" w:color="CCEEFF"/>
            </w:tcBorders>
            <w:gridSpan w:val="2"/>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Total marketable investment</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tcBorders>
              <w:right w:val="single" w:sz="8" w:color="CCEEFF"/>
            </w:tcBorders>
            <w:gridSpan w:val="2"/>
            <w:vMerge w:val="continue"/>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204,035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5,969</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198,066</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116,860</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7,159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109,701</w:t>
            </w: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2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w w:val="96"/>
              </w:rPr>
              <w:t>Note 6.</w:t>
            </w:r>
          </w:p>
        </w:tc>
        <w:tc>
          <w:tcPr>
            <w:tcW w:w="60" w:type="dxa"/>
            <w:vAlign w:val="bottom"/>
          </w:tcPr>
          <w:p>
            <w:pPr>
              <w:spacing w:after="0" w:line="20" w:lineRule="exact"/>
              <w:rPr>
                <w:sz w:val="1"/>
                <w:szCs w:val="1"/>
                <w:color w:val="auto"/>
              </w:rPr>
            </w:pPr>
          </w:p>
        </w:tc>
        <w:tc>
          <w:tcPr>
            <w:tcW w:w="24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b w:val="1"/>
                <w:bCs w:val="1"/>
                <w:color w:val="auto"/>
                <w:w w:val="96"/>
              </w:rPr>
              <w:t>Trade Accounts Receivable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20" w:type="dxa"/>
            <w:vAlign w:val="bottom"/>
            <w:gridSpan w:val="7"/>
          </w:tcPr>
          <w:p>
            <w:pPr>
              <w:spacing w:after="0"/>
              <w:rPr>
                <w:sz w:val="20"/>
                <w:szCs w:val="20"/>
                <w:color w:val="auto"/>
              </w:rPr>
            </w:pPr>
            <w:r>
              <w:rPr>
                <w:rFonts w:ascii="Arial" w:cs="Arial" w:eastAsia="Arial" w:hAnsi="Arial"/>
                <w:sz w:val="18"/>
                <w:szCs w:val="18"/>
                <w:color w:val="auto"/>
                <w:w w:val="97"/>
              </w:rPr>
              <w:t>Our trade accounts receivable consisted of the following:</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6"/>
          </w:tcPr>
          <w:p>
            <w:pPr>
              <w:jc w:val="right"/>
              <w:ind w:right="9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Trade accounts receivable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151,877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136,063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0"/>
              </w:rPr>
              <w:t>Contracts in process, net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9,554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7,629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20" w:type="dxa"/>
            <w:vAlign w:val="bottom"/>
            <w:tcBorders>
              <w:top w:val="single" w:sz="8" w:color="CCEEFF"/>
            </w:tcBorders>
            <w:gridSpan w:val="4"/>
            <w:shd w:val="clear" w:color="auto" w:fill="CCEEFF"/>
          </w:tcPr>
          <w:p>
            <w:pPr>
              <w:jc w:val="right"/>
              <w:ind w:right="700"/>
              <w:spacing w:after="0"/>
              <w:rPr>
                <w:sz w:val="20"/>
                <w:szCs w:val="20"/>
                <w:color w:val="auto"/>
              </w:rPr>
            </w:pPr>
            <w:r>
              <w:rPr>
                <w:rFonts w:ascii="Arial" w:cs="Arial" w:eastAsia="Arial" w:hAnsi="Arial"/>
                <w:sz w:val="18"/>
                <w:szCs w:val="18"/>
                <w:color w:val="auto"/>
                <w:w w:val="95"/>
              </w:rPr>
              <w:t>Total trade accounts receivable</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161,431</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10" w:name="page11"/>
    <w:bookmarkEnd w:id="10"/>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(11,664)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(10,737)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 DISH Network</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68,091</w:t>
            </w:r>
          </w:p>
        </w:tc>
        <w:tc>
          <w:tcPr>
            <w:tcW w:w="80" w:type="dxa"/>
            <w:vAlign w:val="bottom"/>
            <w:shd w:val="clear" w:color="auto" w:fill="CCEEFF"/>
          </w:tcPr>
          <w:p>
            <w:pPr>
              <w:spacing w:after="0"/>
              <w:rPr>
                <w:sz w:val="18"/>
                <w:szCs w:val="18"/>
                <w:color w:val="auto"/>
              </w:rPr>
            </w:pPr>
          </w:p>
        </w:tc>
      </w:tr>
      <w:tr>
        <w:trPr>
          <w:trHeight w:val="210"/>
        </w:trPr>
        <w:tc>
          <w:tcPr>
            <w:tcW w:w="5240" w:type="dxa"/>
            <w:vAlign w:val="bottom"/>
          </w:tcPr>
          <w:p>
            <w:pPr>
              <w:ind w:left="180"/>
              <w:spacing w:after="0"/>
              <w:rPr>
                <w:sz w:val="20"/>
                <w:szCs w:val="20"/>
                <w:color w:val="auto"/>
              </w:rPr>
            </w:pPr>
            <w:r>
              <w:rPr>
                <w:rFonts w:ascii="Arial" w:cs="Arial" w:eastAsia="Arial" w:hAnsi="Arial"/>
                <w:sz w:val="18"/>
                <w:szCs w:val="18"/>
                <w:color w:val="auto"/>
              </w:rPr>
              <w:t>Total trade accounts receivable, net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168,329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2014 and December 31, 2013, progress billings offset against contracts in process amounted to $13.0 million and $2.6 million,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36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Inventory</w:t>
            </w: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rPr>
              <w:t>Our inventory consisted of the following:</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right"/>
              <w:ind w:right="177"/>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5"/>
          </w:tcPr>
          <w:p>
            <w:pPr>
              <w:jc w:val="right"/>
              <w:ind w:right="977"/>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40,337</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Raw materials</w:t>
            </w: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Work-in process</w:t>
            </w:r>
          </w:p>
        </w:tc>
        <w:tc>
          <w:tcPr>
            <w:tcW w:w="2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27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56,993</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00" w:type="dxa"/>
            <w:vAlign w:val="bottom"/>
            <w:vMerge w:val="restart"/>
          </w:tcPr>
          <w:p>
            <w:pPr>
              <w:jc w:val="right"/>
              <w:ind w:right="111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Depreciable</w:t>
            </w: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6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6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Life</w:t>
            </w:r>
          </w:p>
        </w:tc>
        <w:tc>
          <w:tcPr>
            <w:tcW w:w="260" w:type="dxa"/>
            <w:vAlign w:val="bottom"/>
          </w:tcPr>
          <w:p>
            <w:pPr>
              <w:spacing w:after="0"/>
              <w:rPr>
                <w:sz w:val="10"/>
                <w:szCs w:val="10"/>
                <w:color w:val="auto"/>
              </w:rPr>
            </w:pPr>
          </w:p>
        </w:tc>
        <w:tc>
          <w:tcPr>
            <w:tcW w:w="13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gridSpan w:val="2"/>
          </w:tcPr>
          <w:p>
            <w:pPr>
              <w:spacing w:after="0"/>
              <w:rPr>
                <w:sz w:val="10"/>
                <w:szCs w:val="10"/>
                <w:color w:val="auto"/>
              </w:rPr>
            </w:pPr>
          </w:p>
        </w:tc>
      </w:tr>
      <w:tr>
        <w:trPr>
          <w:trHeight w:val="171"/>
        </w:trPr>
        <w:tc>
          <w:tcPr>
            <w:tcW w:w="6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 Years)</w:t>
            </w:r>
          </w:p>
        </w:tc>
        <w:tc>
          <w:tcPr>
            <w:tcW w:w="260" w:type="dxa"/>
            <w:vAlign w:val="bottom"/>
          </w:tcPr>
          <w:p>
            <w:pPr>
              <w:spacing w:after="0"/>
              <w:rPr>
                <w:sz w:val="14"/>
                <w:szCs w:val="14"/>
                <w:color w:val="auto"/>
              </w:rPr>
            </w:pPr>
          </w:p>
        </w:tc>
        <w:tc>
          <w:tcPr>
            <w:tcW w:w="11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5"/>
          </w:tcPr>
          <w:p>
            <w:pPr>
              <w:jc w:val="right"/>
              <w:ind w:right="97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gridSpan w:val="2"/>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11,663</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1 - 30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73,192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72,559</w:t>
            </w:r>
          </w:p>
        </w:tc>
      </w:tr>
      <w:tr>
        <w:trPr>
          <w:trHeight w:val="216"/>
        </w:trPr>
        <w:tc>
          <w:tcPr>
            <w:tcW w:w="6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equipment and other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1 - 12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296,896</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Customer rental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2 - 4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436,998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374,689</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Satellites - owned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2 - 15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1,949,040</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Satellites acquired under capital leases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10 - 15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935,104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935,104</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19,512</w:t>
            </w:r>
          </w:p>
        </w:tc>
      </w:tr>
      <w:tr>
        <w:trPr>
          <w:trHeight w:val="210"/>
        </w:trPr>
        <w:tc>
          <w:tcPr>
            <w:tcW w:w="66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4,190,062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3,659,463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(1,865,483)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(1,676,182)</w:t>
            </w:r>
          </w:p>
        </w:tc>
      </w:tr>
      <w:tr>
        <w:trPr>
          <w:trHeight w:val="210"/>
        </w:trPr>
        <w:tc>
          <w:tcPr>
            <w:tcW w:w="66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2,324,579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1,983,281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June 30, 2014, our owned satellites included $432.1 million for the five satellites we received from DISH Network as part of the Satellite and Tracking Stock Transaction discussed in Note 2. This amount represents the net carrying amount of those satellites in DISH Network’s consolidated financial statements as of February 28, 2014, the day prior to the effective date of the Satellite and Tracking Stock Transaction. Accumulated depreciation for those satellites as of June 30, 2014 was $15.9 million, representing depreciation expense recognized in our consolidated financial statements for the period subsequent to the effective date of the Satellite and Tracking Stock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4"/>
          </w:tcPr>
          <w:p>
            <w:pPr>
              <w:jc w:val="right"/>
              <w:ind w:right="17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56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1"/>
              </w:rPr>
              <w:t>Progress amounts for satellite construction, including certain amounts prepaid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under satellite service agreements and launch costs:</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EUTELSAT 65WA</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5"/>
          </w:tcPr>
          <w:p>
            <w:pPr>
              <w:jc w:val="right"/>
              <w:ind w:right="260"/>
              <w:spacing w:after="0"/>
              <w:rPr>
                <w:sz w:val="20"/>
                <w:szCs w:val="20"/>
                <w:color w:val="auto"/>
              </w:rPr>
            </w:pPr>
            <w:r>
              <w:rPr>
                <w:rFonts w:ascii="Arial" w:cs="Arial" w:eastAsia="Arial" w:hAnsi="Arial"/>
                <w:sz w:val="18"/>
                <w:szCs w:val="18"/>
                <w:color w:val="auto"/>
              </w:rPr>
              <w:t>10,337</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100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Uplinking equipment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5"/>
          </w:tcPr>
          <w:p>
            <w:pPr>
              <w:jc w:val="right"/>
              <w:ind w:right="260"/>
              <w:spacing w:after="0"/>
              <w:rPr>
                <w:sz w:val="20"/>
                <w:szCs w:val="20"/>
                <w:color w:val="auto"/>
              </w:rPr>
            </w:pPr>
            <w:r>
              <w:rPr>
                <w:rFonts w:ascii="Arial" w:cs="Arial" w:eastAsia="Arial" w:hAnsi="Arial"/>
                <w:sz w:val="18"/>
                <w:szCs w:val="18"/>
                <w:color w:val="auto"/>
              </w:rPr>
              <w:t>6,660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3,362</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16,050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29,967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19,512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7"/>
            <w:vMerge w:val="restart"/>
          </w:tcPr>
          <w:p>
            <w:pPr>
              <w:spacing w:after="0"/>
              <w:rPr>
                <w:sz w:val="20"/>
                <w:szCs w:val="20"/>
                <w:color w:val="auto"/>
              </w:rPr>
            </w:pPr>
            <w:r>
              <w:rPr>
                <w:rFonts w:ascii="Arial" w:cs="Arial" w:eastAsia="Arial" w:hAnsi="Arial"/>
                <w:sz w:val="18"/>
                <w:szCs w:val="18"/>
                <w:color w:val="auto"/>
                <w:w w:val="94"/>
              </w:rPr>
              <w:t>Depreciation expense associated with our property and equipment consisted of the following:</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7"/>
          </w:tcPr>
          <w:p>
            <w:pPr>
              <w:ind w:left="200"/>
              <w:spacing w:after="0"/>
              <w:rPr>
                <w:sz w:val="20"/>
                <w:szCs w:val="20"/>
                <w:color w:val="auto"/>
              </w:rPr>
            </w:pPr>
            <w:r>
              <w:rPr>
                <w:rFonts w:ascii="Arial" w:cs="Arial" w:eastAsia="Arial" w:hAnsi="Arial"/>
                <w:sz w:val="14"/>
                <w:szCs w:val="14"/>
                <w:b w:val="1"/>
                <w:bCs w:val="1"/>
                <w:color w:val="auto"/>
              </w:rPr>
              <w:t>For the 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5"/>
          </w:tcPr>
          <w:p>
            <w:pPr>
              <w:ind w:left="5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Satellites</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55,576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46,529</w:t>
            </w:r>
          </w:p>
        </w:tc>
        <w:tc>
          <w:tcPr>
            <w:tcW w:w="5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103,139</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Furniture, fixtures, equipment and other</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12,327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12,394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25,105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rental equipment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29,016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56,908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w w:val="84"/>
              </w:rPr>
              <w:t>1,325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1,245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depreciation expense</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98,244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of June 30, 2014, we utilized 17 of our owned and leased satellites in geosynchronous orbit, approximately 22,300 miles above the equator. Four of our satellites are accounted for as capital leases and are depreciated on a straight-line basis over the terms of the satellite service agreements. We depreciate our owned satellites on a straight-line basis over the estimated useful life of each satellite.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our satellite fleet is presented below.</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Launch</w:t>
            </w: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Nominal Degree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Satellites</w:t>
            </w: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2340" w:type="dxa"/>
            <w:vAlign w:val="bottom"/>
            <w:gridSpan w:val="2"/>
            <w:vMerge w:val="continue"/>
          </w:tcPr>
          <w:p>
            <w:pPr>
              <w:spacing w:after="0"/>
              <w:rPr>
                <w:sz w:val="12"/>
                <w:szCs w:val="12"/>
                <w:color w:val="auto"/>
              </w:rPr>
            </w:pPr>
          </w:p>
        </w:tc>
        <w:tc>
          <w:tcPr>
            <w:tcW w:w="2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Orbital Location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(West Longitude)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Owned:</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SPACEWAY 3 (5)</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Hughes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August 2007</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XVII</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Hughes</w:t>
            </w:r>
          </w:p>
        </w:tc>
        <w:tc>
          <w:tcPr>
            <w:tcW w:w="2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July 2012</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EchoStar I (1) (2) (3)</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1995</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3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III (3)</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October 1997</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EchoStar VI (3)</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July 2000</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96.2</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VII (1) (2)</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February 2002</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EchoStar VIII (1)</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August 2002</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XII (1)(6)</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July 2003</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EchoStar IX (1)</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August 2003</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121</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 (1) (2)</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February 2006</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EchoStar XI (1) (2)</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July 2008</w:t>
            </w: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EchoStar XIV (1) (2)</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2"/>
              </w:rPr>
              <w:t>March 2010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EchoStar XVI (1)</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November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61.5</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Leased from Third Parties (4):</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AMC-15</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October 2004</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AMC-16</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2004</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Nimiq 5 (1)</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September 2009</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QuetzSat-1 (1)</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ESS</w:t>
            </w: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September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14 for further discussion of our transactions with DISH Network.</w:t>
      </w:r>
    </w:p>
    <w:p>
      <w:pPr>
        <w:spacing w:after="0" w:line="23" w:lineRule="exact"/>
        <w:rPr>
          <w:rFonts w:ascii="Arial" w:cs="Arial" w:eastAsia="Arial" w:hAnsi="Arial"/>
          <w:sz w:val="18"/>
          <w:szCs w:val="18"/>
          <w:color w:val="auto"/>
        </w:rPr>
      </w:pPr>
    </w:p>
    <w:p>
      <w:pPr>
        <w:ind w:left="980" w:right="180" w:hanging="486"/>
        <w:spacing w:after="0" w:line="250" w:lineRule="auto"/>
        <w:tabs>
          <w:tab w:leader="none" w:pos="9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Depreciable life represents the remaining useful life as of March 1, 2014, the effective date of our receipt of the satellites from DISH Network as part of the Satellite and Tracking Stock Transaction (See Note 2).</w:t>
      </w: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Fully depreciated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These satellites are accounted for as capital leases and their launch dates represent dates that the satellites were placed into service.</w:t>
      </w:r>
    </w:p>
    <w:p>
      <w:pPr>
        <w:spacing w:after="0" w:line="20" w:lineRule="exact"/>
        <w:rPr>
          <w:rFonts w:ascii="Arial" w:cs="Arial" w:eastAsia="Arial" w:hAnsi="Arial"/>
          <w:sz w:val="17"/>
          <w:szCs w:val="17"/>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Depreciable life represents the remaining useful life as of the date of the Hughes Acquisition.</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Depreciable life represents the remaining useful life as of June 30, 2013, the date EchoStar XII was impaired.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EUTELSAT 65 West A. </w:t>
      </w:r>
      <w:r>
        <w:rPr>
          <w:rFonts w:ascii="Arial" w:cs="Arial" w:eastAsia="Arial" w:hAnsi="Arial"/>
          <w:sz w:val="18"/>
          <w:szCs w:val="18"/>
          <w:color w:val="auto"/>
        </w:rPr>
        <w:t>In April 2014, we entered into a satellite services agreement pursuant to which Eutelsat do Brasil will provide to Hughes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Telecomunica</w:t>
      </w:r>
      <w:r>
        <w:rPr>
          <w:rFonts w:ascii="Arial" w:cs="Arial" w:eastAsia="Arial" w:hAnsi="Arial"/>
          <w:sz w:val="18"/>
          <w:szCs w:val="18"/>
          <w:color w:val="auto"/>
        </w:rPr>
        <w:t>ҫ</w:t>
      </w:r>
      <w:r>
        <w:rPr>
          <w:rFonts w:ascii="Arial" w:cs="Arial" w:eastAsia="Arial" w:hAnsi="Arial"/>
          <w:sz w:val="18"/>
          <w:szCs w:val="18"/>
          <w:color w:val="auto"/>
        </w:rPr>
        <w:t>ões do Brasil Ltda, our wholly-owned subsidiary, the fixed broadband service on the entire Ka-band capacity into Brazil on the EUTELSAT 65 West A satellite for a 15-year term. The satellite is scheduled to be placed into service in the second quarter of 2016.</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 xml:space="preserve">EchoStar XIX. </w:t>
      </w:r>
      <w:r>
        <w:rPr>
          <w:rFonts w:ascii="Arial" w:cs="Arial" w:eastAsia="Arial" w:hAnsi="Arial"/>
          <w:sz w:val="17"/>
          <w:szCs w:val="17"/>
          <w:color w:val="auto"/>
        </w:rPr>
        <w:t>In February 2012 and September 2013, ViaSat and its subsidiary ViaSat Communications filed lawsuits in the U.S. District Court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Southern District of California against Space Systems Loral, LLC (“SSL”), the manufacturer of EchoStar XVII and EchoStar XIX. In the first-filed case, ViaSat alleged, among other things, that SSL infringed three patents and breached its contractual obligations through the use of such patented technology to manufacture EchoStar XVII. A jury trial was held in that case in March and April 2014, and the jury found that in connection with EchoStar XVII, SSL directly infringed the asserted patents and that SSL breached certain agreements with ViaSat. While we are not a party to this matter, the adverse decision against SSL may have an impact on our ability to make use of EchoStar XIX or other satellites from SSL and may adversely affect our business operations and results of operations. Until there are further developments in the case, including rulings on post-trial motions and appeals, we cannot determine whether there will be an adverse impact and, if so, the extent of any such impact.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 xml:space="preserve">EchoStar I, EchoStar VII, EchoStar X, EchoStar XI, and EchoStar XIV. </w:t>
      </w:r>
      <w:r>
        <w:rPr>
          <w:rFonts w:ascii="Arial" w:cs="Arial" w:eastAsia="Arial" w:hAnsi="Arial"/>
          <w:sz w:val="18"/>
          <w:szCs w:val="18"/>
          <w:color w:val="auto"/>
        </w:rPr>
        <w:t>As discussed in Note 2, we received five satellites (EchoStar I, EchoStar VII,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X, EchoStar XI and EchoStar XIV) from DISH Network as part of the Satellite and Tracking Stock Transaction. These satellites are BSS communications satellites operating in Ku-band frequencies, and DISH Network began receiving certain services from us on these satellites effective March 1, 2014.</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EchoStar VIII. </w:t>
      </w:r>
      <w:r>
        <w:rPr>
          <w:rFonts w:ascii="Arial" w:cs="Arial" w:eastAsia="Arial" w:hAnsi="Arial"/>
          <w:sz w:val="16"/>
          <w:szCs w:val="16"/>
          <w:color w:val="auto"/>
        </w:rPr>
        <w:t>In May 2013, DISH Network began receiving satellite services from us on EchoStar VIII as an in-orbit spare. Effective March 1, 2014,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arrangement was converted to a month-to-month service agreement. Both parties have the right to terminate this arrangement upon 30 days’ notice.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Certain of our satellites have experienced anomalies, some of which have had a significant adverse impact on their remaining useful lives and/or the commercial operation of the satellites. There can be no assurance that existing and future anomalies will not further impact the remaining useful life and/or the commercial operation of any of the satellites in our fleet. In addition, there can be no assurance that we can recover critical transmission capacity in the event one or more of our in-orbit satellites were to fail. We generally do not carry in-orbit insurance on our satellites; therefore, we generally bear the risk of</w:t>
      </w:r>
    </w:p>
    <w:p>
      <w:pPr>
        <w:sectPr>
          <w:pgSz w:w="11900" w:h="16838" w:orient="portrait"/>
          <w:cols w:equalWidth="0" w:num="1">
            <w:col w:w="11400"/>
          </w:cols>
          <w:pgMar w:left="240" w:top="337" w:right="259" w:bottom="0" w:gutter="0" w:footer="0" w:header="0"/>
        </w:sectPr>
      </w:pPr>
    </w:p>
    <w:bookmarkStart w:id="12" w:name="page13"/>
    <w:bookmarkEnd w:id="12"/>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uninsured in-orbit failures. Pursuant to the terms of the agreements governing certain portions of our indebtedness, we are required, subject to certain limitations on coverage, to maintain launch and in-orbit insurance for SPACEWAY 3, EchoStar XVI, and EchoStar XVII.</w:t>
      </w:r>
    </w:p>
    <w:p>
      <w:pPr>
        <w:spacing w:after="0" w:line="170"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We have previously disclosed in our financial statements as of and for the year ended December 31, 2013, anomalies in prior years that affect our in-service owned and leased satellites, including EchoStar III, EchoStar VI, EchoStar VIII, EchoStar XII, and AMC-16. We are not aware of any additional anomalies that have occurred on any of our owned or leased satellites in 2014 as of the date of this report that affected the commercial operation of these satellites.</w:t>
      </w:r>
    </w:p>
    <w:p>
      <w:pPr>
        <w:ind w:right="120"/>
        <w:spacing w:after="0" w:line="271" w:lineRule="auto"/>
        <w:rPr>
          <w:sz w:val="20"/>
          <w:szCs w:val="20"/>
          <w:color w:val="auto"/>
        </w:rPr>
      </w:pPr>
      <w:r>
        <w:rPr>
          <w:rFonts w:ascii="Arial" w:cs="Arial" w:eastAsia="Arial" w:hAnsi="Arial"/>
          <w:sz w:val="17"/>
          <w:szCs w:val="17"/>
          <w:color w:val="auto"/>
        </w:rPr>
        <w:t>EchoStar III and EchoStar VI are fully depreciated and EchoStar III is being used as an in-orbit spare; accordingly, the prior anomalies affecting these satellites have not had a significant effect on our operating results and cash flows. EchoStar XII has experienced several anomalies, which have resulted in a loss of electrical power. Those anomalies have not had a significant adverse impact on service under the related satellite services agreement with DISH Network for EchoStar XII; however, the anomalies have increased the risk of future transponder failures that could result in reductions in our revenue and require recognition of a satellite impairment loss. See Satellite Impairments below.</w:t>
      </w:r>
    </w:p>
    <w:p>
      <w:pPr>
        <w:spacing w:after="0" w:line="1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five satellites received from DISH Network pursuant to the Satellite and Tracking Stock Transaction have experienced certain anomalies prior to March 1, 2014, the effective date of the Satellite and Tracking Stock Transaction as described below.</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EchoStar I</w:t>
      </w:r>
      <w:r>
        <w:rPr>
          <w:rFonts w:ascii="Arial" w:cs="Arial" w:eastAsia="Arial" w:hAnsi="Arial"/>
          <w:sz w:val="18"/>
          <w:szCs w:val="18"/>
          <w:color w:val="auto"/>
        </w:rPr>
        <w:t>. During the first quarter of 2012, DISH Network determined that EchoStar I experienced a communications receiver anomaly.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receivers process signals sent from the uplink center for transmission by the satellite to customers. While this anomaly did not impact commercial operation of the satellite, there can be no assurance that future anomalies will not impact its future commercial operation. EchoStar I is fully depreciated.</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EchoStar VII. </w:t>
      </w:r>
      <w:r>
        <w:rPr>
          <w:rFonts w:ascii="Arial" w:cs="Arial" w:eastAsia="Arial" w:hAnsi="Arial"/>
          <w:sz w:val="17"/>
          <w:szCs w:val="17"/>
          <w:color w:val="auto"/>
        </w:rPr>
        <w:t>Prior to 2012, EchoStar VII experienced certain thruster failures. During the fourth quarter of 2012, DISH Network determined that EchoStar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VII experienced an additional thruster failure. Thrusters control the satellite’s location and orientation. While this anomaly did not impact commercial operation of the satellite, there can be no assurance that future anomalies will not reduce its useful life or impact its commercial operation.</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EchoStar X. </w:t>
      </w:r>
      <w:r>
        <w:rPr>
          <w:rFonts w:ascii="Arial" w:cs="Arial" w:eastAsia="Arial" w:hAnsi="Arial"/>
          <w:sz w:val="18"/>
          <w:szCs w:val="18"/>
          <w:color w:val="auto"/>
        </w:rPr>
        <w:t>During the second and third quarters of 2010, EchoStar X experienced anomalies which affected seven solar array circuits reducing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functional solar array circuits to 17. While these anomalies did not impact commercial operation of the satellite, there can be no assurance that future anomalies will not reduce its useful life or impact its commercial operation.</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EchoStar XI. </w:t>
      </w:r>
      <w:r>
        <w:rPr>
          <w:rFonts w:ascii="Arial" w:cs="Arial" w:eastAsia="Arial" w:hAnsi="Arial"/>
          <w:sz w:val="18"/>
          <w:szCs w:val="18"/>
          <w:color w:val="auto"/>
        </w:rPr>
        <w:t>During the first quarter of 2012, DISH Network determined that EchoStar XI experienced solar array anomalies that reduced the total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use by the satellite. While these anomalies did not impact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commercial operation of the satellite, there can be no assurance that future anomalies will not reduce its useful life or impact its commercial operation.</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EchoStar XIV</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third quarter of 2011 and the first quarter of 2012, DISH Network determined that EchoStar XIV experienced solar array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anomalies that reduced the total power available for use by the satellite. While these anomalies did not impact commercial operation of the satellite, there can be no assurance that future anomalies will not reduce its useful life or impact its commercial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Impairments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evaluate our satellites for impairment and test for recoverability whenever events or changes in circumstances indicate that their carrying amount may not be recoverable. Certain of the anomalies discussed above, and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 There have been no satellite impairments in 2014 as of the date of this report.</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EchoStar XII. </w:t>
      </w:r>
      <w:r>
        <w:rPr>
          <w:rFonts w:ascii="Arial" w:cs="Arial" w:eastAsia="Arial" w:hAnsi="Arial"/>
          <w:sz w:val="17"/>
          <w:szCs w:val="17"/>
          <w:color w:val="auto"/>
        </w:rPr>
        <w:t>Prior to 2010, EchoStar XII experienced anomalies resulting in the loss of electrical power available from its solar arrays. In September 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2012, and January 2013, EchoStar XII experienced additional solar array anomalies, which further reduced the electrical power available to operate EchoStar XII. An engineering analysis completed in the second quarter of 2013 indicated further loss of available electrical power and resulting capacity loss was likely. As a result, we recognized a $34.7 million impairment loss in the second quarter of 2013. Additional solar array anomalies are likely, and if they occur, they will continue to degrade the operational capability of EchoStar XII and could lead to additional impairment charges in the future. EchoStar XII has experienced no additional electrical power loss or solar array anomalies in 2014 as of the date of this report.</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our reporting units of our operating segments and is subject to our annual impairment testing,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June 30, 2014, all of our goodwill was assigned to reporting units of the Hughes segment. Based on our qualitative assessment of impairment of such goodwill in the second quarter of 2014, we determined that no further testing of goodwill for impairment as of that date was necessary as it was not more likely than not that the fair values of the Hughes segment reporting units were less than the corresponding carrying amounts.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260" w:type="dxa"/>
            <w:vAlign w:val="bottom"/>
          </w:tcPr>
          <w:p>
            <w:pPr>
              <w:jc w:val="center"/>
              <w:ind w:right="169"/>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1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60" w:type="dxa"/>
            <w:vAlign w:val="bottom"/>
          </w:tcPr>
          <w:p>
            <w:pPr>
              <w:jc w:val="center"/>
              <w:ind w:right="169"/>
              <w:spacing w:after="0" w:line="142"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June 30, 2014</w:t>
            </w:r>
          </w:p>
        </w:tc>
        <w:tc>
          <w:tcPr>
            <w:tcW w:w="1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December 31, 2013</w:t>
            </w: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260" w:type="dxa"/>
            <w:vAlign w:val="bottom"/>
          </w:tcPr>
          <w:p>
            <w:pPr>
              <w:jc w:val="center"/>
              <w:ind w:right="169"/>
              <w:spacing w:after="0" w:line="119" w:lineRule="exact"/>
              <w:rPr>
                <w:sz w:val="20"/>
                <w:szCs w:val="20"/>
                <w:color w:val="auto"/>
              </w:rPr>
            </w:pPr>
            <w:r>
              <w:rPr>
                <w:rFonts w:ascii="Arial" w:cs="Arial" w:eastAsia="Arial" w:hAnsi="Arial"/>
                <w:sz w:val="13"/>
                <w:szCs w:val="13"/>
                <w:b w:val="1"/>
                <w:bCs w:val="1"/>
                <w:color w:val="auto"/>
                <w:w w:val="99"/>
              </w:rPr>
              <w:t>Useful life</w:t>
            </w:r>
          </w:p>
        </w:tc>
        <w:tc>
          <w:tcPr>
            <w:tcW w:w="11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Cost</w:t>
            </w:r>
          </w:p>
        </w:tc>
        <w:tc>
          <w:tcPr>
            <w:tcW w:w="1520" w:type="dxa"/>
            <w:vAlign w:val="bottom"/>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1180" w:type="dxa"/>
            <w:vAlign w:val="bottom"/>
          </w:tcPr>
          <w:p>
            <w:pPr>
              <w:jc w:val="center"/>
              <w:ind w:left="130"/>
              <w:spacing w:after="0" w:line="119"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Cost</w:t>
            </w:r>
          </w:p>
        </w:tc>
        <w:tc>
          <w:tcPr>
            <w:tcW w:w="1720" w:type="dxa"/>
            <w:vAlign w:val="bottom"/>
          </w:tcPr>
          <w:p>
            <w:pPr>
              <w:ind w:left="500"/>
              <w:spacing w:after="0" w:line="119" w:lineRule="exact"/>
              <w:rPr>
                <w:sz w:val="20"/>
                <w:szCs w:val="20"/>
                <w:color w:val="auto"/>
              </w:rPr>
            </w:pPr>
            <w:r>
              <w:rPr>
                <w:rFonts w:ascii="Arial" w:cs="Arial" w:eastAsia="Arial" w:hAnsi="Arial"/>
                <w:sz w:val="13"/>
                <w:szCs w:val="13"/>
                <w:b w:val="1"/>
                <w:bCs w:val="1"/>
                <w:color w:val="auto"/>
              </w:rPr>
              <w:t>Accumulated</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260" w:type="dxa"/>
            <w:vAlign w:val="bottom"/>
          </w:tcPr>
          <w:p>
            <w:pPr>
              <w:jc w:val="center"/>
              <w:ind w:right="169"/>
              <w:spacing w:after="0"/>
              <w:rPr>
                <w:sz w:val="20"/>
                <w:szCs w:val="20"/>
                <w:color w:val="auto"/>
              </w:rPr>
            </w:pPr>
            <w:r>
              <w:rPr>
                <w:rFonts w:ascii="Arial" w:cs="Arial" w:eastAsia="Arial" w:hAnsi="Arial"/>
                <w:sz w:val="14"/>
                <w:szCs w:val="14"/>
                <w:b w:val="1"/>
                <w:bCs w:val="1"/>
                <w:color w:val="auto"/>
                <w:w w:val="90"/>
              </w:rPr>
              <w:t>(in Years)</w:t>
            </w:r>
          </w:p>
        </w:tc>
        <w:tc>
          <w:tcPr>
            <w:tcW w:w="1120" w:type="dxa"/>
            <w:vAlign w:val="bottom"/>
            <w:vMerge w:val="continue"/>
          </w:tcPr>
          <w:p>
            <w:pPr>
              <w:spacing w:after="0"/>
              <w:rPr>
                <w:sz w:val="14"/>
                <w:szCs w:val="14"/>
                <w:color w:val="auto"/>
              </w:rPr>
            </w:pPr>
          </w:p>
        </w:tc>
        <w:tc>
          <w:tcPr>
            <w:tcW w:w="1520" w:type="dxa"/>
            <w:vAlign w:val="bottom"/>
          </w:tcPr>
          <w:p>
            <w:pPr>
              <w:ind w:left="420"/>
              <w:spacing w:after="0"/>
              <w:rPr>
                <w:sz w:val="20"/>
                <w:szCs w:val="20"/>
                <w:color w:val="auto"/>
              </w:rPr>
            </w:pPr>
            <w:r>
              <w:rPr>
                <w:rFonts w:ascii="Arial" w:cs="Arial" w:eastAsia="Arial" w:hAnsi="Arial"/>
                <w:sz w:val="14"/>
                <w:szCs w:val="14"/>
                <w:b w:val="1"/>
                <w:bCs w:val="1"/>
                <w:color w:val="auto"/>
              </w:rPr>
              <w:t>Amortization</w:t>
            </w:r>
          </w:p>
        </w:tc>
        <w:tc>
          <w:tcPr>
            <w:tcW w:w="1180" w:type="dxa"/>
            <w:vAlign w:val="bottom"/>
          </w:tcPr>
          <w:p>
            <w:pPr>
              <w:jc w:val="center"/>
              <w:ind w:left="13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720" w:type="dxa"/>
            <w:vAlign w:val="bottom"/>
          </w:tcPr>
          <w:p>
            <w:pPr>
              <w:ind w:left="500"/>
              <w:spacing w:after="0"/>
              <w:rPr>
                <w:sz w:val="20"/>
                <w:szCs w:val="20"/>
                <w:color w:val="auto"/>
              </w:rPr>
            </w:pPr>
            <w:r>
              <w:rPr>
                <w:rFonts w:ascii="Arial" w:cs="Arial" w:eastAsia="Arial" w:hAnsi="Arial"/>
                <w:sz w:val="14"/>
                <w:szCs w:val="14"/>
                <w:b w:val="1"/>
                <w:bCs w:val="1"/>
                <w:color w:val="auto"/>
              </w:rPr>
              <w:t>Amortization</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(145,392)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124,908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270,300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(129,022)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Contract-based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64,800</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6,577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64,800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(49,132)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51,417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51,417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Trademark portfolio</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29,700</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25,121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29,700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(3,836)</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Total other intangible</w:t>
            </w: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vMerge w:val="restart"/>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420,924</w:t>
            </w:r>
          </w:p>
        </w:tc>
        <w:tc>
          <w:tcPr>
            <w:tcW w:w="220" w:type="dxa"/>
            <w:vAlign w:val="bottom"/>
            <w:vMerge w:val="restart"/>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(238,253)</w:t>
            </w: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182,671</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420,924</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(207,177)</w:t>
            </w:r>
          </w:p>
        </w:tc>
        <w:tc>
          <w:tcPr>
            <w:tcW w:w="300" w:type="dxa"/>
            <w:vAlign w:val="bottom"/>
            <w:vMerge w:val="restart"/>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213,747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ind w:left="36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are amortized predominantly in relation to the expected contribution of cash flow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business over the life of the intangible asset. Other intangible assets are amortized on a straight-line basis over the periods the assets are expected to contribute to our cash flows. Amortization expense was $15.0 million and $17.6 million for the three months ended June 30, 2014 and 2013, respectively, and $31.1 million and $34.9 million for the six months ended June 30, 2014 and 2013, respectively.</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45"/>
              <w:spacing w:after="0" w:line="142" w:lineRule="exact"/>
              <w:rPr>
                <w:sz w:val="20"/>
                <w:szCs w:val="20"/>
                <w:color w:val="auto"/>
              </w:rPr>
            </w:pPr>
            <w:r>
              <w:rPr>
                <w:rFonts w:ascii="Arial" w:cs="Arial" w:eastAsia="Arial" w:hAnsi="Arial"/>
                <w:sz w:val="14"/>
                <w:szCs w:val="14"/>
                <w:b w:val="1"/>
                <w:bCs w:val="1"/>
                <w:color w:val="auto"/>
              </w:rPr>
              <w:t>June 30, 2014</w:t>
            </w:r>
          </w:p>
        </w:tc>
        <w:tc>
          <w:tcPr>
            <w:tcW w:w="9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December 31, 2013</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Carrying</w:t>
            </w:r>
          </w:p>
        </w:tc>
        <w:tc>
          <w:tcPr>
            <w:tcW w:w="380" w:type="dxa"/>
            <w:vAlign w:val="bottom"/>
          </w:tcPr>
          <w:p>
            <w:pPr>
              <w:spacing w:after="0"/>
              <w:rPr>
                <w:sz w:val="10"/>
                <w:szCs w:val="10"/>
                <w:color w:val="auto"/>
              </w:rPr>
            </w:pPr>
          </w:p>
        </w:tc>
        <w:tc>
          <w:tcPr>
            <w:tcW w:w="980" w:type="dxa"/>
            <w:vAlign w:val="bottom"/>
          </w:tcPr>
          <w:p>
            <w:pPr>
              <w:jc w:val="center"/>
              <w:ind w:right="320"/>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jc w:val="center"/>
              <w:ind w:right="397"/>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6 1/2% Senior Secured Notes due 2019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1,100,000</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1,226,500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7 5/8% Senior Notes due 2021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900,000</w:t>
            </w: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1,030,500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1,267</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Subtotal</w:t>
            </w:r>
          </w:p>
        </w:tc>
        <w:tc>
          <w:tcPr>
            <w:tcW w:w="4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CCEEFF"/>
            </w:tcBorders>
          </w:tcPr>
          <w:p>
            <w:pPr>
              <w:spacing w:after="0"/>
              <w:rPr>
                <w:sz w:val="21"/>
                <w:szCs w:val="21"/>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2,001,267</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2,258,267</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CCEEFF"/>
            </w:tcBorders>
          </w:tcPr>
          <w:p>
            <w:pPr>
              <w:spacing w:after="0"/>
              <w:rPr>
                <w:sz w:val="21"/>
                <w:szCs w:val="21"/>
                <w:color w:val="auto"/>
              </w:rPr>
            </w:pPr>
          </w:p>
        </w:tc>
        <w:tc>
          <w:tcPr>
            <w:tcW w:w="10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2,001,496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2,196,246</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7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Capital lease obligations (1)</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80"/>
              <w:spacing w:after="0" w:line="170" w:lineRule="exact"/>
              <w:rPr>
                <w:sz w:val="20"/>
                <w:szCs w:val="20"/>
                <w:color w:val="auto"/>
              </w:rPr>
            </w:pPr>
            <w:r>
              <w:rPr>
                <w:rFonts w:ascii="Arial" w:cs="Arial" w:eastAsia="Arial" w:hAnsi="Arial"/>
                <w:sz w:val="18"/>
                <w:szCs w:val="18"/>
                <w:color w:val="auto"/>
              </w:rPr>
              <w:t>386,551</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417,376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2,387,818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2,418,872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(48,715)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80"/>
              <w:spacing w:after="0" w:line="201" w:lineRule="exact"/>
              <w:rPr>
                <w:sz w:val="20"/>
                <w:szCs w:val="20"/>
                <w:color w:val="auto"/>
              </w:rPr>
            </w:pPr>
            <w:r>
              <w:rPr>
                <w:rFonts w:ascii="Arial" w:cs="Arial" w:eastAsia="Arial" w:hAnsi="Arial"/>
                <w:sz w:val="18"/>
                <w:szCs w:val="18"/>
                <w:color w:val="auto"/>
              </w:rPr>
              <w:t>Long-term portion of debt and capital lease</w:t>
            </w: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60" w:type="dxa"/>
            <w:vAlign w:val="bottom"/>
            <w:vMerge w:val="continue"/>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2,339,103</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2,351,572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60" w:type="dxa"/>
            <w:vAlign w:val="bottom"/>
          </w:tcPr>
          <w:p>
            <w:pPr>
              <w:ind w:left="360"/>
              <w:spacing w:after="0"/>
              <w:rPr>
                <w:sz w:val="20"/>
                <w:szCs w:val="20"/>
                <w:color w:val="auto"/>
              </w:rPr>
            </w:pPr>
            <w:r>
              <w:rPr>
                <w:rFonts w:ascii="Arial" w:cs="Arial" w:eastAsia="Arial" w:hAnsi="Arial"/>
                <w:sz w:val="18"/>
                <w:szCs w:val="18"/>
                <w:color w:val="auto"/>
              </w:rPr>
              <w:t>obligations</w:t>
            </w:r>
          </w:p>
        </w:tc>
        <w:tc>
          <w:tcPr>
            <w:tcW w:w="7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Disclosure regarding the fair value of capital lease obligations is not required.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quarterly tax provision, and our quarterly estimate of our annual effective tax rate, is subject to significant volatility due to several factors, including variability in accurately predicting our pre-tax and taxable income and loss and the mix of jurisdictions to which they relate, income and losses from investments, changes in tax laws and relative changes of expenses or losses for which tax benefits are not recognized. Additionally, our effective tax rate can be more or less volatile based on the amount of pre-tax income. For example, the impact of discrete items and non-deductible expenses on our effective tax rate is greater when our pre-tax income is lower.</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Income tax expense was approximately $12.6 million for the six months ended June 30, 2014 compared to an income tax benefit of $28.2 million for the six months ended June 30, 2013. Our effective income tax rate was 24.2% for the six months ended June 30, 2014 compared to 43.7% for the same period in 2013. The variation in our current year effective tax rate from a U.S. federal statutory rate for the current period was primarily due to a lower state effective tax rate. For the same period in 2013, the variation in our effective tax rate from a U.S. federal statutory rate was primarily due to the current year research and experimentation credits and reinstatement of the research and experimentation tax credit for 2012, as provided by the American Taxpayer Relief Act enacted on January 2, 2013.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As of June 30, 2014, our satellite-related obligations were approximately $771.8 million. Our satellite-related obligations primarily include, among other things, payments pursuant to launch services contracts, executory costs for our capital lease satellites, costs under transponder agreements and in-orbit incentives relating to certain satellites, including certain satellites received from DISH Network as a result of the Satellite and Tracking Stock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ectPr>
          <w:pgSz w:w="11900" w:h="16838" w:orient="portrait"/>
          <w:cols w:equalWidth="0" w:num="1">
            <w:col w:w="11420"/>
          </w:cols>
          <w:pgMar w:left="240" w:top="140" w:right="239" w:bottom="0" w:gutter="0" w:footer="0" w:header="0"/>
        </w:sectPr>
      </w:pPr>
    </w:p>
    <w:bookmarkStart w:id="14" w:name="page15"/>
    <w:bookmarkEnd w:id="14"/>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2008, DISH Network Corporation contributed its digital set-top box business and certain infrastructure and other assets, including certain of its satellites, uplink and satellite transmission assets, real estate, and other assets and related liabilities to EchoStar (the “Spin-off”). In connection with the Spin-off, EchoStar entered into a separation agreement with DISH Network that provides, among other things, for the division of certain liabilities, including liabilities resulting from litigation. Under the terms of the separation agreement, EchoStar has assumed certain liabilities that relate to its business, including certain designated liabilities for acts or omissions that occurred prior to the Spin-off. Certain specific provisions govern intellectual 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 We record an accrual for litigation and other loss contingencies when we determine that a loss is probable and the amount of the loss can be reasonably estimated. Legal fees and other costs of defending litigation are charged to expense as incurred.</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certain cases described below,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Institute of Technology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1, 2013, the California Institute of Technology (“Caltech”) filed suit against two of our indirect wholly-owned subsidiaries, Hughes Communications, Inc. and Hughes Network Systems, LLC,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appears to assert that encoding data as specified by the DVB-S2 standard infringes each of the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asserted patents. In the operative Amended Complaint, served on March 6, 2014, Caltech claims that the Hopper</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set-top box, as well as certain of our Hughes segment’s satellite broadband products and services, infringe the asserted patents by implementing the DVB-S2 standard.</w:t>
      </w:r>
    </w:p>
    <w:p>
      <w:pPr>
        <w:spacing w:after="0" w:line="20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our consumers. We cannot predict with any degree of certainty the outcome of the suit or determine the extent of any potential liability or damages.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Acceleration Technologies, LLC</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November 30, 2012, Network Acceleration Technologies, LLC (“NAT”) filed suit against Hughes Network Systems, LLC in the United States District Court for the District of Delaware alleging infringement of United States Patent No. 6,091,710 (the “710 patent”), which is entitled “System and Method for Preventing Data Slow Down Over Asymmetric Data Transmission Links.” NAT re-filed its case on July 19, 2013. NAT is an entity that seeks to license an acquired patent portfolio without itself practicing any of the claims recited therein. On May 22, 2014, NAT filed a stipulation dismissing the litigation without prejudice and the matter is now concluded.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TQ Beta LLC</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30, 2014, TQ Beta LLC (“TQ Beta”) filed suit against DISH Network, DISH DBS Corporation, DISH Network L.L.C., as well as us, EchoStar, EchoStar Technologies, L.L.C, and Sling Media, Inc., in the United States District Court for the District of Delaware, alleging infringement of United States Patent No. 7,203,456 (“the ‘456 patent”), which is entitled “Method and Apparatus for Time and Space Domain Shifting of Broadcast Signals.” TQ Beta alleges that the Hopper, Hopper with Sling, ViP 722 and ViP 722k DVR devices, as well as the DISH Anywhere service and DISH Anywhere mobile application, infringe the ‘456 patent. TQ Beta is an entity that seeks to license an acquired patent portfolio without itself practicing any of the claims recited therein.</w:t>
      </w:r>
    </w:p>
    <w:p>
      <w:pPr>
        <w:spacing w:after="0" w:line="19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TQP Development, LLC</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November 14, 2012, TQP Development, LLC (“TQP”) filed suit against Hughes Network Systems, LLC in the United States District Court for the Eastern District of Texas, alleging infringement of United States Patent No. 5,412,730, which is entitled “Encrypted Data Transmission System Employing Means for Randomly Altering the Encryption Keys.” Previously, on October 11, 2012, TQP filed suit in the same venue against Sling Media, Inc., an</w:t>
      </w:r>
    </w:p>
    <w:p>
      <w:pPr>
        <w:sectPr>
          <w:pgSz w:w="11900" w:h="16885" w:orient="portrait"/>
          <w:cols w:equalWidth="0" w:num="1">
            <w:col w:w="11360"/>
          </w:cols>
          <w:pgMar w:left="240" w:top="341" w:right="299" w:bottom="0" w:gutter="0" w:footer="0" w:header="0"/>
        </w:sectPr>
      </w:pPr>
    </w:p>
    <w:bookmarkStart w:id="15" w:name="page16"/>
    <w:bookmarkEnd w:id="15"/>
    <w:p>
      <w:pPr>
        <w:ind w:right="180"/>
        <w:spacing w:after="0" w:line="259" w:lineRule="auto"/>
        <w:rPr>
          <w:sz w:val="20"/>
          <w:szCs w:val="20"/>
          <w:color w:val="auto"/>
        </w:rPr>
      </w:pPr>
      <w:r>
        <w:rPr>
          <w:rFonts w:ascii="Arial" w:cs="Arial" w:eastAsia="Arial" w:hAnsi="Arial"/>
          <w:sz w:val="18"/>
          <w:szCs w:val="18"/>
          <w:color w:val="auto"/>
        </w:rPr>
        <w:t>indirect, wholly-owned subsidiary of EchoStar, alleging infringement of the same patent. TQP is an entity that seeks to license an acquired patent portfolio without itself practicing any of the claims recited therein. On July 8, 2013, the Court granted a joint motion to dismiss the claims against Sling without prejudice. On February 24, 2014, the Court granted a joint motion to dismiss the claims against Hughes Network Systems, LLC, without prejudice and the matter is now concluded.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our business. In our opinion, the amount of ultimate liability with respect to any of these actions is unlikely to materially affect our financial position, results of operations or liquidity, though the outcomes could be material to our operating results for any particular period, depending, in part, upon the operating results for such period.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Operating segments are business components of an enterprise for which separate financial information is available and regularly evaluated by the chief operating decision maker (“CODM”), who for HSS, is EchoStar’s Chief Executive Officer. Under this definition, we operate two primary business segments.</w:t>
      </w:r>
    </w:p>
    <w:p>
      <w:pPr>
        <w:spacing w:after="0" w:line="124" w:lineRule="exact"/>
        <w:rPr>
          <w:sz w:val="20"/>
          <w:szCs w:val="20"/>
          <w:color w:val="auto"/>
        </w:rPr>
      </w:pPr>
    </w:p>
    <w:p>
      <w:pPr>
        <w:ind w:left="660" w:right="100" w:hanging="328"/>
        <w:spacing w:after="0" w:line="264"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 </w:t>
      </w:r>
      <w:r>
        <w:rPr>
          <w:rFonts w:ascii="Arial" w:cs="Arial" w:eastAsia="Arial" w:hAnsi="Arial"/>
          <w:sz w:val="18"/>
          <w:szCs w:val="18"/>
          <w:color w:val="auto"/>
        </w:rPr>
        <w:t>which provides satellite broadband internet access to North American consumers and broadband network services and equipment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and international enterprise markets. The Hughes segment also provides managed services to large enterprises and solutions to customers for mobile satellite systems.</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EchoStar Satellite Services — </w:t>
      </w:r>
      <w:r>
        <w:rPr>
          <w:rFonts w:ascii="Arial" w:cs="Arial" w:eastAsia="Arial" w:hAnsi="Arial"/>
          <w:sz w:val="18"/>
          <w:szCs w:val="18"/>
          <w:color w:val="auto"/>
        </w:rPr>
        <w:t>which uses certain of our owned and leased in-orbit satellites and related licenses to lease capacity on a full-time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occasional-use basis primarily to DISH Network, and also to Dish Mexico, U.S. government service providers, state agencies, internet service providers, broadcast news organizations, programmers, and private enterprise customers.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or EBITDA. Our segment operating results do not include real estate and other activities, costs of certain business development activities, expenses of various corporate departments, and our centralized treasury operations, including income from our investment portfolio and interest expense on our debt. These activities are accounted for in the “All Other and Eliminations” column in the table below. Total assets by segment have not been reported herein because the information is not provided to our CODM on a regular basis. The Hughes Retail Group is included in our Hughes segment and our CODM reviews HRG financial information only to the extent such information is included in our periodic filings with the SEC. Therefore, we do not consider HRG to be a separate operating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EchoStar</w:t>
            </w:r>
          </w:p>
        </w:tc>
        <w:tc>
          <w:tcPr>
            <w:tcW w:w="280" w:type="dxa"/>
            <w:vAlign w:val="bottom"/>
          </w:tcPr>
          <w:p>
            <w:pPr>
              <w:spacing w:after="0"/>
              <w:rPr>
                <w:sz w:val="14"/>
                <w:szCs w:val="14"/>
                <w:color w:val="auto"/>
              </w:rPr>
            </w:pPr>
          </w:p>
        </w:tc>
        <w:tc>
          <w:tcPr>
            <w:tcW w:w="1160" w:type="dxa"/>
            <w:vAlign w:val="bottom"/>
          </w:tcPr>
          <w:p>
            <w:pPr>
              <w:jc w:val="center"/>
              <w:ind w:right="212"/>
              <w:spacing w:after="0"/>
              <w:rPr>
                <w:sz w:val="20"/>
                <w:szCs w:val="20"/>
                <w:color w:val="auto"/>
              </w:rPr>
            </w:pPr>
            <w:r>
              <w:rPr>
                <w:rFonts w:ascii="Arial" w:cs="Arial" w:eastAsia="Arial" w:hAnsi="Arial"/>
                <w:sz w:val="14"/>
                <w:szCs w:val="14"/>
                <w:b w:val="1"/>
                <w:bCs w:val="1"/>
                <w:color w:val="auto"/>
              </w:rPr>
              <w:t>All</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Hughes</w:t>
            </w:r>
          </w:p>
        </w:tc>
        <w:tc>
          <w:tcPr>
            <w:tcW w:w="320" w:type="dxa"/>
            <w:vAlign w:val="bottom"/>
          </w:tcPr>
          <w:p>
            <w:pPr>
              <w:spacing w:after="0"/>
              <w:rPr>
                <w:sz w:val="12"/>
                <w:szCs w:val="12"/>
                <w:color w:val="auto"/>
              </w:rPr>
            </w:pPr>
          </w:p>
        </w:tc>
        <w:tc>
          <w:tcPr>
            <w:tcW w:w="108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2"/>
                <w:szCs w:val="12"/>
                <w:color w:val="auto"/>
              </w:rPr>
            </w:pPr>
          </w:p>
        </w:tc>
        <w:tc>
          <w:tcPr>
            <w:tcW w:w="116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6"/>
              </w:rPr>
              <w:t>Other and</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353"/>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116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3"/>
          </w:tcPr>
          <w:p>
            <w:pPr>
              <w:jc w:val="right"/>
              <w:ind w:right="912"/>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2014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External revenue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329,795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127,742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457,671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330,258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128,539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457,671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90,316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112,228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203,790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Capital expenditures (1)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51,505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51,505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2013</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External revenue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313,748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84,079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397,871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314,948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84,872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397,871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73,394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33,667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107,638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Capital expenditures (1)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45,493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45,553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2014</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External revenue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644,166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227,614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871,984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645,029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229,360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871,984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172,255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197,010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371,290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Capital expenditures (1)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97,477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97,506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2013</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External revenue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602,929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157,425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760,426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1,418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604,347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159,074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760,426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137,375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98,473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236,474</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Capital expenditures (1)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89,833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12,332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100" w:hanging="328"/>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 consist of purchases of property and equipment reported in our Condensed Consolidated Statements of Cash Flows and do not include satellites transferred in the Satellite and Tracking Stock Transaction or other noncash capital expenditures.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color w:val="auto"/>
        </w:rPr>
        <w:t>The following table reconciles total consolidated EBITDA to reported “Income (loss) before income taxes” in our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(Loss):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14"/>
                <w:szCs w:val="14"/>
                <w:color w:val="auto"/>
              </w:rPr>
            </w:pPr>
          </w:p>
        </w:tc>
        <w:tc>
          <w:tcPr>
            <w:tcW w:w="27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4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right"/>
              <w:ind w:right="45"/>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203,790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107,638</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371,290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236,474</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(47,975)</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(49,113)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(95,767)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(98,572)</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(115,818)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(101,512)</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(202,686)</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and EchoStar have agreed that we shall have the right, but not the obligation, to receive from EchoStar certain corporate services, including among other things: treasury, tax, accounting and reporting, risk management, legal, internal audit, human resources, and information technology. In addition, we occupy certain office space in buildings owned by EchoStar and pay a portion of the taxes, insurance, utilities and maintenance of the premises in accordance with the percentage of the space we occupy. These services are provided at cost. We may terminate a particular service we receive from EchoStar for any reason upon at least 30 days’ notice. We recorded expenses for services received from EchoStar of $3.4 million and $2.4 million for the three months ended June 30, 2014 and 2013, respectively, and $6.2 and $5.0 million for the six months ended June 30, 2014 and 2013,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the Spin-off, EchoStar and DISH Network have operated as separate publicly-traded companies. However, pursuant to the Satellite and Tracking Stock Transaction, described in Note 2 and below, DISH Network owns Hughes Retail Preferred Tracking Stock representing an aggregate 80.0% economic interest in the residential retail satellite broadband business of our Hughes segment, including certain operations, assets and liabilities attributed to such business. In addition, a substantial majority of the voting power of the shares of EchoStar and DISH Network is owned beneficially by Charles W. Ergen, our Chairman, and by certain trusts established by Mr. Ergen for the benefit of his family.</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and following the Spin-off, EchoStar and DISH Network have entered into certain agreements pursuant to which we and EchoStar obtain certain products, services and rights from DISH Network; DISH Network obtains certain products, services and rights from us and EchoStar; and we and DISH Network have indemnified each other against certain liabilities arising from our respective businesses. EchoStar also may enter into additional agreements with DISH Network in the future.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Generally, the amounts DISH Network pays for products and services provided under the agreements are based on our cost plus a fixed margin (unless noted differently below), which varies depending on the nature of the products and services provided.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 summary of terms of the principal agreements that we or EchoStar have entered into with DISH Network that may have an impact on our financial position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 xml:space="preserve">Satellite Services Provided to DISH Network. </w:t>
      </w:r>
      <w:r>
        <w:rPr>
          <w:rFonts w:ascii="Arial" w:cs="Arial" w:eastAsia="Arial" w:hAnsi="Arial"/>
          <w:sz w:val="17"/>
          <w:szCs w:val="17"/>
          <w:color w:val="auto"/>
        </w:rPr>
        <w:t>Since the Spin-off, we have entered into certain satellite capacity agreements pursuant to which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capacity arrangements. The term of each capacity arrangement is set forth below: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340" w:right="100"/>
        <w:spacing w:after="0" w:line="255" w:lineRule="auto"/>
        <w:rPr>
          <w:sz w:val="20"/>
          <w:szCs w:val="20"/>
          <w:color w:val="auto"/>
        </w:rPr>
      </w:pPr>
      <w:r>
        <w:rPr>
          <w:rFonts w:ascii="Arial" w:cs="Arial" w:eastAsia="Arial" w:hAnsi="Arial"/>
          <w:sz w:val="18"/>
          <w:szCs w:val="18"/>
          <w:i w:val="1"/>
          <w:iCs w:val="1"/>
          <w:color w:val="auto"/>
        </w:rPr>
        <w:t xml:space="preserve">EchoStar I, EchoStar VII, EchoStar X, EchoStar XI and EchoStar XIV. </w:t>
      </w:r>
      <w:r>
        <w:rPr>
          <w:rFonts w:ascii="Arial" w:cs="Arial" w:eastAsia="Arial" w:hAnsi="Arial"/>
          <w:sz w:val="18"/>
          <w:szCs w:val="18"/>
          <w:color w:val="auto"/>
        </w:rPr>
        <w:t>As part of the Satellite and Tracking Stock Transaction discussed in Note 2,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1, 2014, we began providing certain satellite services to DISH Network on the EchoStar I,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capacity agreement on a year-to-year basis through the end of the respective satellite’s life. There can be no assurance that any options to renew such agreements will be exercised.</w:t>
      </w:r>
    </w:p>
    <w:p>
      <w:pPr>
        <w:spacing w:after="0" w:line="193"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i w:val="1"/>
          <w:iCs w:val="1"/>
          <w:color w:val="auto"/>
        </w:rPr>
        <w:t xml:space="preserve">EchoStar VIII. </w:t>
      </w:r>
      <w:r>
        <w:rPr>
          <w:rFonts w:ascii="Arial" w:cs="Arial" w:eastAsia="Arial" w:hAnsi="Arial"/>
          <w:sz w:val="18"/>
          <w:szCs w:val="18"/>
          <w:color w:val="auto"/>
        </w:rPr>
        <w:t>In May 2013, DISH Network began receiving satellite services from us on EchoStar VIII as an in-orbit spare. Effective March 1, 2014,</w:t>
      </w:r>
      <w:r>
        <w:rPr>
          <w:rFonts w:ascii="Arial" w:cs="Arial" w:eastAsia="Arial" w:hAnsi="Arial"/>
          <w:sz w:val="18"/>
          <w:szCs w:val="18"/>
          <w:i w:val="1"/>
          <w:iCs w:val="1"/>
          <w:color w:val="auto"/>
        </w:rPr>
        <w:t xml:space="preserve"> </w:t>
      </w:r>
      <w:r>
        <w:rPr>
          <w:rFonts w:ascii="Arial" w:cs="Arial" w:eastAsia="Arial" w:hAnsi="Arial"/>
          <w:sz w:val="18"/>
          <w:szCs w:val="18"/>
          <w:color w:val="auto"/>
        </w:rPr>
        <w:t>this satellite services arrangement converted to a month-to-month service agreement. Both parties have the right to terminate this agreement upon 30 days’ notice.</w:t>
      </w:r>
    </w:p>
    <w:p>
      <w:pPr>
        <w:spacing w:after="0" w:line="181" w:lineRule="exact"/>
        <w:rPr>
          <w:sz w:val="20"/>
          <w:szCs w:val="20"/>
          <w:color w:val="auto"/>
        </w:rPr>
      </w:pPr>
    </w:p>
    <w:p>
      <w:pPr>
        <w:ind w:left="340" w:right="620"/>
        <w:spacing w:after="0" w:line="277" w:lineRule="auto"/>
        <w:rPr>
          <w:sz w:val="20"/>
          <w:szCs w:val="20"/>
          <w:color w:val="auto"/>
        </w:rPr>
      </w:pPr>
      <w:r>
        <w:rPr>
          <w:rFonts w:ascii="Arial" w:cs="Arial" w:eastAsia="Arial" w:hAnsi="Arial"/>
          <w:sz w:val="18"/>
          <w:szCs w:val="18"/>
          <w:i w:val="1"/>
          <w:iCs w:val="1"/>
          <w:color w:val="auto"/>
        </w:rPr>
        <w:t>EchoStar IX</w:t>
      </w:r>
      <w:r>
        <w:rPr>
          <w:rFonts w:ascii="Arial" w:cs="Arial" w:eastAsia="Arial" w:hAnsi="Arial"/>
          <w:sz w:val="18"/>
          <w:szCs w:val="18"/>
          <w:color w:val="auto"/>
        </w:rPr>
        <w:t>. DISH Network receives satellite services from us on EchoStar IX. Subject to availability, DISH Network generally has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receive satellite services from us on EchoStar IX on a month-to-month basis.</w:t>
      </w:r>
    </w:p>
    <w:p>
      <w:pPr>
        <w:spacing w:after="0" w:line="170"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receives satellite services from us on EchoStar XII. The term of the satellite services agreement terminates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of: (i) the end of life of the satellite; (ii) the date the satellite fails or the date the transponder(s) on which the service was being provided under the agreement fails; or (iii) a certain date, which depends upon, among other things, the estimated useful life of the satellite. DISH Network generally has the option to renew the agreement on a year-to-year basis through the end of the satellite’s life. There can be no assurance that any options to renew this agreement will be exercised.</w:t>
      </w:r>
    </w:p>
    <w:p>
      <w:pPr>
        <w:sectPr>
          <w:pgSz w:w="11900" w:h="16838" w:orient="portrait"/>
          <w:cols w:equalWidth="0" w:num="1">
            <w:col w:w="11420"/>
          </w:cols>
          <w:pgMar w:left="240" w:top="341" w:right="239" w:bottom="22" w:gutter="0" w:footer="0" w:header="0"/>
        </w:sectPr>
      </w:pPr>
    </w:p>
    <w:bookmarkStart w:id="17" w:name="page18"/>
    <w:bookmarkEnd w:id="17"/>
    <w:p>
      <w:pPr>
        <w:ind w:left="340" w:right="20"/>
        <w:spacing w:after="0" w:line="288" w:lineRule="auto"/>
        <w:rPr>
          <w:sz w:val="20"/>
          <w:szCs w:val="20"/>
          <w:color w:val="auto"/>
        </w:rPr>
      </w:pPr>
      <w:r>
        <w:rPr>
          <w:rFonts w:ascii="Arial" w:cs="Arial" w:eastAsia="Arial" w:hAnsi="Arial"/>
          <w:sz w:val="16"/>
          <w:szCs w:val="16"/>
          <w:i w:val="1"/>
          <w:iCs w:val="1"/>
          <w:color w:val="auto"/>
        </w:rPr>
        <w:t xml:space="preserve">EchoStar XVI. </w:t>
      </w:r>
      <w:r>
        <w:rPr>
          <w:rFonts w:ascii="Arial" w:cs="Arial" w:eastAsia="Arial" w:hAnsi="Arial"/>
          <w:sz w:val="16"/>
          <w:szCs w:val="16"/>
          <w:color w:val="auto"/>
        </w:rPr>
        <w:t>During December 2009, we entered into an initial ten-year transponder service agreement with DISH Network to receive satellite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from us on EchoStar XVI, a DBS satellite. Effective December 21, 2012, we and DISH Network amended the transponder service agreement to, among other things, change the initial term to generally expire upon the earlier of: (i) the end-of-life or replacement of the satellite; (ii) the date the satellite fails;</w:t>
      </w:r>
    </w:p>
    <w:p>
      <w:pPr>
        <w:ind w:left="340" w:right="60" w:hanging="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the transponder(s) on which service is being provided under the agreement fails; or (iv) four years following the actual service commencement date. Prior to expiration of the initial term, we, upon certain conditions, and DISH Network have the option to renew for an additional six-year period. If either we or DISH Network exercise our respective six-year renewal options, DISH Network has the option to renew for an additional five-year period prior to expiration of the then-current term. There can be no assurance that any option to renew this agreement will be exercised. We began to provide satellite services on EchoStar XVI to DISH Network in January 2013.</w:t>
      </w:r>
    </w:p>
    <w:p>
      <w:pPr>
        <w:spacing w:after="0" w:line="19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i w:val="1"/>
          <w:iCs w:val="1"/>
          <w:color w:val="auto"/>
        </w:rPr>
        <w:t xml:space="preserve">Satellite and Tracking Stock Transaction. </w:t>
      </w:r>
      <w:r>
        <w:rPr>
          <w:rFonts w:ascii="Arial" w:cs="Arial" w:eastAsia="Arial" w:hAnsi="Arial"/>
          <w:sz w:val="17"/>
          <w:szCs w:val="17"/>
          <w:color w:val="auto"/>
        </w:rPr>
        <w:t>On February 20, 2014, we entered into agreements with DISH Network to implement a transaction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among other things: (i) on March 1, 2014, EchoStar and HSS issued shares of the Tracking Stock to DISH Network in exchange for five satellites owned by DISH Network (EchoStar I, EchoStar VII, EchoStar X, EchoStar XI and EchoStar XIV) (including related in-orbit incentive obligations and interest payments of approximately $58.9 million) and approximately $11.4 million in cash; and (ii) on March 1, 2014, DISH Network began receiving certain satellite services on these five satellites from us. See Note 2 for further information.</w:t>
      </w:r>
    </w:p>
    <w:p>
      <w:pPr>
        <w:spacing w:after="0" w:line="17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Nimiq 5 Agreement. </w:t>
      </w:r>
      <w:r>
        <w:rPr>
          <w:rFonts w:ascii="Arial" w:cs="Arial" w:eastAsia="Arial" w:hAnsi="Arial"/>
          <w:sz w:val="18"/>
          <w:szCs w:val="18"/>
          <w:color w:val="auto"/>
        </w:rPr>
        <w:t>During 2009, we entered into a fifteen-year satellite service agreement with Telesat Canada (“Telesat”) to receive service on all 32 DBS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transponders on the Nimiq 5 satellite at the 72.7 degree west longitude orbital location (the “Telesat Transponder Agreement”). During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ten years following the date it was placed into service. Upon expiration of the initial term, DISH Network has the option to renew the DISH Nimiq 5 Agreement on a year-to-year basis through the end of life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8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QuetzSat-1 Agreement. </w:t>
      </w:r>
      <w:r>
        <w:rPr>
          <w:rFonts w:ascii="Arial" w:cs="Arial" w:eastAsia="Arial" w:hAnsi="Arial"/>
          <w:sz w:val="16"/>
          <w:szCs w:val="16"/>
          <w:color w:val="auto"/>
        </w:rPr>
        <w:t>During 2008, we entered into a ten-year satellite service agreement with SES Latin America, which provides, among other things,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QuetzSat-</w:t>
      </w:r>
    </w:p>
    <w:p>
      <w:pPr>
        <w:ind w:right="40" w:firstLine="8"/>
        <w:spacing w:after="0" w:line="271" w:lineRule="auto"/>
        <w:tabs>
          <w:tab w:leader="none" w:pos="2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QuetzSat-1 was launched on September 29, 2011 and was placed into service during the fourth quarter of 2011 at the 67.1 degree west longitude orbital location. In the interim, we provided DISH Network with alternate capacity at the 77 degree west longitude orbital location. During the third quarter of 2012, we and DISH Network entered into an agreement pursuant to which we receive certain satellite services from DISH Network on five DBS transponders on the QuetzSat-1 satellite on which DISH Network receives satellite services from us. In January 2013, QuetzSat-1 was moved to the 77 degree west longitude orbital location and DISH Network commenced commercial operations at such location in February 2013.</w:t>
      </w:r>
    </w:p>
    <w:p>
      <w:pPr>
        <w:spacing w:after="0" w:line="1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103 Degree Orbital Location/SES-3. </w:t>
      </w:r>
      <w:r>
        <w:rPr>
          <w:rFonts w:ascii="Arial" w:cs="Arial" w:eastAsia="Arial" w:hAnsi="Arial"/>
          <w:sz w:val="18"/>
          <w:szCs w:val="18"/>
          <w:color w:val="auto"/>
        </w:rPr>
        <w:t>During May 2012, we entered into a spectrum development agreement (the “103 Spectrum Development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Ciel Satellite Holdings Inc. (“Ciel”) to develop certain spectrum rights at the 103 degree west longitude orbital location (the “103 Spectrum Rights”). During June 2013, we and DISH Network entered into a spectrum development agreement (the “DISH 103 Spectrum Development Agreement”) pursuant to which DISH Network may use and develop the 103 Spectrum Rights. During the third quarter 2013, DISH Network made a payment to us in exchange for these rights. Unless earlier terminated under the terms and conditions of the DISH 103 Spectrum Development Agreement, the term generally will continue for the duration of the 103 Spectrum Rights Agreement.</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103 Spectrum Development Agreement, during May 2012, we also entered into a ten-year service agreement with Ciel pursuant to which we receive certain satellite services from Ciel on the SES-3 satellite at the 103 degree orbital location (the “103 Service Agreement”). During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ten years following the actual service commencement date.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1, 2012, we entered into a new telemetry, tracking and control (“TT&amp;C”) agreement pursuant to which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TT&amp;C services to DISH Network and its subsidiaries for a period ending on December 31, 2016 (the “2012 TT&amp;C Agreement”).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the nature of the services provided. DISH Network is able to terminate the 2012 TT&amp;C Agreement for any reason upon 60 days’ notice.</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Satellite and Tracking Stock Transaction, on February 20, 2014, we amended the TT&amp;C Agreement to cease the provision of TT&amp;C services to DISH Network for the EchoStar I, EchoStar VII, EchoStar X, EchoStar XI and EchoStar XIV satellites. Effective March 1, 2014, we provide TT&amp;C services for the D-1 satellite.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Blockbuster Agreements. </w:t>
      </w:r>
      <w:r>
        <w:rPr>
          <w:rFonts w:ascii="Arial" w:cs="Arial" w:eastAsia="Arial" w:hAnsi="Arial"/>
          <w:sz w:val="17"/>
          <w:szCs w:val="17"/>
          <w:color w:val="auto"/>
        </w:rPr>
        <w:t>On April 26, 2011, DISH Network acquired substantially all of the assets of Blockbuster, Inc. (the “Blockbuster Acquisition”).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8, 2011, we completed the Hughes Acquisition. Hughes Network Systems, LLC (“HNS”) provided certain broadband products and services to Blockbuster pursuant to an agreement that was entered into prior to the Blockbuster Acquisition and the Hughes Acquisition. Subsequent to both the Blockbuster Acquisition and the Hughes Acquisition, Blockbuster entered into a new agreement with HNS pursuant to which Blockbuster may continue to purchase broadband products and services from our Hughes segment (the “Blockbuster VSAT Agreement”).</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Effective February 1, 2014, all services to all Blockbuster locations, including Blockbuster franchisee locations, terminated in connection with the closing of all of the Blockbuster retail locations.</w:t>
      </w:r>
    </w:p>
    <w:p>
      <w:pPr>
        <w:spacing w:after="0" w:line="170"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b w:val="1"/>
          <w:bCs w:val="1"/>
          <w:i w:val="1"/>
          <w:iCs w:val="1"/>
          <w:color w:val="auto"/>
        </w:rPr>
        <w:t xml:space="preserve">Radio Access Network Agreement. </w:t>
      </w:r>
      <w:r>
        <w:rPr>
          <w:rFonts w:ascii="Arial" w:cs="Arial" w:eastAsia="Arial" w:hAnsi="Arial"/>
          <w:sz w:val="16"/>
          <w:szCs w:val="16"/>
          <w:color w:val="auto"/>
        </w:rPr>
        <w:t>On November 29, 2012, HNS entered into an agreement with DISH Network L.L.C. pursuant to which HNS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construct for DISH Network a ground-based satellite radio access network (“RAN”) for a fixed fee. The completion of the RAN under this agreement is expected to occur on or before November 29, 2014. This agreement generally may be terminated by DISH Network at any time for convenience.</w:t>
      </w:r>
    </w:p>
    <w:p>
      <w:pPr>
        <w:spacing w:after="0" w:line="14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RUS Implementation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2010, DISH Broadband L.L.C. (“DISH Broadband”), DISH Network’s wholly-owned subsidiary,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provides certain portions of the equipment and broadband service used to implement DISH Broadband’s RUS program. The RUS Agreement expired in June 2013 when the Grant Funds were exhausted.</w:t>
      </w:r>
    </w:p>
    <w:p>
      <w:pPr>
        <w:spacing w:after="0" w:line="188" w:lineRule="exact"/>
        <w:rPr>
          <w:sz w:val="20"/>
          <w:szCs w:val="20"/>
          <w:color w:val="auto"/>
        </w:rPr>
      </w:pPr>
    </w:p>
    <w:p>
      <w:pPr>
        <w:jc w:val="both"/>
        <w:ind w:right="400"/>
        <w:spacing w:after="0" w:line="302" w:lineRule="auto"/>
        <w:rPr>
          <w:sz w:val="20"/>
          <w:szCs w:val="20"/>
          <w:color w:val="auto"/>
        </w:rPr>
      </w:pPr>
      <w:r>
        <w:rPr>
          <w:rFonts w:ascii="Arial" w:cs="Arial" w:eastAsia="Arial" w:hAnsi="Arial"/>
          <w:sz w:val="16"/>
          <w:szCs w:val="16"/>
          <w:b w:val="1"/>
          <w:bCs w:val="1"/>
          <w:i w:val="1"/>
          <w:iCs w:val="1"/>
          <w:color w:val="auto"/>
        </w:rPr>
        <w:t xml:space="preserve">TerreStar Agreement. </w:t>
      </w:r>
      <w:r>
        <w:rPr>
          <w:rFonts w:ascii="Arial" w:cs="Arial" w:eastAsia="Arial" w:hAnsi="Arial"/>
          <w:sz w:val="16"/>
          <w:szCs w:val="16"/>
          <w:color w:val="auto"/>
        </w:rPr>
        <w:t>On March 9, 2012, DISH Network completed its acquisition of substantially all the assets of TerreStar. Prior to DISH Network’s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 of substantially all the assets of TerreStar and our completion of the Hughes Acquisition, TerreStar and HNS entered into various agreements pursuant to which our Hughes segment provides, among other things, hosting, operations and maintenance services for TerreStar’s satellite gateway and associated ground infrastructure. These agreements generally may be terminated by DISH Network at any time for convenience.</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Hughes Broadband Distribution Agreement. </w:t>
      </w:r>
      <w:r>
        <w:rPr>
          <w:rFonts w:ascii="Arial" w:cs="Arial" w:eastAsia="Arial" w:hAnsi="Arial"/>
          <w:sz w:val="17"/>
          <w:szCs w:val="17"/>
          <w:color w:val="auto"/>
        </w:rPr>
        <w:t>Effective October 1,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beginning January 1, 2014, based upon certain volume subscription thresholds. The Distribution Agreement also provides that dishNET has the right, but not the obligation, to purchase certain broadband equipment from us to support the sale of the Hughes service. The Distribution Agreement initially had a five year term with automatic renewal for successive one year terms unless terminated by either party with a written notice at least 180 days before the expiration of the then-current term. On February 20, 2014, HNS and dishNET entered into an amendment to the Distribution Agreement which, among other things, extended the initial term of the Distribution Agreement through March 1,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On March 9, 2012, DISH Network completed its acquisition of 100%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of DBSD North America and our completion of the Hughes Acquisition, DBSD North America and HNS entered into an agreement pursuant to which our Hughes segment provides, among other things, hosting, operations and maintenance services of DBSD North America’s satellite gateway and associated ground infrastructure. This agreement was renewed for a one-year period ending on February 15, 2015, and renews for two successive one-year periods unless terminated by DBSD North America upon at least 30 days’ notice prior to the expiration of any renewal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services and other — DISH Network”</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Satellite Services Received from DISH Network. </w:t>
      </w:r>
      <w:r>
        <w:rPr>
          <w:rFonts w:ascii="Arial" w:cs="Arial" w:eastAsia="Arial" w:hAnsi="Arial"/>
          <w:sz w:val="17"/>
          <w:szCs w:val="17"/>
          <w:color w:val="auto"/>
        </w:rPr>
        <w:t>Since the Spin-off, EchoStar entered into certain satellite services agreements pursuant to which,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acquires certain satellite services from DISH Network on certain satellites owned or leased by DISH Network. The fees for the services provided under these satellite services agreements depend, among other things, upon the orbital location of the applicable satellite, the number of transponders that are providing services on the applicable satellite and the length of the service term. The term of each satellite service agreement is set forth below:</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D-1. </w:t>
      </w:r>
      <w:r>
        <w:rPr>
          <w:rFonts w:ascii="Arial" w:cs="Arial" w:eastAsia="Arial" w:hAnsi="Arial"/>
          <w:sz w:val="18"/>
          <w:szCs w:val="18"/>
          <w:color w:val="auto"/>
        </w:rPr>
        <w:t>In November 2012, HNS entered into a satellite service agreement pursuant to which HNS receives satellite services from DISH Network on the D-1 satellite for research and development. This lease terminated on June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i w:val="1"/>
          <w:iCs w:val="1"/>
          <w:color w:val="auto"/>
        </w:rPr>
        <w:t>Management Services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entered into a Management Services Agreement with DISH Network pursuant to which DISH Network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of its officers available to provide services (which were primarily accounting services) to us and EchoStar. Effective June 15, 2013, we terminated the Management Services Agreement.</w:t>
      </w:r>
    </w:p>
    <w:p>
      <w:pPr>
        <w:spacing w:after="0" w:line="18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 xml:space="preserve">Professional Services Agreement. </w:t>
      </w:r>
      <w:r>
        <w:rPr>
          <w:rFonts w:ascii="Arial" w:cs="Arial" w:eastAsia="Arial" w:hAnsi="Arial"/>
          <w:sz w:val="16"/>
          <w:szCs w:val="16"/>
          <w:color w:val="auto"/>
        </w:rPr>
        <w:t>In connection with the Spin-off, EchoStar entered into various agreements with DISH Network including the Transition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Agreement, Satellite Procurement Agreement and Services Agreement, which all expired on January 1, 2010 and were replaced by a Professional</w:t>
      </w:r>
    </w:p>
    <w:p>
      <w:pPr>
        <w:sectPr>
          <w:pgSz w:w="11900" w:h="16867" w:orient="portrait"/>
          <w:cols w:equalWidth="0" w:num="1">
            <w:col w:w="11400"/>
          </w:cols>
          <w:pgMar w:left="240" w:top="517" w:right="259" w:bottom="0" w:gutter="0" w:footer="0" w:header="0"/>
        </w:sectPr>
      </w:pPr>
    </w:p>
    <w:bookmarkStart w:id="19" w:name="page20"/>
    <w:bookmarkEnd w:id="19"/>
    <w:p>
      <w:pPr>
        <w:spacing w:after="0" w:line="270" w:lineRule="auto"/>
        <w:rPr>
          <w:sz w:val="20"/>
          <w:szCs w:val="20"/>
          <w:color w:val="auto"/>
        </w:rPr>
      </w:pPr>
      <w:r>
        <w:rPr>
          <w:rFonts w:ascii="Arial" w:cs="Arial" w:eastAsia="Arial" w:hAnsi="Arial"/>
          <w:sz w:val="17"/>
          <w:szCs w:val="17"/>
          <w:color w:val="auto"/>
        </w:rPr>
        <w:t>Services Agreement. During 2009, EchoStar and DISH Network agreed that EchoStar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EchoStar and DISH Network agreed that DISH Network shall continue to have the right, but not the obligation, to engage us to manage the process of procuring new satellite capacity for DISH Network (previously provided under the Satellite Procurement Agreement), receive logistics, procurement and quality assurance services from EchoStar (previously provided under the Services Agreement) and other support services. A portion of these costs and expenses have been allocated to us in the manner described above under the caption “EchoStar.” The Professional Services Agreement automatically renewed on January 1, 2014 for an additional one-year period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Real Estate Lease Agreements</w:t>
      </w:r>
      <w:r>
        <w:rPr>
          <w:rFonts w:ascii="Arial" w:cs="Arial" w:eastAsia="Arial" w:hAnsi="Arial"/>
          <w:sz w:val="18"/>
          <w:szCs w:val="18"/>
          <w:color w:val="auto"/>
        </w:rPr>
        <w:t>. We have entered into lease agreements pursuant to which we lease certain real estate from DISH Network. The rent on a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foot basis for each of the leases is comparable to per square foot rental rates of similar commercial property in the same geographic area at the time of the lease, and we are responsible for our portion of the taxes, insurance, utilities and maintenance of the premises. The term of each of the leases is set forth below:</w:t>
      </w:r>
    </w:p>
    <w:p>
      <w:pPr>
        <w:spacing w:after="0" w:line="187"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i w:val="1"/>
          <w:iCs w:val="1"/>
          <w:color w:val="auto"/>
        </w:rPr>
        <w:t xml:space="preserve">American Fork Occupancy License Agreement. </w:t>
      </w:r>
      <w:r>
        <w:rPr>
          <w:rFonts w:ascii="Arial" w:cs="Arial" w:eastAsia="Arial" w:hAnsi="Arial"/>
          <w:sz w:val="18"/>
          <w:szCs w:val="18"/>
          <w:color w:val="auto"/>
        </w:rPr>
        <w:t>The license for certain space at 796 East Utah Valley Drive in American Fork, Utah is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on July 31, 2017, subject to the terms of the underlying lease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As a subsidiary of EchoStar, we are an indirect party to EchoStar’s tax sharing agreement with DISH Network that was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Spin-off. This agreement governs EchoStar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EchoStar for such taxes. However, DISH Network is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EchoStar’s stock, stock options or assets; (ii) any action that EchoStar takes or fails to take; or (iii) any action that EchoStar takes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8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light of the tax sharing agreement, among other things, and in connection with EchoStar’s consolidated federal income tax returns for certain tax years prior to and for the year of the Spin-off, during the third quarter of 2013, EchoStar and DISH Network agreed upon a supplemental allocation of the tax benefits arising from certain tax items resolved in the course of the IRS’s examination of EchoStar’s consolidated tax returns. As a result, DISH Network agreed to pay EchoStar an amount that includes $93.1 million of the federal tax benefit they received as a result of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contract with Hughes Systique for software development services. In February 2008, Hughes agreed to make available to Hughes Systique a term loan facility of up to $1.5 million. Also in 2008, Hughes funded an initial $0.5 million to Hughes Systique pursuant to the term loan facility. In 2009, HNS funded the remaining $1.0 million of its $1.5 million commitment under the term loan facility. The loans bear interest at 6%, payable annually, and are convertible into shares of Hughes Systique upon non-payment or an event of default. As a result, the Company is not obligated to provide any further funding to Hughes Systique under the term loan facility. In May 2014, Hughes and Hughes Systique entered into an amendment to the term loan facility to increase the interest rate from 6% to 8%, payable annually, to reflect current market conditions. The loans, as amended, mature on May 1, 2015. In addition to our 44.4% ownership in Hughes Systique, Mr. Pradman Kaul, the President of Hughes Communications, Inc. and a member of EchoStar’s Board of Directors and his brother, who is the CEO and President of Hughes Systique, in the aggregate, owned approximately 26.1%, on an undiluted basis, of Hughes Systique’s outstanding shares as of June 30, 2014. Furthermore, Mr. Pradman Kaul serves on the board of directors of Hughes Systique. We are considered the “primary beneficiary” of Hughes Systique due to, among other factors, our ability to significantly influence and direct the operating and financial decisions of Hughes Systique and our obligation to provide financial support in the form of term loans. As a result, we are required to consolidate Hughes Systique’s financial statements in our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2008, EchoStar entered into a joint venture for a direct-to-home satellite service in Mexico known as Dish Mexico. Pursuant to these arrangements, we provide certain satellite capacity to Dish Mexico. We recognized satellite services revenue from Dish Mexico of $5.8 million and $6.4 million for the three months ended June 30, 2014 and 2013, respectively, and $11.7 million and $11.0 million for the six months ended June 30, 2014 and 2013, respectively. As of June 30, 2014 and December 31, 2013, our accounts receivable balance due from Dish Mexico was $4.0 million and $3.5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ectPr>
          <w:pgSz w:w="11900" w:h="16838" w:orient="portrait"/>
          <w:cols w:equalWidth="0" w:num="1">
            <w:col w:w="11420"/>
          </w:cols>
          <w:pgMar w:left="240" w:top="125" w:right="239" w:bottom="36" w:gutter="0" w:footer="0" w:header="0"/>
        </w:sectPr>
      </w:pPr>
    </w:p>
    <w:bookmarkStart w:id="20" w:name="page21"/>
    <w:bookmarkEnd w:id="20"/>
    <w:p>
      <w:pPr>
        <w:ind w:right="180"/>
        <w:spacing w:after="0" w:line="297" w:lineRule="auto"/>
        <w:rPr>
          <w:sz w:val="20"/>
          <w:szCs w:val="20"/>
          <w:color w:val="auto"/>
        </w:rPr>
      </w:pPr>
      <w:r>
        <w:rPr>
          <w:rFonts w:ascii="Arial" w:cs="Arial" w:eastAsia="Arial" w:hAnsi="Arial"/>
          <w:sz w:val="16"/>
          <w:szCs w:val="16"/>
          <w:color w:val="auto"/>
        </w:rPr>
        <w:t>We own 50%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$0.8 million and $0.5 million for the three months ended June 30, 2014 and 2013, respectively, and $1.7 million and $0.9 million for the six months ended June 30, 2014 and 2013, respectively. As of June 30, 2014 and December 31, 2013, we had receivables from Deluxe of approximately $1.0 million and $1.1 million, respectively.</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Supplemental Guarantor and Non-Guarantor Financial Information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Certain of our wholly-owned subsidiaries (together, the “Guarantor Subsidiaries”) have fully and unconditionally guaranteed, on a joint and several basis, the obligations of our 6 1/2% senior secured notes due 2019 and 7 5/8 % senior notes due 2021 (collectively, the “Notes”), which were issued on June 1, 2011. See Note 10 for further information on the Notes.</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lieu of separate financial statements of the Guarantor Subsidiaries, condensed consolidating financial information prepared in accordance with Rule 3-10(f) of Regulation S-X is presented below, including the condensed balance sheet information, the condensed statement of operations and comprehensive income (loss) information and the condensed statement of cash flows information of HSS, the Guarantor Subsidiaries on a combined basis and the non-guarantor subsidiaries of HSS on a combined basis and the eliminations necessary to arrive at the corresponding information of HSS on a consolidated basis.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indentures governing the Notes contain restrictive covenants that, among other things, impose limitations on our ability and the ability of our restricted subsidiaries to pay dividends or make distributions, incur additional debt, make certain investments, create liens or enter into sale and leaseback transactions, merge or consolidate with another company, transfer and sell assets, or enter into transactions with affiliates.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condensed consolidating financial information presented below should be read in conjunction with our Condensed Consolidated Financial Statements and notes thereto included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Balance Sheet as of June 30, 2014</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HSS</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205,088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267,266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Marketable investment securities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198,066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100,076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49,691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 DISH Network, net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Advances to affiliates,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164,755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(163,801)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44,651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83,113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25,291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568,004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290,324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108,274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(168,281)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798,321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10,066</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2,288,812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Regulatory authorizations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471,658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504,173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182,671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Advances to affiliates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2,750,046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(2,751,762)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42,022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153,588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3,370,138</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3,974,354</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155,136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(2,993,955</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4,505,673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Shareholders’ Equity (Deficit)</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Trade accounts payable</w:t>
            </w:r>
          </w:p>
        </w:tc>
        <w:tc>
          <w:tcPr>
            <w:tcW w:w="6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70,495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16,643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 DISH Network</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rPr>
              <w:t>Current portion of long-term debt and capital lease</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46,927</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Advances from affiliates, net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46,670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47,584</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93,582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w w:val="99"/>
              </w:rPr>
              <w:t>Long-term debt and capital lease obligations, net of</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current portion</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337,150</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2,339,103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Advances from affiliates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2,749,346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(2,751,762)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500,939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HSS shareholders’ equity (deficit)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129,219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(203,131)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3,370,138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3,974,354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(2,993,955</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Balance Sheet as of December 31, 2013</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60"/>
          </w:cols>
          <w:pgMar w:left="240" w:top="125" w:right="199" w:bottom="0" w:gutter="0" w:footer="0" w:header="0"/>
        </w:sectPr>
      </w:pPr>
    </w:p>
    <w:bookmarkStart w:id="21" w:name="page22"/>
    <w:bookmarkEnd w:id="21"/>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HSS</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97,674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34,340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31,695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Marketable investment securities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86,726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46,229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 DISH Network, net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68,037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Advances to affiliates,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158,763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(158,023)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99,888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22,856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366,177</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343,170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Regulatory authorizations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471,658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504,173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213,747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65,453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Advances to affiliates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2,645,266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1,716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(2,646,982)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44,875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140,107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3,063,322</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3,708,627</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144,800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(2,874,938</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4,041,811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Shareholders’ Equity (Deficit)</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Trade accounts payable</w:t>
            </w:r>
          </w:p>
        </w:tc>
        <w:tc>
          <w:tcPr>
            <w:tcW w:w="6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78,093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12,907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 DISH Network</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rPr>
              <w:t>Current portion of long-term debt and capital lease</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65,430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Advances from affiliates, net</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295,562</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18,509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(303,360)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47,359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91,254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47,364</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530,339</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(307,840)</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328,404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Long-term debt and capital lease obligations, net of</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350,597</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2,351,572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Advances from affiliates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2,644,566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(2,646,982)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328,463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HSS shareholders’ equity (deficit)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1,015,958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(145,338)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65,453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79,884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1,015,957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3,063,322</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3,708,627</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(2,874,938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4,041,811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 xml:space="preserve">Condensed Consolidating Statement of Operations and Comprehensive Income (Loss) For the Three Months Ended June 30, 2014 </w:t>
      </w: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Subsidiaries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Services and other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231,247</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43,641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(6,073)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268,815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128,861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8,033</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(4,920)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53,666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416,830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51,834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Costs of sales - services and other</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30,111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132,969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56,472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8,451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64,528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113,822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115,818</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(52,874)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(48,595)</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16,960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(19,950)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(60,207)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(1,560)</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HSS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60"/>
          </w:cols>
          <w:pgMar w:left="240" w:top="320" w:right="199" w:bottom="0" w:gutter="0" w:footer="0" w:header="0"/>
        </w:sectPr>
      </w:pPr>
    </w:p>
    <w:bookmarkStart w:id="22" w:name="page23"/>
    <w:bookmarkEnd w:id="22"/>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3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4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Unrealized gains (losses) on AFS securities and other</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380" w:type="dxa"/>
            <w:vAlign w:val="bottom"/>
            <w:gridSpan w:val="3"/>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(1,633)</w:t>
            </w:r>
          </w:p>
        </w:tc>
        <w:tc>
          <w:tcPr>
            <w:tcW w:w="40" w:type="dxa"/>
            <w:vAlign w:val="bottom"/>
          </w:tcPr>
          <w:p>
            <w:pPr>
              <w:spacing w:after="0"/>
              <w:rPr>
                <w:sz w:val="18"/>
                <w:szCs w:val="18"/>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Recognition of previously unrealized gains on AFS</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included in net income (loss)</w:t>
            </w:r>
          </w:p>
        </w:tc>
        <w:tc>
          <w:tcPr>
            <w:tcW w:w="3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Equity in other comprehensive loss of subsidiaries, net</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(22,248)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Less: Comprehensive loss attributable to noncontrolling</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3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3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20"/>
                <w:szCs w:val="20"/>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Comprehensive income (loss) attributable to HSS</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 xml:space="preserve">Condensed Consolidating Statement of Operations and Comprehensive Income (Loss) For the Three Months Ended June 30, 2013 </w:t>
      </w: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HSS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Subsidiaries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Services and other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213,728</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39,154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(5,536)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247,346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48,277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23,980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(17,912)</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54,345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63,306</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397,871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Costs of sales - services and other</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102,983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25,291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(5,391)</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23,446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50,942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8,061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99,839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101,512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long-lived asset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58,471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390,953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(61,331)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48,806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 of subsidiaries,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(1,534)</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33,522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attributable to HSS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33,522</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Comprehensive Income (Loss):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(35,050)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33,522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(5,778)</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on AFS securities and other</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Recognition of previously unrealized gains on AFS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securities included in net income (loss)</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 in other comprehensive income (loss) of</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subsidiaries</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10,259</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Less: Comprehensive income attributable to</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HSS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ectPr>
          <w:pgSz w:w="11900" w:h="16872" w:orient="portrait"/>
          <w:cols w:equalWidth="0" w:num="1">
            <w:col w:w="11460"/>
          </w:cols>
          <w:pgMar w:left="240" w:top="125" w:right="199" w:bottom="0" w:gutter="0" w:footer="0" w:header="0"/>
        </w:sectPr>
      </w:pPr>
    </w:p>
    <w:p>
      <w:pPr>
        <w:spacing w:after="0" w:line="202" w:lineRule="exact"/>
        <w:rPr>
          <w:sz w:val="20"/>
          <w:szCs w:val="20"/>
          <w:color w:val="auto"/>
        </w:rPr>
      </w:pPr>
    </w:p>
    <w:p>
      <w:pPr>
        <w:ind w:left="5140"/>
        <w:spacing w:after="0"/>
        <w:rPr>
          <w:sz w:val="20"/>
          <w:szCs w:val="20"/>
          <w:color w:val="auto"/>
        </w:rPr>
      </w:pPr>
      <w:r>
        <w:rPr>
          <w:rFonts w:ascii="Arial" w:cs="Arial" w:eastAsia="Arial" w:hAnsi="Arial"/>
          <w:sz w:val="12"/>
          <w:szCs w:val="12"/>
          <w:b w:val="1"/>
          <w:bCs w:val="1"/>
          <w:color w:val="auto"/>
        </w:rPr>
        <w:t>HSS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Guarantor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Eliminations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pacing w:after="0" w:line="47" w:lineRule="exact"/>
        <w:rPr>
          <w:sz w:val="20"/>
          <w:szCs w:val="20"/>
          <w:color w:val="auto"/>
        </w:rPr>
      </w:pPr>
    </w:p>
    <w:p>
      <w:pPr>
        <w:sectPr>
          <w:pgSz w:w="11900" w:h="16872" w:orient="portrait"/>
          <w:cols w:equalWidth="0" w:num="5">
            <w:col w:w="5600" w:space="720"/>
            <w:col w:w="840" w:space="720"/>
            <w:col w:w="400" w:space="720"/>
            <w:col w:w="880" w:space="720"/>
            <w:col w:w="860"/>
          </w:cols>
          <w:pgMar w:left="240" w:top="125" w:right="199" w:bottom="0" w:gutter="0" w:footer="0" w:header="0"/>
          <w:type w:val="continuous"/>
        </w:sectPr>
      </w:pPr>
    </w:p>
    <w:p>
      <w:pPr>
        <w:spacing w:after="0" w:line="1" w:lineRule="exact"/>
        <w:rPr>
          <w:sz w:val="20"/>
          <w:szCs w:val="20"/>
          <w:color w:val="auto"/>
        </w:rPr>
      </w:pPr>
    </w:p>
    <w:p>
      <w:pPr>
        <w:ind w:left="6280"/>
        <w:spacing w:after="0"/>
        <w:rPr>
          <w:sz w:val="20"/>
          <w:szCs w:val="20"/>
          <w:color w:val="auto"/>
        </w:rPr>
      </w:pPr>
      <w:r>
        <w:rPr>
          <w:rFonts w:ascii="Arial" w:cs="Arial" w:eastAsia="Arial" w:hAnsi="Arial"/>
          <w:sz w:val="12"/>
          <w:szCs w:val="12"/>
          <w:b w:val="1"/>
          <w:bCs w:val="1"/>
          <w:color w:val="auto"/>
        </w:rPr>
        <w:t>Subsidiaries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Guarantor</w:t>
      </w:r>
    </w:p>
    <w:p>
      <w:pPr>
        <w:sectPr>
          <w:pgSz w:w="11900" w:h="16872" w:orient="portrait"/>
          <w:cols w:equalWidth="0" w:num="2">
            <w:col w:w="7020" w:space="680"/>
            <w:col w:w="3760"/>
          </w:cols>
          <w:pgMar w:left="240" w:top="125" w:right="199" w:bottom="0" w:gutter="0" w:footer="0" w:header="0"/>
          <w:type w:val="continuous"/>
        </w:sectPr>
      </w:pPr>
    </w:p>
    <w:bookmarkStart w:id="23" w:name="page24"/>
    <w:bookmarkEnd w:id="2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Subsidiaries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Services and other revenue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458,854</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83,901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(12,273)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530,482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15,958</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(8,655)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100,184</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(20,928)</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871,984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Costs of sales - services and other</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218,752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58,836</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(12,273)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112,221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16,378</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4,410</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224,003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145,524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105,744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(105,295)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17,950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(23,015)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50,788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Income tax benefit (provision), net</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(3,233)</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HSS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38,896</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(23,015)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Unrealized gains on AFS securities and other</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Recognition of previously unrealized gains on AFS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included in net income (loss)</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Equity in other comprehensive income (loss) of</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subsidiaries, net</w:t>
            </w:r>
          </w:p>
        </w:tc>
        <w:tc>
          <w:tcPr>
            <w:tcW w:w="3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(6,224)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42,137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Less: Comprehensive income attributable to</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Comprehensive income (loss) attributable to HSS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HSS</w:t>
            </w: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Subsidiaries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Services and other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423,122</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75,746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(10,151)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488,717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130,637</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96,963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29,869</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(22,993)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103,839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37,233</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687,596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105,974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760,426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Costs of sales - services and other</w:t>
            </w:r>
          </w:p>
        </w:tc>
        <w:tc>
          <w:tcPr>
            <w:tcW w:w="26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202,770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51,460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(9,817)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244,413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27,929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123,581</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15,906</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119,536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199,089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202,686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long-lived asset</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34,664</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98,892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97,489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(72,713)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(122,525)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97,291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(99,030)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(52,290)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(92,087)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60"/>
          </w:cols>
          <w:pgMar w:left="240" w:top="118" w:right="19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(36,573)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(52,096)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2,338</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49,974</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(36,357)</w:t>
            </w:r>
          </w:p>
        </w:tc>
        <w:tc>
          <w:tcPr>
            <w:tcW w:w="4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18"/>
                <w:szCs w:val="18"/>
                <w:color w:val="auto"/>
              </w:rPr>
            </w:pPr>
          </w:p>
        </w:tc>
      </w:tr>
      <w:tr>
        <w:trPr>
          <w:trHeight w:val="25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attributable to HSS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(52,096)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2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49,974</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47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Comprehensive Income (Loss):</w:t>
            </w: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(36,573)</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(52,096)</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2,338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49,974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(36,357)</w:t>
            </w:r>
          </w:p>
        </w:tc>
        <w:tc>
          <w:tcPr>
            <w:tcW w:w="40" w:type="dxa"/>
            <w:vAlign w:val="bottom"/>
          </w:tcPr>
          <w:p>
            <w:pPr>
              <w:spacing w:after="0"/>
              <w:rPr>
                <w:sz w:val="18"/>
                <w:szCs w:val="18"/>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 net of tax:</w:t>
            </w: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(5,600)</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(loss) on AFS securities and other</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8"/>
                <w:szCs w:val="18"/>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Recognition of previously unrealized gains on AFS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securities included in net income (loss)</w:t>
            </w: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 in other comprehensive income (loss) of</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subsidiaries, net</w:t>
            </w: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9,908</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loss, net of tax</w:t>
            </w: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9,908</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Less: Comprehensive income attributable to</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20"/>
                <w:szCs w:val="20"/>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HSS</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Subsidiaries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38,896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(23,015)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income to net cash flows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operating activities</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160,825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23,015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124,794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329,707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(163,798)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(163,798)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Sales and maturities of marketable investment securities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(83,538)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(13,968)</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Proceeds from issuance of Hughes Retail preferred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tracking stock</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(10,601)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Repayment of long-term debt and capital lease obligations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9"/>
              </w:rPr>
              <w:t>Effect of exchange rates on cash and cash equivalents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97,674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34,340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31,695</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Subsidiaries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(36,573)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(52,096)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49,974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(36,357)</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income (loss) to net cash</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flows from operating activities</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(2,277)</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(49,974)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157,977</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42,787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78,772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(35,964)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Sales and maturities of marketable investment securities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30,120</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(6,022)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(102,165)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(4,684)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20"/>
                <w:szCs w:val="20"/>
                <w:color w:val="auto"/>
              </w:rPr>
            </w:pPr>
          </w:p>
        </w:tc>
        <w:tc>
          <w:tcPr>
            <w:tcW w:w="11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(4,613)</w:t>
            </w:r>
          </w:p>
        </w:tc>
        <w:tc>
          <w:tcPr>
            <w:tcW w:w="40" w:type="dxa"/>
            <w:vAlign w:val="bottom"/>
          </w:tcPr>
          <w:p>
            <w:pPr>
              <w:spacing w:after="0"/>
              <w:rPr>
                <w:sz w:val="20"/>
                <w:szCs w:val="20"/>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Repayment of long-term debt and capital lease obligations</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(1,581)</w:t>
            </w: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(35,172)</w:t>
            </w:r>
          </w:p>
        </w:tc>
        <w:tc>
          <w:tcPr>
            <w:tcW w:w="4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540" w:type="dxa"/>
            <w:vAlign w:val="bottom"/>
          </w:tcPr>
          <w:p>
            <w:pPr>
              <w:spacing w:after="0"/>
              <w:rPr>
                <w:sz w:val="18"/>
                <w:szCs w:val="18"/>
                <w:color w:val="auto"/>
              </w:rPr>
            </w:pPr>
          </w:p>
        </w:tc>
        <w:tc>
          <w:tcPr>
            <w:tcW w:w="11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9"/>
              </w:rPr>
              <w:t>Effect of exchange rates on cash and cash equivalents</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24,098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88,623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23,498</w:t>
            </w:r>
          </w:p>
        </w:tc>
        <w:tc>
          <w:tcPr>
            <w:tcW w:w="540" w:type="dxa"/>
            <w:vAlign w:val="bottom"/>
          </w:tcPr>
          <w:p>
            <w:pPr>
              <w:spacing w:after="0"/>
              <w:rPr>
                <w:sz w:val="18"/>
                <w:szCs w:val="18"/>
                <w:color w:val="auto"/>
              </w:rPr>
            </w:pPr>
          </w:p>
        </w:tc>
        <w:tc>
          <w:tcPr>
            <w:tcW w:w="11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136,219</w:t>
            </w:r>
          </w:p>
        </w:tc>
        <w:tc>
          <w:tcPr>
            <w:tcW w:w="40" w:type="dxa"/>
            <w:vAlign w:val="bottom"/>
          </w:tcPr>
          <w:p>
            <w:pPr>
              <w:spacing w:after="0"/>
              <w:rPr>
                <w:sz w:val="18"/>
                <w:szCs w:val="18"/>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The following management’s narrative analysis of results of operations should be read in conjunction with the condensed consolidated financial statements and notes to our financial statements included elsewhere in this Quarterly Report on Form 10-Q.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 Looking Statements” in this Quarterly Report on Form 10-Q for further discussion. For a discussion of additional risks, uncertainties and other factors that could impact our results of operations or financial condition, see the caption “Risk Factors” in Part II, Item 1A of this Quarterly Report on Form 10-Q and in our Annual Report on Form 10-K for the year ended December 31, 2013. Further, such forward-looking statements speak only as of the date of this Quarterly Report on Form 10-Q and we undertake no obligation to update them.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are a holding company and a direct subsidiary of EchoStar Corporation (“EchoStar”). We were formed as a Colorado corporation in March 2011. We are a global provider of satellite operations, video delivery solutions, and broadband satellite technologies and services for the home and office, delivering innovative network technologies, managed services, and solutions for enterprises and governments. We currently operate in two business segments, which are differentiated primarily by their operational focus: Hughes and EchoStar Satellite Services. The segments currently reported are consistent with the way decisions regarding the allocation of resources are made, as well as how operating results are reviewed by our chief operating decision maker.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Consolidated Results of Operations</w:t>
      </w:r>
    </w:p>
    <w:p>
      <w:pPr>
        <w:spacing w:after="0" w:line="229"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of $872.0 million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income of $145.5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of $39.6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attributable to HSS of $38.9 million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EBITDA of $371.3 million (see non-GAAP reconciliation on page 41)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June 30, 2014</w:t>
      </w:r>
    </w:p>
    <w:p>
      <w:pPr>
        <w:spacing w:after="0" w:line="229"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assets of $4.51 billion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liabilities of $3.19 billion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stockholders’ equity of $1.32 billion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$471.3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Hughes segment is a global provider of broadband satellite technologies and services for the home and office, delivering innovative network technologies, managed services, and solutions for consumers, enterprises and governments. We continue our efforts in growing our consumer revenue, which depends on our success in adding new subscribers on our Hughes segment’s satellite networks. The addition of new subscribers, and the performance of our consumer service offering, primarily drive the revenue growth in our consumer business. Service costs related to ongoing support of our direct and indirect customers and partners are typically impacted most significantly by our growth. Long term trends continue to be influenced primarily by the subscriber growth in our consumer business. Additional capacity provided in this business by new satellite launches provides impetus for initial subscriber growth while we manage subscriber growth across our satellite platform.</w:t>
      </w:r>
    </w:p>
    <w:p>
      <w:pPr>
        <w:spacing w:after="0" w:line="18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Hughes segment also provides managed services, hardware, and satellite services to large enterprises. In addition, we provide gateway and terminal equipment to customers for mobile satellite systems. The fixed pricing nature of our long term enterprise contracts minimizes significant quarter to quarter fluctuations. We continue to monitor the competitive landscape for pricing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Continued</w:t>
      </w:r>
    </w:p>
    <w:p>
      <w:pPr>
        <w:sectPr>
          <w:pgSz w:w="11900" w:h="16838" w:orient="portrait"/>
          <w:cols w:equalWidth="0" w:num="1">
            <w:col w:w="11460"/>
          </w:cols>
          <w:pgMar w:left="240" w:top="125" w:right="199" w:bottom="0" w:gutter="0" w:footer="0" w:header="0"/>
        </w:sectPr>
      </w:pPr>
    </w:p>
    <w:bookmarkStart w:id="26" w:name="page27"/>
    <w:bookmarkEnd w:id="26"/>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 relation to our competitors and alternative technologies. However, the growth of our enterprise businesses relies heavily on global economic conditions.</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June 30, 2014 and December 31, 2013, our Hughes segment had approximately 935,000 and 860,000 broadband subscribers, respectively. These subscribers include subscriptions with HughesNet services, through retail, wholesale and small/medium enterprise service channels. Gross subscriber additions were up slightly in the second quarter of 2014 compared to the same period in 2013. However, our average monthly subscriber churn for the second quarter of 2014 increased across all major channels as compared to the same period in 2013. As a result, for the quarter ended June 30, 2014, net subscriber additions of 22,000 were lower than the same period last year primarily due to a higher number of subscriber disconnections associated with the higher churn in combination with the larger subscriber base compared to the second quarter of 2013.</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2014 and December 31, 2013, our Hughes segment had approximately $1.40 billion and $1.15 billion, respectively of contracted revenue backlog. We define Hughes revenue backlog as our expected future revenue under customer contracts that are non-cancelable, excluding agreements with customers in our consumer market. Our enterprise business continued to close long-term orders led by North America, Brazil, India and our Mobile Satellite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EchoStar Satellite Services segment operates its business using 15 of our owned and leased in-orbit satellites. We provide satellite services on a full-time and occasional-use basis primarily to DISH Network, and also to Dish Mexico, U.S. government service providers, state agencies, internet service providers, broadcast news organizations, programmers and private enterprise customers. We depend on DISH Network for a significant portion of the revenue for our EchoStar Satellite Services segment and we expect that DISH Network will continue to be the primary source of revenue for our EchoStar Satellite Services segment. Therefore, the results of operations of our EchoStar Satellite Services segment are and will be closely linked to the performance of DISH Network’s pay-TV service as well as changes in DISH Network’s satellite capacity requirements. We continue to pursue expanding our business offerings by providing value added services such as telemetry, tracking and control services to third parties. Revenue growth in our EchoStar Satellite Services segment is a function of available satellite capacity to sell. The satellites we currently have under construction are expected to ultimately produce revenue once launched and placed into operation, and therefore, anything that interferes with our construction and launch schedules will impact our expected revenue growth. In addition, any disruption in planned renewals of our service arrangements could impact customer commitments and have an impact on our revenue and financial performance. In particular, our service arrangement for the AMC-15 satellite is scheduled to expire on December 24, 2014, which if not renewed, could affect our ability to sell or renew current customer commitments and could impact our revenue. Technical issues, regulatory and licensing issues, manufacturer performance/stability and availability of capital to continue to fund our programs also are factors in achieving our business plans for this segment.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2014 and December 31, 2013, our EchoStar Satellite Services segment had contracted revenue backlog attributable to satellites currently in orbit of approximately $1.91 billion and $1.14 billion, respectively. The increase in backlog is primarily the result of additional satellite services on EchoStar I, EchoStar VII, EchoStar X, EchoStar XI, and EchoStar XIV provided to DISH Network beginning March 1, 2014, pursuant to the Satellite and Tracking Stock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exploring opportunities to selectively pursue partnerships, joint ventures and strategic acquisition opportunities, domestically and internationally, that we believe may allow us to increase our existing market share, expand into new markets, broaden our portfolio of products and intellectual property, and strengthen our relationships with our customers.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2012, we acquired the right to use various frequencies at the 45 degree west longitude orbital location (“Brazilian Authorization”) from ANATEL, the Brazilian communications regulatory agency. The Brazilian Authorization is intended for use in providing pay-TV services in Brazil. We continue to pursue various plans to launch a Brazilian service and remain committed to delivering a pay-TV service to Brazil via a high-powered Broadcast Satellite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Service (“BSS”) satellite.</w:t>
      </w:r>
    </w:p>
    <w:p>
      <w:pPr>
        <w:spacing w:after="0" w:line="193"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In April 2014, we entered into a satellite services agreement pursuant to which Eutelsat do Brasil will provide to Hughes Telecomunica</w:t>
      </w:r>
      <w:r>
        <w:rPr>
          <w:rFonts w:ascii="Arial" w:cs="Arial" w:eastAsia="Arial" w:hAnsi="Arial"/>
          <w:sz w:val="18"/>
          <w:szCs w:val="18"/>
          <w:color w:val="auto"/>
        </w:rPr>
        <w:t>ҫ</w:t>
      </w:r>
      <w:r>
        <w:rPr>
          <w:rFonts w:ascii="Arial" w:cs="Arial" w:eastAsia="Arial" w:hAnsi="Arial"/>
          <w:sz w:val="18"/>
          <w:szCs w:val="18"/>
          <w:color w:val="auto"/>
        </w:rPr>
        <w:t>ões do Brasil Ltda. the service on the entire Ka-band capacity into Brazil on the EUTELSAT 65 West A satellite for a 15-year term. The satellite is scheduled to be placed into service in the second quarter of 2016. We are required to fund the cost of the Ka-band capacity in quarterly installments while the satellite is under construction.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to the Six Months Ended June 30, 2013</w:t>
      </w: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For the Six Months Ended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Variance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 (1)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4"/>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922"/>
              <w:spacing w:after="0" w:line="142" w:lineRule="exact"/>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100" w:type="dxa"/>
            <w:vAlign w:val="bottom"/>
            <w:gridSpan w:val="4"/>
          </w:tcPr>
          <w:p>
            <w:pPr>
              <w:jc w:val="right"/>
              <w:ind w:right="12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Services and other revenue - other</w:t>
            </w:r>
          </w:p>
        </w:tc>
        <w:tc>
          <w:tcPr>
            <w:tcW w:w="6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64"/>
              <w:spacing w:after="0"/>
              <w:rPr>
                <w:sz w:val="20"/>
                <w:szCs w:val="20"/>
                <w:color w:val="auto"/>
              </w:rPr>
            </w:pPr>
            <w:r>
              <w:rPr>
                <w:rFonts w:ascii="Arial" w:cs="Arial" w:eastAsia="Arial" w:hAnsi="Arial"/>
                <w:sz w:val="18"/>
                <w:szCs w:val="18"/>
                <w:color w:val="auto"/>
              </w:rPr>
              <w:t>530,482</w:t>
            </w:r>
          </w:p>
        </w:tc>
        <w:tc>
          <w:tcPr>
            <w:tcW w:w="44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488,717</w:t>
            </w:r>
          </w:p>
        </w:tc>
        <w:tc>
          <w:tcPr>
            <w:tcW w:w="5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ind w:right="542"/>
              <w:spacing w:after="0"/>
              <w:rPr>
                <w:sz w:val="20"/>
                <w:szCs w:val="20"/>
                <w:color w:val="auto"/>
              </w:rPr>
            </w:pPr>
            <w:r>
              <w:rPr>
                <w:rFonts w:ascii="Arial" w:cs="Arial" w:eastAsia="Arial" w:hAnsi="Arial"/>
                <w:sz w:val="18"/>
                <w:szCs w:val="18"/>
                <w:color w:val="auto"/>
              </w:rPr>
              <w:t>41,765</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27" w:name="page28"/>
    <w:bookmarkEnd w:id="27"/>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and other revenue - DISH Network</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130,637</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97,468</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Equipment revenue - other</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103,839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(8,341)</w:t>
            </w: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revenue - DISH Network</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37,233</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(19,334)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871,984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760,426</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111,558</w:t>
            </w:r>
          </w:p>
        </w:tc>
        <w:tc>
          <w:tcPr>
            <w:tcW w:w="5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Cost of sales - services and other</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265,315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244,413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20,902</w:t>
            </w:r>
          </w:p>
        </w:tc>
        <w:tc>
          <w:tcPr>
            <w:tcW w:w="5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 of Total services and other revenue</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Cost of sales - equipment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123,581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(23,384)</w:t>
            </w: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 of Total equipment revenue</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87.6%</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expenses (including</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DISH Network)</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127,799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119,536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8,263</w:t>
            </w:r>
          </w:p>
        </w:tc>
        <w:tc>
          <w:tcPr>
            <w:tcW w:w="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 of Total revenue</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(1,470)</w:t>
            </w: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 of Total revenue</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224,003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202,686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21,317</w:t>
            </w:r>
          </w:p>
        </w:tc>
        <w:tc>
          <w:tcPr>
            <w:tcW w:w="5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long-lived assets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34,664</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(34,664)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726,460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735,496</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5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120,594</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(97,342)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(99,030)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1,688</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unconsolidated affiliate</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(7,994)</w:t>
            </w:r>
          </w:p>
        </w:tc>
        <w:tc>
          <w:tcPr>
            <w:tcW w:w="1080" w:type="dxa"/>
            <w:vAlign w:val="bottom"/>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(89,498)</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5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(64,568)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116,815</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(provision), net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(40,835)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(36,357)</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75,980</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Net income attributable to noncontrolling interests</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 (loss) attributable to HSS</w:t>
            </w: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38,896</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(36,573)</w:t>
            </w:r>
          </w:p>
        </w:tc>
        <w:tc>
          <w:tcPr>
            <w:tcW w:w="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75,469</w:t>
            </w:r>
          </w:p>
        </w:tc>
        <w:tc>
          <w:tcPr>
            <w:tcW w:w="5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371,290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236,474</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134,816</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Subscribers, end of period</w:t>
            </w: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line="20" w:lineRule="exact"/>
              <w:rPr>
                <w:sz w:val="1"/>
                <w:szCs w:val="1"/>
                <w:color w:val="auto"/>
              </w:rPr>
            </w:pPr>
          </w:p>
        </w:tc>
      </w:tr>
      <w:tr>
        <w:trPr>
          <w:trHeight w:val="197"/>
        </w:trPr>
        <w:tc>
          <w:tcPr>
            <w:tcW w:w="4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935,000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736,000</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199,000</w:t>
            </w:r>
          </w:p>
        </w:tc>
        <w:tc>
          <w:tcPr>
            <w:tcW w:w="5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An explanation of our key metrics is included on pages 43 and 44.</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$530.5 million for the six months ended June 30, 2014,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$41.8 million or 8.5%, compared to the same period in 2013.</w:t>
      </w:r>
    </w:p>
    <w:p>
      <w:pPr>
        <w:spacing w:after="0" w:line="170"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Services and other revenue — other from our Hughes segment for the six months ended June 30, 2014 increased by $47.3 million, or 10.6%, to $494.1 million compared to the same period in 2013. The increase was primarily attributable to an increase in sales of broadband services to our consumer and international customers.</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Services and other revenue — other from our EchoStar Satellite Services segment for the six months ended June 30, 2014 decreased by $6.1 million, or 13.6%, to $38.8 million compared to the same period in 2013. The decrease was mainly due to a decrease of $5.7 million in sales of transponder services in the first half of 2014 compared to the same period in 2013.</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$228.1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an increase of $97.5 million or 74.6%, compared to the same period in 2013.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Continued</w:t>
      </w:r>
    </w:p>
    <w:p>
      <w:pPr>
        <w:spacing w:after="0" w:line="229" w:lineRule="exact"/>
        <w:rPr>
          <w:sz w:val="20"/>
          <w:szCs w:val="20"/>
          <w:color w:val="auto"/>
        </w:rPr>
      </w:pPr>
    </w:p>
    <w:p>
      <w:pPr>
        <w:jc w:val="both"/>
        <w:ind w:left="660" w:right="480"/>
        <w:spacing w:after="0" w:line="264" w:lineRule="auto"/>
        <w:rPr>
          <w:sz w:val="20"/>
          <w:szCs w:val="20"/>
          <w:color w:val="auto"/>
        </w:rPr>
      </w:pPr>
      <w:r>
        <w:rPr>
          <w:rFonts w:ascii="Arial" w:cs="Arial" w:eastAsia="Arial" w:hAnsi="Arial"/>
          <w:sz w:val="18"/>
          <w:szCs w:val="18"/>
          <w:color w:val="auto"/>
        </w:rPr>
        <w:t>Services and other revenue — DISH Network from our Hughes segment for the six months ended June 30, 2014 increased by $21.1 million to $37.6 million compared to the same period in 2013. The increase was primarily attributable to an increase in wholesale subscribers receiving services from dishNET.</w:t>
      </w:r>
    </w:p>
    <w:p>
      <w:pPr>
        <w:spacing w:after="0" w:line="181" w:lineRule="exact"/>
        <w:rPr>
          <w:sz w:val="20"/>
          <w:szCs w:val="20"/>
          <w:color w:val="auto"/>
        </w:rPr>
      </w:pPr>
    </w:p>
    <w:p>
      <w:pPr>
        <w:ind w:left="660" w:right="280"/>
        <w:spacing w:after="0" w:line="255" w:lineRule="auto"/>
        <w:rPr>
          <w:sz w:val="20"/>
          <w:szCs w:val="20"/>
          <w:color w:val="auto"/>
        </w:rPr>
      </w:pPr>
      <w:r>
        <w:rPr>
          <w:rFonts w:ascii="Arial" w:cs="Arial" w:eastAsia="Arial" w:hAnsi="Arial"/>
          <w:sz w:val="18"/>
          <w:szCs w:val="18"/>
          <w:color w:val="auto"/>
        </w:rPr>
        <w:t>Services and other revenue — DISH Network from our EchoStar Satellite Services segment for the six months ended June 30, 2014 increased by $76.4 million, or 67.0%, to $190.5 million compared to the same period in 2013. The increase was mainly due to an increase of $59.1 million in revenue recognized from the services provided for certain satellite capacity to DISH Network on the five satellites transferred to us from DISH Network as part of the Satellite and Tracking Stock Transaction and an increase of $16.2 million from the renewal of our satellite agreement and services provided by the EchoStar VIII satellite to DISH Network that expired in the first quarter of 2013 and was renewed again in the second quarter of 2013.</w:t>
      </w:r>
    </w:p>
    <w:p>
      <w:pPr>
        <w:spacing w:after="0" w:line="193"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b w:val="1"/>
          <w:bCs w:val="1"/>
          <w:i w:val="1"/>
          <w:iCs w:val="1"/>
          <w:color w:val="auto"/>
        </w:rPr>
        <w:t xml:space="preserve">Equipment revenue — other. </w:t>
      </w:r>
      <w:r>
        <w:rPr>
          <w:rFonts w:ascii="Arial" w:cs="Arial" w:eastAsia="Arial" w:hAnsi="Arial"/>
          <w:sz w:val="17"/>
          <w:szCs w:val="17"/>
          <w:color w:val="auto"/>
        </w:rPr>
        <w:t>“Equipment revenue — other” totaled $95.5 million for the six months ended June 30, 2014, a decrease of $8.3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8.0%, compared to the same period in 2013. The decrease was mainly due to a decrease in sales of broadband equipment of $14.9 million primarily due to lower sales to wholesale and international customers partially offset by a $6.5 million increase in telecom system equipment.</w:t>
      </w:r>
    </w:p>
    <w:p>
      <w:pPr>
        <w:sectPr>
          <w:pgSz w:w="11900" w:h="16838" w:orient="portrait"/>
          <w:cols w:equalWidth="0" w:num="1">
            <w:col w:w="11380"/>
          </w:cols>
          <w:pgMar w:left="240" w:top="140" w:right="279" w:bottom="26" w:gutter="0" w:footer="0" w:header="0"/>
        </w:sectPr>
      </w:pPr>
    </w:p>
    <w:bookmarkStart w:id="28" w:name="page29"/>
    <w:bookmarkEnd w:id="28"/>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$17.9 million for the six months ended June 30, 2014,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$19.3 million, or 51.9%, compared to the same period in 2013. The decrease was primarily due to the decrease in the unit sales of broadband equipment to dishNET.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totaled $265.3 million for the six months ended June 30, 2014, an increase of</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$20.9 million, or 8.6%, compared to the same period in 2013. The increase was primarily attributable to an increase in cost of sales of our Hughes segment as a result of an increase in sales of broadband services to our enterprise and international customers.</w:t>
      </w:r>
    </w:p>
    <w:p>
      <w:pPr>
        <w:spacing w:after="0" w:line="18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 xml:space="preserve">Cost of sales — equipment. </w:t>
      </w:r>
      <w:r>
        <w:rPr>
          <w:rFonts w:ascii="Arial" w:cs="Arial" w:eastAsia="Arial" w:hAnsi="Arial"/>
          <w:sz w:val="16"/>
          <w:szCs w:val="16"/>
          <w:color w:val="auto"/>
        </w:rPr>
        <w:t>“Cost of sales — equipment” totaled $100.2 million for the six months ended June 30, 2014, a decrease of $23.4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18.9%, compared to the same period in 2013. The decrease was primarily attributable to a decrease of $19.0 million in the cost of sales of broadband equipment sold to dishNET due to a decrease in the sales of new equipment and an increase in the sales of reconditioned equipment as compared to the same period in 2013 and a decrease of $8.6 million in the cost of sales of broadband equipment to our consumer and international customers.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$127.8 million for the six months ended June 30,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$8.3 million or 6.9%, compared to the same period in 2013. The increase was mainly due to a $7.7 million increase in marketing expenses related to our Hughes segment.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totaled $224.0 million for the six months ended June 30, 2014,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$21.3 million or 10.5%, compared to the same period in 2013. The increase was primarily related to an increase in depreciation of $15.9 million from our EchoStar Satellite Services segment, primarily due to the depreciation of the additional five satellites we received from DISH Network as part of the Satellite and Tracking Stock Transaction and an increase in depreciation of $9.8 million associated with customer rental equipment from our Hughes segment. The increase in depreciation and amortization was partially offset by a decrease in depreciation of $5.7 million on EchoStar XII due to the impairment of the satellite’s carrying amount that occurred in the second quarter of 2013.</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Impairment of long-lived asset. </w:t>
      </w:r>
      <w:r>
        <w:rPr>
          <w:rFonts w:ascii="Arial" w:cs="Arial" w:eastAsia="Arial" w:hAnsi="Arial"/>
          <w:sz w:val="18"/>
          <w:szCs w:val="18"/>
          <w:color w:val="auto"/>
        </w:rPr>
        <w:t>“Impairment of long-lived asset” totaled zero for the six months ended June 30, 2014, a decrease of $34.7 million,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same period in 2013 due to the impairment of our EchoStar XII satellite of $34.7 million in June 2013. See Note 8 in the Notes to our Condensed Consolidated Financial Statements for further discussion of our impairment in the second quarter of 2013.</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$97.3 million for the six months ended June 30, 2014,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of $1.7 million or 1.7%, compared to the same period in 2013, primarily related to the decrease in interest expense of our capital leased satellites.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Continued</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totaled $0.5 million for the six months ended June 30, 2014, a decrease of $8.0 million, or 94.4%, compared to the same period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The decrease was primarily related to a non-recurring gain of $6.7 million in 2013 resulting from a reduction of the capital lease obligation for the AMC-16 satellite and a reduction in gains of $2.6 million in 2013 resulting from the conversion of one of our investments into a marketable investment security. The decrease was partially offset by an increase of $1.3 million in foreign exchange gains.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before interest, taxes, depreciation and amortization</w:t>
      </w:r>
      <w:r>
        <w:rPr>
          <w:rFonts w:ascii="Arial" w:cs="Arial" w:eastAsia="Arial" w:hAnsi="Arial"/>
          <w:sz w:val="17"/>
          <w:szCs w:val="17"/>
          <w:color w:val="auto"/>
        </w:rPr>
        <w:t>. EBITDA was $371.3 million for the six months ended June 30, 2014, an increase of</w:t>
      </w:r>
    </w:p>
    <w:p>
      <w:pPr>
        <w:spacing w:after="0" w:line="3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$134.8 million or 57.0%, compared to the same period in 2013. The increase was primarily due to an increase in operating income, excluding depreciation and amortization of $141.9 million and an increase of $1.4 million in equity from earnings of unconsolidated affiliates, net. The increase in the first half of 2014 was partially offset by a decrease in Other, net related to a gain of $6.7 million in 2013 resulting from a reduction of the capital lease obligation for the AMC-16 satellite and a reduction in gains of $2.6 million in 2013 resulting from a conversion of one of our investments into a marketable investment security. EBITDA is a non-GAAP financial measure and is described under Explanation of Key Metrics and Other Items below. The following table reconciles EBITDA to Income (loss) before income taxes, the most directly comparable GAAP measure in the accompanying financial statements.</w:t>
      </w:r>
    </w:p>
    <w:p>
      <w:pPr>
        <w:spacing w:after="0" w:line="14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For the Six Months</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Ended June 30,</w:t>
            </w: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5"/>
          </w:tcPr>
          <w:p>
            <w:pPr>
              <w:jc w:val="right"/>
              <w:ind w:right="100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371,290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236,474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134,816</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Interest income and expense, net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(95,767)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(98,572)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2,805</w:t>
            </w: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(224,003)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(202,686)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(21,317)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(64,568</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116,815</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205740</wp:posOffset>
            </wp:positionV>
            <wp:extent cx="17494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Percentage is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benefit (provision), net</w:t>
      </w:r>
      <w:r>
        <w:rPr>
          <w:rFonts w:ascii="Arial" w:cs="Arial" w:eastAsia="Arial" w:hAnsi="Arial"/>
          <w:sz w:val="16"/>
          <w:szCs w:val="16"/>
          <w:color w:val="auto"/>
        </w:rPr>
        <w:t>. Income tax expense was $12.6 million for the six months ended June 30, 2014, compared to an income tax benefit of</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$28.2 million for the same period in 2013. Our effective income tax rate was 24.2% for the six months ended June 30, 2014, compared to 43.7% for the same period in 2013. The variation in our current year effective tax rate from a U.S. federal statutory rate for the current period was primarily due to a lower state effective tax rate. For the same period in 2013, the variation in our effective tax rate from a U.S. federal statutory rate was primarily due to the current year research and experimentation credits and reinstatement of the research and experimentation tax credit for 2012, as provided by the American Taxpayer Relief Act enacted on January 2, 2013.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attributable to HSS</w:t>
      </w:r>
      <w:r>
        <w:rPr>
          <w:rFonts w:ascii="Arial" w:cs="Arial" w:eastAsia="Arial" w:hAnsi="Arial"/>
          <w:sz w:val="17"/>
          <w:szCs w:val="17"/>
          <w:color w:val="auto"/>
        </w:rPr>
        <w:t>. Net income attributable to HSS was $38.9 million for the six months ended June 30, 2014, an increase of</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$75.5 million, compared to Net loss attributable to HSS of $36.6 million for the same period in 2013. The increase was primarily attributable to an increase in operating income, including depreciation and amortization of $120.6 million, partially offset by a decrease in income tax benefit of $40.8 million, a gain of $6.7 million recognized in 2013 as a result of a reduction of the capital lease obligation for the AMC-16 satellite, and a reduction in gains of $2.6 million resulting from the conversion of one of our investments into a marketable investment security.</w:t>
      </w:r>
    </w:p>
    <w:p>
      <w:pPr>
        <w:sectPr>
          <w:pgSz w:w="11900" w:h="16838" w:orient="portrait"/>
          <w:cols w:equalWidth="0" w:num="1">
            <w:col w:w="11400"/>
          </w:cols>
          <w:pgMar w:left="240" w:top="125" w:right="259"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to the Six Months Ended June 30, 2013</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4"/>
                <w:szCs w:val="14"/>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EchoStar</w:t>
            </w:r>
          </w:p>
        </w:tc>
        <w:tc>
          <w:tcPr>
            <w:tcW w:w="240" w:type="dxa"/>
            <w:vAlign w:val="bottom"/>
          </w:tcPr>
          <w:p>
            <w:pPr>
              <w:spacing w:after="0"/>
              <w:rPr>
                <w:sz w:val="14"/>
                <w:szCs w:val="14"/>
                <w:color w:val="auto"/>
              </w:rPr>
            </w:pPr>
          </w:p>
        </w:tc>
        <w:tc>
          <w:tcPr>
            <w:tcW w:w="1160" w:type="dxa"/>
            <w:vAlign w:val="bottom"/>
          </w:tcPr>
          <w:p>
            <w:pPr>
              <w:jc w:val="center"/>
              <w:ind w:right="176"/>
              <w:spacing w:after="0"/>
              <w:rPr>
                <w:sz w:val="20"/>
                <w:szCs w:val="20"/>
                <w:color w:val="auto"/>
              </w:rPr>
            </w:pPr>
            <w:r>
              <w:rPr>
                <w:rFonts w:ascii="Arial" w:cs="Arial" w:eastAsia="Arial" w:hAnsi="Arial"/>
                <w:sz w:val="14"/>
                <w:szCs w:val="14"/>
                <w:b w:val="1"/>
                <w:bCs w:val="1"/>
                <w:color w:val="auto"/>
              </w:rPr>
              <w:t>All</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6"/>
              </w:rPr>
              <w:t>Other and</w:t>
            </w:r>
          </w:p>
        </w:tc>
        <w:tc>
          <w:tcPr>
            <w:tcW w:w="240" w:type="dxa"/>
            <w:vAlign w:val="bottom"/>
          </w:tcPr>
          <w:p>
            <w:pPr>
              <w:spacing w:after="0"/>
              <w:rPr>
                <w:sz w:val="12"/>
                <w:szCs w:val="12"/>
                <w:color w:val="auto"/>
              </w:rPr>
            </w:pPr>
          </w:p>
        </w:tc>
        <w:tc>
          <w:tcPr>
            <w:tcW w:w="116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3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Hughes</w:t>
            </w:r>
          </w:p>
        </w:tc>
        <w:tc>
          <w:tcPr>
            <w:tcW w:w="280" w:type="dxa"/>
            <w:vAlign w:val="bottom"/>
          </w:tcPr>
          <w:p>
            <w:pPr>
              <w:spacing w:after="0"/>
              <w:rPr>
                <w:sz w:val="14"/>
                <w:szCs w:val="14"/>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4"/>
                <w:szCs w:val="14"/>
                <w:color w:val="auto"/>
              </w:rPr>
            </w:pPr>
          </w:p>
        </w:tc>
        <w:tc>
          <w:tcPr>
            <w:tcW w:w="116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3"/>
          </w:tcPr>
          <w:p>
            <w:pPr>
              <w:jc w:val="right"/>
              <w:ind w:right="896"/>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For the Six Months Ended June 30, 2014</w:t>
            </w:r>
          </w:p>
        </w:tc>
        <w:tc>
          <w:tcPr>
            <w:tcW w:w="7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645,029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229,360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97,477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172,255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197,010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2,025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For the Six Months Ended June 30, 2013</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604,347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159,074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89,833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12,332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137,375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98,473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626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236,474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For the Six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Variance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77"/>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80" w:type="dxa"/>
            <w:vAlign w:val="bottom"/>
            <w:gridSpan w:val="5"/>
          </w:tcPr>
          <w:p>
            <w:pPr>
              <w:jc w:val="right"/>
              <w:ind w:right="1077"/>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645,029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604,347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40,682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97,477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89,833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57"/>
              <w:spacing w:after="0"/>
              <w:rPr>
                <w:sz w:val="20"/>
                <w:szCs w:val="20"/>
                <w:color w:val="auto"/>
              </w:rPr>
            </w:pPr>
            <w:r>
              <w:rPr>
                <w:rFonts w:ascii="Arial" w:cs="Arial" w:eastAsia="Arial" w:hAnsi="Arial"/>
                <w:sz w:val="18"/>
                <w:szCs w:val="18"/>
                <w:color w:val="auto"/>
              </w:rPr>
              <w:t>7,644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172,255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34,880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Hughes segment total revenue for the six months ended June 30, 2014 increased by $40.7 million, or 6.7%, compared to the same period in 2013, primarily due to an increase in service revenue of $47.3 million mainly attributable to an increase in sales of broadband services to our consumer and international customers, and an increase of $21.1 million in service revenue from DISH Network due to the increase in wholesale subscribers on dishNet. The increase in revenue was partially offset by a decrease in equipment revenue from DISH Network of $19.3 million and a decrease in other equipment revenue of $8.3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Hughes segment capital expenditures for the six months ended June 30, 2014 increased by $7.6 million, or 8.5%, compared to the same period in 2013, primarily as a result of an increase in expenditures related to consumer broadband rental equipment as well as machinery and equipment related to our U.S. broadband network.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Hughes segment EBITDA for the six months ended June 30, 2014 was $172.3 million, an increase of $34.9 million, or 25.4%, compared to the same period in 2013. The increase was primarily attributable to a $43.6 million increase in gross margin, partially offset by an $8.4 million increase in selling, general and administrative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For the Six Months Ended</w:t>
            </w:r>
          </w:p>
        </w:tc>
        <w:tc>
          <w:tcPr>
            <w:tcW w:w="200" w:type="dxa"/>
            <w:vAlign w:val="bottom"/>
          </w:tcPr>
          <w:p>
            <w:pPr>
              <w:spacing w:after="0"/>
              <w:rPr>
                <w:sz w:val="14"/>
                <w:szCs w:val="14"/>
                <w:color w:val="auto"/>
              </w:rPr>
            </w:pPr>
          </w:p>
        </w:tc>
        <w:tc>
          <w:tcPr>
            <w:tcW w:w="1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Variance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77"/>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gridSpan w:val="4"/>
          </w:tcPr>
          <w:p>
            <w:pPr>
              <w:jc w:val="right"/>
              <w:ind w:right="1057"/>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229,360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70,286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12,332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97"/>
              <w:spacing w:after="0"/>
              <w:rPr>
                <w:sz w:val="20"/>
                <w:szCs w:val="20"/>
                <w:color w:val="auto"/>
              </w:rPr>
            </w:pPr>
            <w:r>
              <w:rPr>
                <w:rFonts w:ascii="Arial" w:cs="Arial" w:eastAsia="Arial" w:hAnsi="Arial"/>
                <w:sz w:val="18"/>
                <w:szCs w:val="18"/>
                <w:color w:val="auto"/>
              </w:rPr>
              <w:t>(12,303)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197,010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98,537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EchoStar Satellite Services segment total revenue for the six months ended June 30, 2014 increased by $70.3 million, or 44.2%, compared to the same period in 2013, due to a $70.3 million increase in service revenue, primarily related to transponder services provided to DISH Network as part of the Satellite and Tracking Stock Transaction.</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ectPr>
          <w:pgSz w:w="11900" w:h="16838" w:orient="portrait"/>
          <w:cols w:equalWidth="0" w:num="1">
            <w:col w:w="11400"/>
          </w:cols>
          <w:pgMar w:left="240" w:top="125" w:right="259" w:bottom="0" w:gutter="0" w:footer="0" w:header="0"/>
          <w:type w:val="continuous"/>
        </w:sectPr>
      </w:pPr>
    </w:p>
    <w:bookmarkStart w:id="30" w:name="page31"/>
    <w:bookmarkEnd w:id="30"/>
    <w:p>
      <w:pPr>
        <w:spacing w:after="0" w:line="2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EchoStar Satellite Services segment capital expenditures for the six months ended June 30, 2014 decreased by $12.3 million, or 99.8%, compared to the same period in 2013, primarily related to a decrease in satellite expenditures due to the launch of EchoStar XVI in November 2012 and the satellite being placed into service in January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EchoStar Satellite Services segment EBITDA for the six months ended June 30, 2014 was $197.0 million, an increase of $98.5 million compared to the same period in 2013. The increase in EBITDA for our EchoStar Satellite Services segment was primarily attributable to an increase of $70.1 million in gross margin and a $34.7 million decrease in loss on impairments due to the impairment of our EchoStar XII satellite in June 2013. The increase was partially offset by a non-recurring gain of $6.7 million in 2013 resulting from a reduction of the capital lease obligation for the AMC-16 satellite.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enterprise and consumer broadband services,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“Services and other revenue” also includes revenue associated with satellite and transponder services, satellite uplinking/downlinking and other services provided to customers other than DISH Network.</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 services, satellite uplinking/downlinking, signal processing, conditional access management, telemetry, tracking and control, professional services, facilities rental revenue and other services provided to DISH Network. Beginning in October 2012, “Services and other revenue — DISH Network” also includes subscriber wholesale service fees for the Hughes service sold to dishNET.</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the sales of broadband equipment and networks sold to customers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markets.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primarily includes the cost of broadband services provided to our enterprise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NARRATIVE ANALYSIS OF RESULTS OF OPERATIONS— Continued</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management, telemetry, tracking and control, professional services, facilities rental costs, and other services provided to our customers, including DISH Network.</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markets.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EchoStar, DISH Network and other third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Impairment of long-lived asset. </w:t>
      </w:r>
      <w:r>
        <w:rPr>
          <w:rFonts w:ascii="Arial" w:cs="Arial" w:eastAsia="Arial" w:hAnsi="Arial"/>
          <w:sz w:val="18"/>
          <w:szCs w:val="18"/>
          <w:color w:val="auto"/>
        </w:rPr>
        <w:t>“Impairment of long-lived asset” includes our impairment losses related to our property and equipment.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accretion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debt securities.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long-term debt and capital lease obligations (net of capitalized interest), and amortization of debt issuance costs.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Equity in earnings of unconsolidated affiliates, net. </w:t>
      </w:r>
      <w:r>
        <w:rPr>
          <w:rFonts w:ascii="Arial" w:cs="Arial" w:eastAsia="Arial" w:hAnsi="Arial"/>
          <w:sz w:val="18"/>
          <w:szCs w:val="18"/>
          <w:color w:val="auto"/>
        </w:rPr>
        <w:t>“Equity in earnings of unconsolidated affiliates, net” includes earnings or losses from our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under the equity method.</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and other non-operating income or expense items that are not appropriately classified elsewhere in our Condensed Consolidated Statements of Operations and Comprehensive Income (Loss).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Earnings before interest, taxes, depreciation and amortization (“EBITDA”)</w:t>
      </w:r>
      <w:r>
        <w:rPr>
          <w:rFonts w:ascii="Arial" w:cs="Arial" w:eastAsia="Arial" w:hAnsi="Arial"/>
          <w:sz w:val="16"/>
          <w:szCs w:val="16"/>
          <w:color w:val="auto"/>
        </w:rPr>
        <w:t>. EBITDA is defined as “Net income (loss) attributable to HSS” excluding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 net of amounts capitalized,” “Interest income,” “Income tax benefit (provision), net” and “Depreciation and amortization.” EBITDA is not a measure determined in accordance with GAAP. This non-GAAP measure is reconciled to “Income (loss) before income taxes” in our discussion of “Results of Operations” above. EBITDA should not be considered in isolation or as a substitute for operating income, net income or any other measure determined in accordance with GAAP. Conceptually, EBITDA measures the amount of income generated each period that could be used to service debt, pay taxes and fund capital expenditures. EBITDA is used by our management as a measure of operating efficiency and overall financial performance for benchmarking against our peers and competitors. Management believes EBITDA provides meaningful supplemental information regarding liquidity and the underlying operating</w:t>
      </w:r>
    </w:p>
    <w:p>
      <w:pPr>
        <w:sectPr>
          <w:pgSz w:w="11900" w:h="16865" w:orient="portrait"/>
          <w:cols w:equalWidth="0" w:num="1">
            <w:col w:w="11420"/>
          </w:cols>
          <w:pgMar w:left="240" w:top="341" w:right="239" w:bottom="0" w:gutter="0" w:footer="0" w:header="0"/>
        </w:sectPr>
      </w:pPr>
    </w:p>
    <w:bookmarkStart w:id="31" w:name="page32"/>
    <w:bookmarkEnd w:id="31"/>
    <w:p>
      <w:pPr>
        <w:spacing w:after="0" w:line="1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performance of our business. Management also believes that EBITDA is useful to investors because it is frequently used by securities analysts, investors, and other interested parties to evaluate the performance of companies in our industry.</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includes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15d-15(f) under the Securities Exchange Act of 1934) that occurred during the second quarter of 2014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a discussion of legal proceedings see Part I, Item 1. Financial Statements — Note 12 “Commitments and Contingencies — Litigation”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Item 1A, “Risk Factors,” of our Annual Report on Form 10-K for the year ended December 31, 2013 includes a detailed discussion of our risk factors. Except as provided below, for the six months ended June 30, 2014, there have been no material changes in our risk factors as previously disclosed.</w:t>
      </w:r>
    </w:p>
    <w:p>
      <w:pPr>
        <w:spacing w:after="0" w:line="14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Our capital structure may create conflicts of interest for our board of directors and management, and our board of directors may make decisions that could adversely affect only one group of holders.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preferred tracking stock capital structure could give rise to occasions when the interests of holders of stock of one group might diverge or appear to diverge from the interests of holders of stock of the other group and our board of directors or officers could make decisions that could adversely affect only one group of holders. Colorado law requires that our board of directors and officers act in good faith, with the care an ordinarily prudent person in a like position would exercise under similar circumstances and in a manner they reasonably believe to be in the best interests of the company and are not required to consider, as a dominant factor, the effect of a proposed corporate action upon any particular group of shareholders. Decisions deemed to be in the best interests of our company may not always align with the best interests of a particular group of our shareholders when considered independently. Examples include:</w:t>
      </w:r>
    </w:p>
    <w:p>
      <w:pPr>
        <w:spacing w:after="0" w:line="189" w:lineRule="exact"/>
        <w:rPr>
          <w:sz w:val="20"/>
          <w:szCs w:val="20"/>
          <w:color w:val="auto"/>
        </w:rPr>
      </w:pPr>
    </w:p>
    <w:p>
      <w:pPr>
        <w:ind w:left="660" w:right="200" w:hanging="328"/>
        <w:spacing w:after="0" w:line="258"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HSSC Group and the Hughes Retail Group and the terms of any reattributions of assets between the groups;</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our groups;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the disposition of assets of either of our groups.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as the Tracking Stock is currently held by DISH Network, questions relating to conflicts of interest may also arise between DISH Network and us due to EchoStar and DISH Network’s common ownership and management.</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Provisions of Colorado law and our articles of incorporation may protect decisions of our board of directors and officers that have a disparate impact on one group of shareholders. Our shareholders may have limited or no legal remedies under Colorado law with respect to such decisions even if the actions of our directors or officers adversely affect the market value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has the ability to change our attribution policies at any time without a vote of our common shareholders.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board of directors has adopted a policy statement (the “Policy Statement”) regarding the relationships between the HSSC Group and the Hughes Retail Group with respect to matters such as the attribution and allocation of costs, tax liabilities and benefits, attribution of assets, corporate opportunities and similar items. Our board of directors may at any time change or make exceptions to the Policy Statement with only the consent of holders of a majority of the outstanding shares of Hughes Retail Preferred Tracking Stock. Because these policies relate to matters concerning the day-to-day management of our</w:t>
      </w:r>
    </w:p>
    <w:p>
      <w:pPr>
        <w:sectPr>
          <w:pgSz w:w="11900" w:h="16945" w:orient="portrait"/>
          <w:cols w:equalWidth="0" w:num="1">
            <w:col w:w="11420"/>
          </w:cols>
          <w:pgMar w:left="240" w:top="125" w:right="239" w:bottom="0" w:gutter="0" w:footer="0" w:header="0"/>
        </w:sectPr>
      </w:pPr>
    </w:p>
    <w:bookmarkStart w:id="32" w:name="page33"/>
    <w:bookmarkEnd w:id="32"/>
    <w:p>
      <w:pPr>
        <w:ind w:right="20"/>
        <w:spacing w:after="0" w:line="308" w:lineRule="auto"/>
        <w:rPr>
          <w:sz w:val="20"/>
          <w:szCs w:val="20"/>
          <w:color w:val="auto"/>
        </w:rPr>
      </w:pPr>
      <w:r>
        <w:rPr>
          <w:rFonts w:ascii="Arial" w:cs="Arial" w:eastAsia="Arial" w:hAnsi="Arial"/>
          <w:sz w:val="17"/>
          <w:szCs w:val="17"/>
          <w:color w:val="auto"/>
        </w:rPr>
        <w:t>company as opposed to significant corporate actions, such as a merger involving the Company or a sale of substantially all of our assets, no approval from our common shareholders is required with respect to the changes or exceptions to the Policy Statement. A decision to change,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exceptions to these policies or adopt additional policies could disadvantage one group while advantaging the other.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required to use assets attributed to one group to pay liabilities attributed to the other group.</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Even though we attribute, for financial reporting purposes, all of our consolidated assets, liabilities, revenue, expenses and cash flows to either the HSSC Group or the Hughes Retail Group and prepare separate attributed financial information for the Hughes Retail Group, we retain legal title to all of our assets and our capitalization will not limit our legal responsibility, or that of our subsidiaries, for the liabilities included in our financial statements and such attributed financial information. As such, the assets attributed to one group are potentially subject to the liabilities attributed to the other group, even if those liabilities arise from lawsuits, contracts or indebtedness that are attributed to such other group. Although the Policy Statement generally requires that all changes in the attribution of assets from one group to the other group will be made on a fair value basis as determined in accordance with certain guiding principles, these policies and our articles of incorporation generally do not prevent us from satisfying liabilities of one group with assets of the other group, and our creditors are not limited by our tracking stock capitalization from proceeding against any assets they could have proceeded against if we did not have a tracking stock capitalization.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960" w:type="dxa"/>
            <w:vAlign w:val="bottom"/>
            <w:tcBorders>
              <w:bottom w:val="single" w:sz="8" w:color="auto"/>
            </w:tcBorders>
          </w:tcPr>
          <w:p>
            <w:pPr>
              <w:ind w:left="36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340" w:type="dxa"/>
            <w:vAlign w:val="bottom"/>
          </w:tcPr>
          <w:p>
            <w:pPr>
              <w:ind w:left="380"/>
              <w:spacing w:after="0"/>
              <w:rPr>
                <w:sz w:val="20"/>
                <w:szCs w:val="20"/>
                <w:color w:val="auto"/>
              </w:rPr>
            </w:pPr>
            <w:r>
              <w:rPr>
                <w:rFonts w:ascii="Arial" w:cs="Arial" w:eastAsia="Arial" w:hAnsi="Arial"/>
                <w:sz w:val="18"/>
                <w:szCs w:val="18"/>
                <w:color w:val="auto"/>
              </w:rPr>
              <w:t>31.1(H)</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w w:val="90"/>
              </w:rPr>
              <w:t>Section 302</w:t>
            </w:r>
          </w:p>
        </w:tc>
        <w:tc>
          <w:tcPr>
            <w:tcW w:w="89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432"/>
        </w:trPr>
        <w:tc>
          <w:tcPr>
            <w:tcW w:w="1340" w:type="dxa"/>
            <w:vAlign w:val="bottom"/>
          </w:tcPr>
          <w:p>
            <w:pPr>
              <w:ind w:left="380"/>
              <w:spacing w:after="0"/>
              <w:rPr>
                <w:sz w:val="20"/>
                <w:szCs w:val="20"/>
                <w:color w:val="auto"/>
              </w:rPr>
            </w:pPr>
            <w:r>
              <w:rPr>
                <w:rFonts w:ascii="Arial" w:cs="Arial" w:eastAsia="Arial" w:hAnsi="Arial"/>
                <w:sz w:val="18"/>
                <w:szCs w:val="18"/>
                <w:color w:val="auto"/>
              </w:rPr>
              <w:t>31.2(H)</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w w:val="90"/>
              </w:rPr>
              <w:t>Section 302</w:t>
            </w:r>
          </w:p>
        </w:tc>
        <w:tc>
          <w:tcPr>
            <w:tcW w:w="89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r>
      <w:tr>
        <w:trPr>
          <w:trHeight w:val="432"/>
        </w:trPr>
        <w:tc>
          <w:tcPr>
            <w:tcW w:w="1340" w:type="dxa"/>
            <w:vAlign w:val="bottom"/>
          </w:tcPr>
          <w:p>
            <w:pPr>
              <w:ind w:left="380"/>
              <w:spacing w:after="0"/>
              <w:rPr>
                <w:sz w:val="20"/>
                <w:szCs w:val="20"/>
                <w:color w:val="auto"/>
              </w:rPr>
            </w:pPr>
            <w:r>
              <w:rPr>
                <w:rFonts w:ascii="Arial" w:cs="Arial" w:eastAsia="Arial" w:hAnsi="Arial"/>
                <w:sz w:val="18"/>
                <w:szCs w:val="18"/>
                <w:color w:val="auto"/>
              </w:rPr>
              <w:t>32.1(H)</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w w:val="90"/>
              </w:rPr>
              <w:t>Section 906</w:t>
            </w:r>
          </w:p>
        </w:tc>
        <w:tc>
          <w:tcPr>
            <w:tcW w:w="8960" w:type="dxa"/>
            <w:vAlign w:val="bottom"/>
          </w:tcPr>
          <w:p>
            <w:pPr>
              <w:ind w:left="20"/>
              <w:spacing w:after="0"/>
              <w:rPr>
                <w:sz w:val="20"/>
                <w:szCs w:val="20"/>
                <w:color w:val="auto"/>
              </w:rPr>
            </w:pPr>
            <w:r>
              <w:rPr>
                <w:rFonts w:ascii="Arial" w:cs="Arial" w:eastAsia="Arial" w:hAnsi="Arial"/>
                <w:sz w:val="18"/>
                <w:szCs w:val="18"/>
                <w:color w:val="auto"/>
              </w:rPr>
              <w:t>Certifications of Chief Executive Officer and Chief Financial Officer.</w:t>
            </w:r>
          </w:p>
        </w:tc>
      </w:tr>
      <w:tr>
        <w:trPr>
          <w:trHeight w:val="432"/>
        </w:trPr>
        <w:tc>
          <w:tcPr>
            <w:tcW w:w="1340" w:type="dxa"/>
            <w:vAlign w:val="bottom"/>
          </w:tcPr>
          <w:p>
            <w:pPr>
              <w:ind w:left="380"/>
              <w:spacing w:after="0"/>
              <w:rPr>
                <w:sz w:val="20"/>
                <w:szCs w:val="20"/>
                <w:color w:val="auto"/>
              </w:rPr>
            </w:pPr>
            <w:r>
              <w:rPr>
                <w:rFonts w:ascii="Arial" w:cs="Arial" w:eastAsia="Arial" w:hAnsi="Arial"/>
                <w:sz w:val="18"/>
                <w:szCs w:val="18"/>
                <w:color w:val="auto"/>
              </w:rPr>
              <w:t>99.1(H)</w:t>
            </w:r>
          </w:p>
        </w:tc>
        <w:tc>
          <w:tcPr>
            <w:tcW w:w="10080" w:type="dxa"/>
            <w:vAlign w:val="bottom"/>
            <w:gridSpan w:val="3"/>
          </w:tcPr>
          <w:p>
            <w:pPr>
              <w:ind w:left="240"/>
              <w:spacing w:after="0"/>
              <w:rPr>
                <w:sz w:val="20"/>
                <w:szCs w:val="20"/>
                <w:color w:val="auto"/>
              </w:rPr>
            </w:pPr>
            <w:r>
              <w:rPr>
                <w:rFonts w:ascii="Arial" w:cs="Arial" w:eastAsia="Arial" w:hAnsi="Arial"/>
                <w:sz w:val="18"/>
                <w:szCs w:val="18"/>
                <w:color w:val="auto"/>
              </w:rPr>
              <w:t>Unaudited Condensed Attributed Financial Information and Notes for Hughes Retail Group.</w:t>
            </w:r>
          </w:p>
        </w:tc>
      </w:tr>
    </w:tbl>
    <w:p>
      <w:pPr>
        <w:spacing w:after="0" w:line="202" w:lineRule="exact"/>
        <w:rPr>
          <w:sz w:val="20"/>
          <w:szCs w:val="20"/>
          <w:color w:val="auto"/>
        </w:rPr>
      </w:pPr>
    </w:p>
    <w:p>
      <w:pPr>
        <w:ind w:left="1580" w:hanging="1045"/>
        <w:spacing w:after="0"/>
        <w:tabs>
          <w:tab w:leader="none" w:pos="15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following materials from the Quarterly Report on Form 10-Q of Hughes Satellite Systems Corporation for the quarter ended</w:t>
      </w:r>
    </w:p>
    <w:p>
      <w:pPr>
        <w:spacing w:after="0" w:line="34" w:lineRule="exact"/>
        <w:rPr>
          <w:rFonts w:ascii="Arial" w:cs="Arial" w:eastAsia="Arial" w:hAnsi="Arial"/>
          <w:sz w:val="17"/>
          <w:szCs w:val="17"/>
          <w:color w:val="auto"/>
        </w:rPr>
      </w:pPr>
    </w:p>
    <w:p>
      <w:pPr>
        <w:ind w:left="1580" w:right="140"/>
        <w:spacing w:after="0" w:line="255" w:lineRule="auto"/>
        <w:rPr>
          <w:rFonts w:ascii="Arial" w:cs="Arial" w:eastAsia="Arial" w:hAnsi="Arial"/>
          <w:sz w:val="17"/>
          <w:szCs w:val="17"/>
          <w:color w:val="auto"/>
        </w:rPr>
      </w:pPr>
      <w:r>
        <w:rPr>
          <w:rFonts w:ascii="Arial" w:cs="Arial" w:eastAsia="Arial" w:hAnsi="Arial"/>
          <w:sz w:val="18"/>
          <w:szCs w:val="18"/>
          <w:color w:val="auto"/>
        </w:rPr>
        <w:t>June 30, 2014, filed on August 7, 2014, formatted in eXtensible Business Reporting Language (“XBRL”): (i) Condensed Consolidated Balance Sheets, (ii) Condensed Consolidated Statements of Operations and Comprehensive Income (Loss), (iii) Condensed Consolidated Statements of Cash Flows and (iv) related notes to these financial statements.</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420" w:hanging="340"/>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-198755</wp:posOffset>
            </wp:positionV>
            <wp:extent cx="16205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HUGHES SATELLITE SYSTEMS CORPORATION</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 August 7, 2014</w:t>
            </w:r>
          </w:p>
        </w:tc>
        <w:tc>
          <w:tcPr>
            <w:tcW w:w="256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195"/>
        </w:trPr>
        <w:tc>
          <w:tcPr>
            <w:tcW w:w="3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r>
      <w:tr>
        <w:trPr>
          <w:trHeight w:val="216"/>
        </w:trPr>
        <w:tc>
          <w:tcPr>
            <w:tcW w:w="36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3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(Duly Authorized Officer)</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 August 7, 2014</w:t>
            </w:r>
          </w:p>
        </w:tc>
        <w:tc>
          <w:tcPr>
            <w:tcW w:w="2560" w:type="dxa"/>
            <w:vAlign w:val="bottom"/>
          </w:tcPr>
          <w:p>
            <w:pPr>
              <w:ind w:left="20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195"/>
        </w:trPr>
        <w:tc>
          <w:tcPr>
            <w:tcW w:w="3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r>
      <w:tr>
        <w:trPr>
          <w:trHeight w:val="216"/>
        </w:trPr>
        <w:tc>
          <w:tcPr>
            <w:tcW w:w="36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3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420"/>
          </w:cols>
          <w:pgMar w:left="240" w:top="125" w:right="239" w:bottom="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25" w:lineRule="exact"/>
        <w:rPr>
          <w:rFonts w:ascii="Arial" w:cs="Arial" w:eastAsia="Arial" w:hAnsi="Arial"/>
          <w:sz w:val="18"/>
          <w:szCs w:val="18"/>
          <w:color w:val="auto"/>
        </w:rPr>
      </w:pPr>
    </w:p>
    <w:p>
      <w:pPr>
        <w:ind w:left="260" w:right="240" w:hanging="252"/>
        <w:spacing w:after="0" w:line="342"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700" w:hanging="252"/>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60" w:hanging="252"/>
        <w:spacing w:after="0" w:line="264"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5"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440" w:hanging="252"/>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T. Dugan</w:t>
            </w:r>
          </w:p>
        </w:tc>
        <w:tc>
          <w:tcPr>
            <w:tcW w:w="5740" w:type="dxa"/>
            <w:vAlign w:val="bottom"/>
          </w:tcPr>
          <w:p>
            <w:pPr>
              <w:spacing w:after="0"/>
              <w:rPr>
                <w:sz w:val="20"/>
                <w:szCs w:val="20"/>
                <w:color w:val="auto"/>
              </w:rPr>
            </w:pP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c>
          <w:tcPr>
            <w:tcW w:w="574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57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5740" w:type="dxa"/>
            <w:vAlign w:val="bottom"/>
          </w:tcPr>
          <w:p>
            <w:pPr>
              <w:spacing w:after="0"/>
              <w:rPr>
                <w:sz w:val="20"/>
                <w:szCs w:val="20"/>
                <w:color w:val="auto"/>
              </w:rPr>
            </w:pPr>
          </w:p>
        </w:tc>
      </w:tr>
      <w:tr>
        <w:trPr>
          <w:trHeight w:val="348"/>
        </w:trPr>
        <w:tc>
          <w:tcPr>
            <w:tcW w:w="80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25" w:lineRule="exact"/>
        <w:rPr>
          <w:rFonts w:ascii="Arial" w:cs="Arial" w:eastAsia="Arial" w:hAnsi="Arial"/>
          <w:sz w:val="18"/>
          <w:szCs w:val="18"/>
          <w:color w:val="auto"/>
        </w:rPr>
      </w:pPr>
    </w:p>
    <w:p>
      <w:pPr>
        <w:ind w:left="300" w:right="180" w:hanging="292"/>
        <w:spacing w:after="0" w:line="342" w:lineRule="auto"/>
        <w:tabs>
          <w:tab w:leader="none" w:pos="2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00" w:right="640" w:hanging="292"/>
        <w:spacing w:after="0" w:line="308" w:lineRule="auto"/>
        <w:tabs>
          <w:tab w:leader="none" w:pos="299"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00" w:right="260" w:hanging="292"/>
        <w:spacing w:after="0" w:line="264" w:lineRule="auto"/>
        <w:tabs>
          <w:tab w:leader="none" w:pos="2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5"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00" w:right="380" w:hanging="292"/>
        <w:spacing w:after="0" w:line="308" w:lineRule="auto"/>
        <w:tabs>
          <w:tab w:leader="none" w:pos="29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5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J. Rayner</w:t>
            </w:r>
          </w:p>
        </w:tc>
        <w:tc>
          <w:tcPr>
            <w:tcW w:w="5740" w:type="dxa"/>
            <w:vAlign w:val="bottom"/>
          </w:tcPr>
          <w:p>
            <w:pPr>
              <w:spacing w:after="0"/>
              <w:rPr>
                <w:sz w:val="20"/>
                <w:szCs w:val="20"/>
                <w:color w:val="auto"/>
              </w:rPr>
            </w:pP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c>
          <w:tcPr>
            <w:tcW w:w="5740" w:type="dxa"/>
            <w:vAlign w:val="bottom"/>
          </w:tcPr>
          <w:p>
            <w:pPr>
              <w:spacing w:after="0"/>
              <w:rPr>
                <w:sz w:val="16"/>
                <w:szCs w:val="16"/>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w w:val="97"/>
              </w:rPr>
              <w:t>Executive Vice President, Chief Financial Officer and Treasurer</w:t>
            </w:r>
          </w:p>
        </w:tc>
        <w:tc>
          <w:tcPr>
            <w:tcW w:w="57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5740" w:type="dxa"/>
            <w:vAlign w:val="bottom"/>
          </w:tcPr>
          <w:p>
            <w:pPr>
              <w:spacing w:after="0"/>
              <w:rPr>
                <w:sz w:val="20"/>
                <w:szCs w:val="20"/>
                <w:color w:val="auto"/>
              </w:rPr>
            </w:pPr>
          </w:p>
        </w:tc>
      </w:tr>
      <w:tr>
        <w:trPr>
          <w:trHeight w:val="348"/>
        </w:trPr>
        <w:tc>
          <w:tcPr>
            <w:tcW w:w="80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for the quarter ended June 30, 2014 on Form 10-Q (the “Quarterly Report”) of Hughes Satellite Systems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880" w:right="380" w:hanging="432"/>
        <w:spacing w:after="0" w:line="277" w:lineRule="auto"/>
        <w:tabs>
          <w:tab w:leader="none" w:pos="8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880" w:right="160" w:hanging="432"/>
        <w:spacing w:after="0" w:line="277" w:lineRule="auto"/>
        <w:tabs>
          <w:tab w:leader="none" w:pos="9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T. Dugan</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Michael T. Dugan</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8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J. Rayner</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David J. Rayner</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w w:val="95"/>
              </w:rPr>
              <w:t>Executive Vice President, Chief Financial Officer and Treasurer</w:t>
            </w:r>
          </w:p>
        </w:tc>
      </w:tr>
      <w:tr>
        <w:trPr>
          <w:trHeight w:val="230"/>
        </w:trPr>
        <w:tc>
          <w:tcPr>
            <w:tcW w:w="8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line="62"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Attributed Financial Information for Hughes Retail Group</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 2014, EchoStar Corporation (“EchoStar”)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certain subsidiaries of DISH Network Corporation.</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Tracking Stock is intended to reflect the separate performance of the Hughes Retail Group, which is comprised primarily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is comprised of all existing and future businesses of Hughes Satellite Systems Corporation and its subsidiaries, excluding the Hughes Retail Group.</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Holders of the Tracking Stock and our common stock are holders of capital stock of the issuer (EchoStar or HSS) and are subject to risks associated with an investment in the issuer and all of its businesses, assets and liabilities. The issuance of the Tracking Stock does not affect the rights of our creditors or the creditors of our subsidiaries. Notwithstanding the following attribution of assets, liabilities, revenue, expenses and cash flows to the Hughes Retail Group and the HSSC Group, our tracking stock structure does not affect the ownership or the legal title to our assets or responsibility for our liabilities.</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accompanying condensed attributed financial information as of, and for, the three and six months ended June 30, 2014 and 2013 and the year ended December 31, 2013 are unaudited. The Company’s management is solely responsible for this financial information and believes that it has been prepared in conformity with accounting principles generally accepted in the United States.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following tables present our consolidated assets and liabilities as of June 30, 2014 and December 31, 2013 and our consolidated revenue, expenses and cash flows for the three and six months ended June 30, 2014 and 2013. The tables further present our assets, liabilities, revenue, expenses and cash flows that are attributed to the Hughes Retail Group as if that business and its assets had been attributed to that group at the beginning of each period. As a result of our Policy Statement adopted as of March 1, 2014, we used different attribution methods for certain items in periods prior to March 1, 2014. Therefore, the attributed financial position, results of operations and cash flows of the Hughes Retail Group and all other operations are not directly comparable to the corresponding attributed financial information for periods after March 1, 2014. The financial information in this Exhibit should be read in conjunction with our unaudited condensed consolidated financial statements for the period ended June 30, 2014 included in our Quarterly Report on Form 10-Q.</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0" w:type="dxa"/>
            <w:vAlign w:val="bottom"/>
            <w:gridSpan w:val="13"/>
          </w:tcPr>
          <w:p>
            <w:pPr>
              <w:jc w:val="center"/>
              <w:ind w:right="500"/>
              <w:spacing w:after="0"/>
              <w:rPr>
                <w:sz w:val="20"/>
                <w:szCs w:val="20"/>
                <w:color w:val="auto"/>
              </w:rPr>
            </w:pPr>
            <w:r>
              <w:rPr>
                <w:rFonts w:ascii="Arial" w:cs="Arial" w:eastAsia="Arial" w:hAnsi="Arial"/>
                <w:sz w:val="18"/>
                <w:szCs w:val="18"/>
                <w:b w:val="1"/>
                <w:bCs w:val="1"/>
                <w:color w:val="auto"/>
                <w:w w:val="88"/>
              </w:rPr>
              <w:t>Condensed Attributed Balance Sheets</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6"/>
          </w:tcPr>
          <w:p>
            <w:pPr>
              <w:jc w:val="center"/>
              <w:ind w:right="420"/>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440"/>
              <w:spacing w:after="0"/>
              <w:rPr>
                <w:sz w:val="20"/>
                <w:szCs w:val="20"/>
                <w:color w:val="auto"/>
              </w:rPr>
            </w:pPr>
            <w:r>
              <w:rPr>
                <w:rFonts w:ascii="Arial" w:cs="Arial" w:eastAsia="Arial" w:hAnsi="Arial"/>
                <w:sz w:val="14"/>
                <w:szCs w:val="14"/>
                <w:b w:val="1"/>
                <w:bCs w:val="1"/>
                <w:color w:val="auto"/>
                <w:w w:val="98"/>
              </w:rPr>
              <w:t>Attributed</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ind w:left="440"/>
              <w:spacing w:after="0"/>
              <w:rPr>
                <w:sz w:val="20"/>
                <w:szCs w:val="20"/>
                <w:color w:val="auto"/>
              </w:rPr>
            </w:pPr>
            <w:r>
              <w:rPr>
                <w:rFonts w:ascii="Arial" w:cs="Arial" w:eastAsia="Arial" w:hAnsi="Arial"/>
                <w:sz w:val="14"/>
                <w:szCs w:val="14"/>
                <w:b w:val="1"/>
                <w:bCs w:val="1"/>
                <w:color w:val="auto"/>
                <w:w w:val="98"/>
              </w:rPr>
              <w:t>Attributed</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As of June 30, 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4"/>
                <w:szCs w:val="14"/>
                <w:b w:val="1"/>
                <w:bCs w:val="1"/>
                <w:color w:val="auto"/>
                <w:w w:val="92"/>
              </w:rPr>
              <w:t>As of December 31, 2013</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Hughes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HSSC</w:t>
            </w:r>
          </w:p>
        </w:tc>
        <w:tc>
          <w:tcPr>
            <w:tcW w:w="92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w w:val="98"/>
              </w:rPr>
              <w:t>Inter-Group</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HSS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Hughes</w:t>
            </w:r>
          </w:p>
        </w:tc>
        <w:tc>
          <w:tcPr>
            <w:tcW w:w="10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HSSC</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Inter-Group</w:t>
            </w:r>
          </w:p>
        </w:tc>
        <w:tc>
          <w:tcPr>
            <w:tcW w:w="140" w:type="dxa"/>
            <w:vAlign w:val="bottom"/>
          </w:tcPr>
          <w:p>
            <w:pPr>
              <w:spacing w:after="0"/>
              <w:rPr>
                <w:sz w:val="10"/>
                <w:szCs w:val="10"/>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HSS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Retail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Retail</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Group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Group</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Group</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29"/>
        </w:trPr>
        <w:tc>
          <w:tcPr>
            <w:tcW w:w="3720" w:type="dxa"/>
            <w:vAlign w:val="bottom"/>
            <w:tcBorders>
              <w:top w:val="single" w:sz="8" w:color="CCEEFF"/>
            </w:tcBorders>
            <w:shd w:val="clear" w:color="auto" w:fill="CCEEFF"/>
          </w:tcPr>
          <w:p>
            <w:pPr>
              <w:ind w:left="1580"/>
              <w:spacing w:after="0" w:line="129"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Cash, cash equivalents and marketable investment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471,301</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471,301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280,569</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280,569</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Trade accounts receivable, net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120,919</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149,767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24,466</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108,489</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132,955</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Trade accounts receivable - DISH Network, net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18,562</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68,091</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68,091</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Inventory</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47,755</w:t>
            </w:r>
          </w:p>
        </w:tc>
        <w:tc>
          <w:tcPr>
            <w:tcW w:w="2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53,718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10,004</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46,989</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56,993</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Deferred tax assets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58,486</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63,756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4,143</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59,643</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63,786</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Prepaids and deposits</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29,478</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29,960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814</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26,313</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27,127</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Inter-group advances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9,166</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11,257</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11,257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28,129</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28,129</w:t>
            </w:r>
          </w:p>
        </w:tc>
        <w:tc>
          <w:tcPr>
            <w:tcW w:w="0" w:type="dxa"/>
            <w:vAlign w:val="bottom"/>
          </w:tcPr>
          <w:p>
            <w:pPr>
              <w:spacing w:after="0"/>
              <w:rPr>
                <w:sz w:val="1"/>
                <w:szCs w:val="1"/>
                <w:color w:val="auto"/>
              </w:rPr>
            </w:pPr>
          </w:p>
        </w:tc>
      </w:tr>
      <w:tr>
        <w:trPr>
          <w:trHeight w:val="142"/>
        </w:trPr>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current assets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42,402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766,924</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(11,005)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798,321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39,427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618,223</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657,650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line="129" w:lineRule="exact"/>
              <w:rPr>
                <w:sz w:val="20"/>
                <w:szCs w:val="20"/>
                <w:color w:val="auto"/>
              </w:rPr>
            </w:pPr>
            <w:r>
              <w:rPr>
                <w:rFonts w:ascii="Arial" w:cs="Arial" w:eastAsia="Arial" w:hAnsi="Arial"/>
                <w:sz w:val="14"/>
                <w:szCs w:val="14"/>
                <w:b w:val="1"/>
                <w:bCs w:val="1"/>
                <w:color w:val="auto"/>
              </w:rPr>
              <w:t>Noncurrent Assets: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cash and cash equivalents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18,200</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15,114</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15,114</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157,381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2,169,791</w:t>
            </w:r>
          </w:p>
        </w:tc>
        <w:tc>
          <w:tcPr>
            <w:tcW w:w="2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2,324,579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151,023</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1,832,258</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1,983,281</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Regulatory authorizations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471,658</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471,658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471,658</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471,658</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244,173</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504,173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260,000</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244,173</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504,173</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intangible assets, net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63,184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119,487</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182,671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75,280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138,467</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213,747</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Economic interest in Hughes Retail Group</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346,944</w:t>
            </w:r>
          </w:p>
        </w:tc>
        <w:tc>
          <w:tcPr>
            <w:tcW w:w="2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(346,944)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488,852</w:t>
            </w:r>
          </w:p>
        </w:tc>
        <w:tc>
          <w:tcPr>
            <w:tcW w:w="28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w w:val="90"/>
              </w:rPr>
              <w:t>(488,852)</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29,854</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29,854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30,212</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30,212</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Other noncurrent assets, net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43,980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132,596</w:t>
            </w:r>
          </w:p>
        </w:tc>
        <w:tc>
          <w:tcPr>
            <w:tcW w:w="2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176,217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40,272</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125,704</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165,976</w:t>
            </w:r>
          </w:p>
        </w:tc>
        <w:tc>
          <w:tcPr>
            <w:tcW w:w="0" w:type="dxa"/>
            <w:vAlign w:val="bottom"/>
          </w:tcPr>
          <w:p>
            <w:pPr>
              <w:spacing w:after="0"/>
              <w:rPr>
                <w:sz w:val="1"/>
                <w:szCs w:val="1"/>
                <w:color w:val="auto"/>
              </w:rPr>
            </w:pPr>
          </w:p>
        </w:tc>
      </w:tr>
      <w:tr>
        <w:trPr>
          <w:trHeight w:val="142"/>
        </w:trPr>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noncurrent assets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524,545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3,532,703</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(349,896)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3,707,352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526,575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3,346,438</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(488,852)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3,384,161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tcBorders>
              <w:bottom w:val="single" w:sz="8" w:color="CCEEFF"/>
            </w:tcBorders>
          </w:tcPr>
          <w:p>
            <w:pPr>
              <w:ind w:left="540"/>
              <w:spacing w:after="0" w:line="142"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566,947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4,299,627</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(360,901</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4,505,673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566,002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3,964,661</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(488,852</w:t>
            </w:r>
          </w:p>
        </w:tc>
        <w:tc>
          <w:tcPr>
            <w:tcW w:w="160" w:type="dxa"/>
            <w:vAlign w:val="bottom"/>
            <w:tcBorders>
              <w:bottom w:val="single" w:sz="8" w:color="CCEEFF"/>
            </w:tcBorders>
          </w:tcPr>
          <w:p>
            <w:pPr>
              <w:jc w:val="right"/>
              <w:ind w:right="79"/>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4,041,811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720" w:type="dxa"/>
            <w:vAlign w:val="bottom"/>
            <w:shd w:val="clear" w:color="auto" w:fill="CCEEFF"/>
          </w:tcPr>
          <w:p>
            <w:pPr>
              <w:ind w:left="660"/>
              <w:spacing w:after="0" w:line="102" w:lineRule="exact"/>
              <w:rPr>
                <w:sz w:val="20"/>
                <w:szCs w:val="20"/>
                <w:color w:val="auto"/>
              </w:rPr>
            </w:pPr>
            <w:r>
              <w:rPr>
                <w:rFonts w:ascii="Arial" w:cs="Arial" w:eastAsia="Arial" w:hAnsi="Arial"/>
                <w:sz w:val="11"/>
                <w:szCs w:val="11"/>
                <w:b w:val="1"/>
                <w:bCs w:val="1"/>
                <w:color w:val="auto"/>
              </w:rPr>
              <w:t>Liabilities and Stockholders’ Equity</w:t>
            </w: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Trade accounts payable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11,334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75,804</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87,138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91,000</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91,000</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Trade accounts payable - DISH Network</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Current portion of long-term debt and capital lease</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obligations</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48,715</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48,715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67,300</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67,300</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Deferred revenue and prepayments</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22,243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33,732</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55,975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20,999</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34,087</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55,086</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Accrued compensation</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20,839</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19,741</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19,741</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Advances from affiliates, net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28,984</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10,711</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10,711</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Inter-group advances</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Accrued expenses and other</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79,002</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83,183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6,108</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78,453</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84,561</w:t>
            </w:r>
          </w:p>
        </w:tc>
        <w:tc>
          <w:tcPr>
            <w:tcW w:w="0" w:type="dxa"/>
            <w:vAlign w:val="bottom"/>
          </w:tcPr>
          <w:p>
            <w:pPr>
              <w:spacing w:after="0"/>
              <w:rPr>
                <w:sz w:val="1"/>
                <w:szCs w:val="1"/>
                <w:color w:val="auto"/>
              </w:rPr>
            </w:pPr>
          </w:p>
        </w:tc>
      </w:tr>
      <w:tr>
        <w:trPr>
          <w:trHeight w:val="142"/>
        </w:trPr>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287,102</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324,860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27,107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301,297</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328,404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line="129" w:lineRule="exact"/>
              <w:rPr>
                <w:sz w:val="20"/>
                <w:szCs w:val="20"/>
                <w:color w:val="auto"/>
              </w:rPr>
            </w:pPr>
            <w:r>
              <w:rPr>
                <w:rFonts w:ascii="Arial" w:cs="Arial" w:eastAsia="Arial" w:hAnsi="Arial"/>
                <w:sz w:val="14"/>
                <w:szCs w:val="14"/>
                <w:b w:val="1"/>
                <w:bCs w:val="1"/>
                <w:color w:val="auto"/>
              </w:rPr>
              <w:t>Noncurrent Liabilities: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Long-term debt and capital lease obligations, net of</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portion</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2,339,103</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2,339,103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2,351,572</w:t>
            </w:r>
          </w:p>
        </w:tc>
        <w:tc>
          <w:tcPr>
            <w:tcW w:w="2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2,351,572</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30,772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385,539</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416,311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40,225</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226,449</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266,674</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Advances from affiliates, net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8,287</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8,221</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8,221</w:t>
            </w:r>
          </w:p>
        </w:tc>
        <w:tc>
          <w:tcPr>
            <w:tcW w:w="0" w:type="dxa"/>
            <w:vAlign w:val="bottom"/>
          </w:tcPr>
          <w:p>
            <w:pPr>
              <w:spacing w:after="0"/>
              <w:rPr>
                <w:sz w:val="1"/>
                <w:szCs w:val="1"/>
                <w:color w:val="auto"/>
              </w:rPr>
            </w:pPr>
          </w:p>
        </w:tc>
      </w:tr>
      <w:tr>
        <w:trPr>
          <w:trHeight w:val="149"/>
        </w:trPr>
        <w:tc>
          <w:tcPr>
            <w:tcW w:w="3720" w:type="dxa"/>
            <w:vAlign w:val="bottom"/>
          </w:tcPr>
          <w:p>
            <w:pPr>
              <w:ind w:left="180"/>
              <w:spacing w:after="0" w:line="149" w:lineRule="exact"/>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6,647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89,772</w:t>
            </w:r>
          </w:p>
        </w:tc>
        <w:tc>
          <w:tcPr>
            <w:tcW w:w="260" w:type="dxa"/>
            <w:vAlign w:val="bottom"/>
          </w:tcPr>
          <w:p>
            <w:pPr>
              <w:spacing w:after="0"/>
              <w:rPr>
                <w:sz w:val="12"/>
                <w:szCs w:val="12"/>
                <w:color w:val="auto"/>
              </w:rPr>
            </w:pPr>
          </w:p>
        </w:tc>
        <w:tc>
          <w:tcPr>
            <w:tcW w:w="6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96,419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9,818</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52,304</w:t>
            </w:r>
          </w:p>
        </w:tc>
        <w:tc>
          <w:tcPr>
            <w:tcW w:w="28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62,122</w:t>
            </w:r>
          </w:p>
        </w:tc>
        <w:tc>
          <w:tcPr>
            <w:tcW w:w="0" w:type="dxa"/>
            <w:vAlign w:val="bottom"/>
          </w:tcPr>
          <w:p>
            <w:pPr>
              <w:spacing w:after="0"/>
              <w:rPr>
                <w:sz w:val="1"/>
                <w:szCs w:val="1"/>
                <w:color w:val="auto"/>
              </w:rPr>
            </w:pPr>
          </w:p>
        </w:tc>
      </w:tr>
      <w:tr>
        <w:trPr>
          <w:trHeight w:val="142"/>
        </w:trPr>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37,419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2,822,701</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2,860,120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50,043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2,638,546</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2,688,589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20" w:type="dxa"/>
            <w:vAlign w:val="bottom"/>
            <w:tcBorders>
              <w:bottom w:val="single" w:sz="8" w:color="CCEEFF"/>
            </w:tcBorders>
          </w:tcPr>
          <w:p>
            <w:pPr>
              <w:ind w:left="360"/>
              <w:spacing w:after="0" w:line="142" w:lineRule="exact"/>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84,343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3,109,803</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(9,166)</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3,184,980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77,150</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2,939,843</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3,016,993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8" w:name="page39"/>
    <w:bookmarkEnd w:id="3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Equity/ Attributed net assets (liabilities)</w:t>
            </w:r>
          </w:p>
        </w:tc>
        <w:tc>
          <w:tcPr>
            <w:tcW w:w="2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482,604</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1,179,987</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(351,735)</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1,310,856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488,852</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1,015,957</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(488,852)</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1,015,957</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9,837</w:t>
            </w: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9,837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8,861</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8,861</w:t>
            </w: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tcPr>
          <w:p>
            <w:pPr>
              <w:ind w:left="360"/>
              <w:spacing w:after="0" w:line="142" w:lineRule="exact"/>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482,604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1,189,824</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(351,735)</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1,320,693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488,852</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1,024,818</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(488,852)</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1,024,818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720" w:type="dxa"/>
            <w:vAlign w:val="bottom"/>
            <w:shd w:val="clear" w:color="auto" w:fill="CCEEFF"/>
          </w:tcPr>
          <w:p>
            <w:pPr>
              <w:ind w:left="540"/>
              <w:spacing w:after="0" w:line="110" w:lineRule="exact"/>
              <w:rPr>
                <w:sz w:val="20"/>
                <w:szCs w:val="20"/>
                <w:color w:val="auto"/>
              </w:rPr>
            </w:pPr>
            <w:r>
              <w:rPr>
                <w:rFonts w:ascii="Arial" w:cs="Arial" w:eastAsia="Arial" w:hAnsi="Arial"/>
                <w:sz w:val="12"/>
                <w:szCs w:val="12"/>
                <w:color w:val="auto"/>
              </w:rPr>
              <w:t>Total liabilities and equity/ attributed net assets</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566,947</w:t>
            </w:r>
          </w:p>
        </w:tc>
        <w:tc>
          <w:tcPr>
            <w:tcW w:w="10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  4,299,627</w:t>
            </w:r>
          </w:p>
        </w:tc>
        <w:tc>
          <w:tcPr>
            <w:tcW w:w="18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gridSpan w:val="3"/>
            <w:vMerge w:val="restart"/>
            <w:shd w:val="clear" w:color="auto" w:fill="CCEEFF"/>
          </w:tcPr>
          <w:p>
            <w:pPr>
              <w:jc w:val="right"/>
              <w:ind w:right="80"/>
              <w:spacing w:after="0" w:line="263" w:lineRule="exact"/>
              <w:rPr>
                <w:sz w:val="20"/>
                <w:szCs w:val="20"/>
                <w:color w:val="auto"/>
              </w:rPr>
            </w:pPr>
            <w:r>
              <w:rPr>
                <w:rFonts w:ascii="Arial" w:cs="Arial" w:eastAsia="Arial" w:hAnsi="Arial"/>
                <w:sz w:val="14"/>
                <w:szCs w:val="14"/>
                <w:color w:val="auto"/>
              </w:rPr>
              <w:t>(360,901</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4,505,673</w:t>
            </w:r>
          </w:p>
        </w:tc>
        <w:tc>
          <w:tcPr>
            <w:tcW w:w="10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566,002</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w w:val="97"/>
              </w:rPr>
              <w:t>$  3,964,661</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3"/>
            <w:vMerge w:val="restart"/>
            <w:shd w:val="clear" w:color="auto" w:fill="CCEEFF"/>
          </w:tcPr>
          <w:p>
            <w:pPr>
              <w:jc w:val="right"/>
              <w:ind w:right="80"/>
              <w:spacing w:after="0" w:line="263" w:lineRule="exact"/>
              <w:rPr>
                <w:sz w:val="20"/>
                <w:szCs w:val="20"/>
                <w:color w:val="auto"/>
              </w:rPr>
            </w:pPr>
            <w:r>
              <w:rPr>
                <w:rFonts w:ascii="Arial" w:cs="Arial" w:eastAsia="Arial" w:hAnsi="Arial"/>
                <w:sz w:val="14"/>
                <w:szCs w:val="14"/>
                <w:color w:val="auto"/>
              </w:rPr>
              <w:t>(488,852</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4,041,811</w:t>
            </w:r>
          </w:p>
        </w:tc>
        <w:tc>
          <w:tcPr>
            <w:tcW w:w="0" w:type="dxa"/>
            <w:vAlign w:val="bottom"/>
          </w:tcPr>
          <w:p>
            <w:pPr>
              <w:spacing w:after="0"/>
              <w:rPr>
                <w:sz w:val="1"/>
                <w:szCs w:val="1"/>
                <w:color w:val="auto"/>
              </w:rPr>
            </w:pPr>
          </w:p>
        </w:tc>
      </w:tr>
      <w:tr>
        <w:trPr>
          <w:trHeight w:val="154"/>
        </w:trPr>
        <w:tc>
          <w:tcPr>
            <w:tcW w:w="3720" w:type="dxa"/>
            <w:vAlign w:val="bottom"/>
            <w:shd w:val="clear" w:color="auto" w:fill="CCEEFF"/>
          </w:tcPr>
          <w:p>
            <w:pPr>
              <w:ind w:left="720"/>
              <w:spacing w:after="0" w:line="154" w:lineRule="exact"/>
              <w:rPr>
                <w:sz w:val="20"/>
                <w:szCs w:val="20"/>
                <w:color w:val="auto"/>
              </w:rPr>
            </w:pPr>
            <w:r>
              <w:rPr>
                <w:rFonts w:ascii="Arial" w:cs="Arial" w:eastAsia="Arial" w:hAnsi="Arial"/>
                <w:sz w:val="14"/>
                <w:szCs w:val="14"/>
                <w:color w:val="auto"/>
              </w:rPr>
              <w:t>(liabilities)</w:t>
            </w:r>
          </w:p>
        </w:tc>
        <w:tc>
          <w:tcPr>
            <w:tcW w:w="20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080" w:type="dxa"/>
            <w:vAlign w:val="bottom"/>
            <w:gridSpan w:val="3"/>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960" w:type="dxa"/>
            <w:vAlign w:val="bottom"/>
            <w:gridSpan w:val="3"/>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gridSpan w:val="16"/>
          </w:tcPr>
          <w:p>
            <w:pPr>
              <w:jc w:val="center"/>
              <w:ind w:right="140"/>
              <w:spacing w:after="0"/>
              <w:rPr>
                <w:sz w:val="20"/>
                <w:szCs w:val="20"/>
                <w:color w:val="auto"/>
              </w:rPr>
            </w:pPr>
            <w:r>
              <w:rPr>
                <w:rFonts w:ascii="Arial" w:cs="Arial" w:eastAsia="Arial" w:hAnsi="Arial"/>
                <w:sz w:val="18"/>
                <w:szCs w:val="18"/>
                <w:b w:val="1"/>
                <w:bCs w:val="1"/>
                <w:color w:val="auto"/>
                <w:w w:val="90"/>
              </w:rPr>
              <w:t>Condensed Attributed Statements of Operations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6"/>
          </w:tcPr>
          <w:p>
            <w:pPr>
              <w:jc w:val="center"/>
              <w:ind w:right="280"/>
              <w:spacing w:after="0"/>
              <w:rPr>
                <w:sz w:val="20"/>
                <w:szCs w:val="20"/>
                <w:color w:val="auto"/>
              </w:rPr>
            </w:pPr>
            <w:r>
              <w:rPr>
                <w:rFonts w:ascii="Arial" w:cs="Arial" w:eastAsia="Arial" w:hAnsi="Arial"/>
                <w:sz w:val="18"/>
                <w:szCs w:val="18"/>
                <w:color w:val="auto"/>
                <w:w w:val="93"/>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Attributed</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8"/>
              </w:rPr>
              <w:t>Attributed</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w w:val="99"/>
              </w:rPr>
              <w:t>For the Three Months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7"/>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June 30, 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153"/>
              <w:spacing w:after="0"/>
              <w:rPr>
                <w:sz w:val="20"/>
                <w:szCs w:val="20"/>
                <w:color w:val="auto"/>
              </w:rPr>
            </w:pPr>
            <w:r>
              <w:rPr>
                <w:rFonts w:ascii="Arial" w:cs="Arial" w:eastAsia="Arial" w:hAnsi="Arial"/>
                <w:sz w:val="14"/>
                <w:szCs w:val="14"/>
                <w:b w:val="1"/>
                <w:bCs w:val="1"/>
                <w:color w:val="auto"/>
                <w:w w:val="92"/>
              </w:rPr>
              <w:t>June 30, 2013</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Hughes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HSSC</w:t>
            </w:r>
          </w:p>
        </w:tc>
        <w:tc>
          <w:tcPr>
            <w:tcW w:w="8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Inter-Group</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HSS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Hughes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HSSC</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Inter-Group</w:t>
            </w:r>
          </w:p>
        </w:tc>
        <w:tc>
          <w:tcPr>
            <w:tcW w:w="140" w:type="dxa"/>
            <w:vAlign w:val="bottom"/>
          </w:tcPr>
          <w:p>
            <w:pPr>
              <w:spacing w:after="0"/>
              <w:rPr>
                <w:sz w:val="10"/>
                <w:szCs w:val="10"/>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HSS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Retail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Retail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Group</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Group</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Group</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Group</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Services and Equipment revenue - other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138,799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259,820</w:t>
            </w:r>
          </w:p>
        </w:tc>
        <w:tc>
          <w:tcPr>
            <w:tcW w:w="32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(76,138)</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322,481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123,822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177,869</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301,691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Services and Equipment revenue - DISH</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Network</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135,190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135,190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96,180</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138,799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395,010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(76,138)</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457,671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123,822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274,049</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397,871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160"/>
              <w:spacing w:after="0" w:line="201" w:lineRule="exact"/>
              <w:rPr>
                <w:sz w:val="20"/>
                <w:szCs w:val="20"/>
                <w:color w:val="auto"/>
              </w:rPr>
            </w:pPr>
            <w:r>
              <w:rPr>
                <w:rFonts w:ascii="Arial" w:cs="Arial" w:eastAsia="Arial" w:hAnsi="Arial"/>
                <w:sz w:val="18"/>
                <w:szCs w:val="18"/>
                <w:color w:val="auto"/>
                <w:w w:val="98"/>
              </w:rPr>
              <w:t>Cost of sales - (exclusive of depreciation and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81,095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177,476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(72,811)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185,760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62,001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128,755</w:t>
            </w:r>
          </w:p>
        </w:tc>
        <w:tc>
          <w:tcPr>
            <w:tcW w:w="44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190,756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Selling, general and administrative expenses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27,266</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3,682</w:t>
            </w:r>
          </w:p>
        </w:tc>
        <w:tc>
          <w:tcPr>
            <w:tcW w:w="4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115,818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71,572</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101,512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Impairment of long-lived asset</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148,370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295,359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(72,969)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370,760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125,014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231,275</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390,953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99,651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(3,169)</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42,774</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w w:val="99"/>
              </w:rPr>
              <w:t>Interest expense, net of amounts capitalized</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(48,595)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(48,595)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(49,406)</w:t>
            </w:r>
          </w:p>
        </w:tc>
        <w:tc>
          <w:tcPr>
            <w:tcW w:w="4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Equity in losses of unconsolidated affiliates,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160"/>
              <w:spacing w:after="0" w:line="201" w:lineRule="exact"/>
              <w:rPr>
                <w:sz w:val="20"/>
                <w:szCs w:val="20"/>
                <w:color w:val="auto"/>
              </w:rPr>
            </w:pPr>
            <w:r>
              <w:rPr>
                <w:rFonts w:ascii="Arial" w:cs="Arial" w:eastAsia="Arial" w:hAnsi="Arial"/>
                <w:sz w:val="18"/>
                <w:szCs w:val="18"/>
                <w:color w:val="auto"/>
                <w:w w:val="96"/>
              </w:rPr>
              <w:t>Retained interest in earnings (loss) of Hughes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Retail Group</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4,141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44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(50,622)</w:t>
            </w:r>
          </w:p>
        </w:tc>
        <w:tc>
          <w:tcPr>
            <w:tcW w:w="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4,141</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(46,486)</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(50,449)</w:t>
            </w:r>
          </w:p>
        </w:tc>
        <w:tc>
          <w:tcPr>
            <w:tcW w:w="1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(49,729)</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(42,811)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Income tax provision, net</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(16,240)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15,334</w:t>
            </w:r>
          </w:p>
        </w:tc>
        <w:tc>
          <w:tcPr>
            <w:tcW w:w="4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(27,005)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Less: Net income loss attributable to</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44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HSS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102"/>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7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6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auto"/>
                <w:w w:val="90"/>
              </w:rPr>
              <w:t>Condensed Attributed Statements of Operations</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(In thousands)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8"/>
                <w:szCs w:val="18"/>
                <w:color w:val="auto"/>
                <w:w w:val="93"/>
              </w:rPr>
              <w:t>(Unaudited)</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8"/>
              </w:rPr>
              <w:t>Attributed</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8"/>
              </w:rPr>
              <w:t>Attributed</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June 30, 2014</w:t>
            </w: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w w:val="92"/>
              </w:rPr>
              <w:t>June 30, 2013</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9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Hughes</w:t>
            </w:r>
          </w:p>
        </w:tc>
        <w:tc>
          <w:tcPr>
            <w:tcW w:w="40" w:type="dxa"/>
            <w:vAlign w:val="bottom"/>
          </w:tcPr>
          <w:p>
            <w:pPr>
              <w:spacing w:after="0"/>
              <w:rPr>
                <w:sz w:val="10"/>
                <w:szCs w:val="10"/>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HSSC</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Inter-Group</w:t>
            </w:r>
          </w:p>
        </w:tc>
        <w:tc>
          <w:tcPr>
            <w:tcW w:w="60" w:type="dxa"/>
            <w:vAlign w:val="bottom"/>
          </w:tcPr>
          <w:p>
            <w:pPr>
              <w:spacing w:after="0"/>
              <w:rPr>
                <w:sz w:val="10"/>
                <w:szCs w:val="10"/>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HSS</w:t>
            </w:r>
          </w:p>
        </w:tc>
        <w:tc>
          <w:tcPr>
            <w:tcW w:w="80" w:type="dxa"/>
            <w:vAlign w:val="bottom"/>
          </w:tcPr>
          <w:p>
            <w:pPr>
              <w:spacing w:after="0"/>
              <w:rPr>
                <w:sz w:val="10"/>
                <w:szCs w:val="10"/>
                <w:color w:val="auto"/>
              </w:rPr>
            </w:pP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Hughes</w:t>
            </w: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HSSC</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Inter-Group</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HSS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Retail</w:t>
            </w: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Retail</w:t>
            </w:r>
          </w:p>
        </w:tc>
        <w:tc>
          <w:tcPr>
            <w:tcW w:w="94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Group</w:t>
            </w:r>
          </w:p>
        </w:tc>
        <w:tc>
          <w:tcPr>
            <w:tcW w:w="4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Group</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Group</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Group</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Eliminations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Services and Equipment revenue - other</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  275,530</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  453,822</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 (103,372)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625,980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$ 247,596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$ 344,960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592,556</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Services and Equipment revenue - DISH</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246,004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246,004</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167,870</w:t>
            </w:r>
          </w:p>
        </w:tc>
        <w:tc>
          <w:tcPr>
            <w:tcW w:w="4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167,870</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275,530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699,826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(103,372)</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871,984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247,596</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512,830</w:t>
            </w: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760,426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180"/>
              <w:spacing w:after="0" w:line="201" w:lineRule="exact"/>
              <w:rPr>
                <w:sz w:val="20"/>
                <w:szCs w:val="20"/>
                <w:color w:val="auto"/>
              </w:rPr>
            </w:pPr>
            <w:r>
              <w:rPr>
                <w:rFonts w:ascii="Arial" w:cs="Arial" w:eastAsia="Arial" w:hAnsi="Arial"/>
                <w:sz w:val="18"/>
                <w:szCs w:val="18"/>
                <w:color w:val="auto"/>
                <w:w w:val="98"/>
              </w:rPr>
              <w:t>Cost of sales - (exclusive of depreciation 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149,319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314,614</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(98,421)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365,512</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125,617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242,377</w:t>
            </w:r>
          </w:p>
        </w:tc>
        <w:tc>
          <w:tcPr>
            <w:tcW w:w="4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367,994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Selling, general and administrative expenses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69,490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58,309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127,799</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64,073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55,463</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119,536</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9,146</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3,804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6,812</w:t>
            </w:r>
          </w:p>
        </w:tc>
        <w:tc>
          <w:tcPr>
            <w:tcW w:w="4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65,291</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158,870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224,003</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59,966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142,720</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202,686</w:t>
            </w: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Impairment of long-lived asset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34,664</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284,978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253,460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447,372</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159,765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145,524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65,458</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7" w:right="19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w w:val="99"/>
              </w:rPr>
              <w:t>Interest expense, net of amounts capitalized</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(97,343)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(97,342)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(99,030)</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 in earnings of unconsolidated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affiliates, net</w:t>
            </w:r>
          </w:p>
        </w:tc>
        <w:tc>
          <w:tcPr>
            <w:tcW w:w="11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20" w:type="dxa"/>
            <w:vAlign w:val="bottom"/>
          </w:tcPr>
          <w:p>
            <w:pPr>
              <w:ind w:left="180"/>
              <w:spacing w:after="0" w:line="201" w:lineRule="exact"/>
              <w:rPr>
                <w:sz w:val="20"/>
                <w:szCs w:val="20"/>
                <w:color w:val="auto"/>
              </w:rPr>
            </w:pPr>
            <w:r>
              <w:rPr>
                <w:rFonts w:ascii="Arial" w:cs="Arial" w:eastAsia="Arial" w:hAnsi="Arial"/>
                <w:sz w:val="18"/>
                <w:szCs w:val="18"/>
                <w:color w:val="auto"/>
                <w:w w:val="96"/>
              </w:rPr>
              <w:t>Retained interest in earnings (loss) of Hughes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Retail Group</w:t>
            </w:r>
          </w:p>
        </w:tc>
        <w:tc>
          <w:tcPr>
            <w:tcW w:w="116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3,741</w:t>
            </w:r>
          </w:p>
        </w:tc>
        <w:tc>
          <w:tcPr>
            <w:tcW w:w="1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(3,543)</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3,543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Total other income (expense), net</w:t>
            </w: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(97,014)</w:t>
            </w:r>
          </w:p>
        </w:tc>
        <w:tc>
          <w:tcPr>
            <w:tcW w:w="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3,741</w:t>
            </w:r>
          </w:p>
        </w:tc>
        <w:tc>
          <w:tcPr>
            <w:tcW w:w="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(93,277)</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(93,041)</w:t>
            </w:r>
          </w:p>
        </w:tc>
        <w:tc>
          <w:tcPr>
            <w:tcW w:w="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3,543</w:t>
            </w:r>
          </w:p>
        </w:tc>
        <w:tc>
          <w:tcPr>
            <w:tcW w:w="16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(89,498)</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(27,583)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Income tax benefit, net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3,769</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(16,393)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25,890</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9"/>
              </w:rPr>
              <w:t>Less: Net income attributable to noncontrolling</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16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2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attributable to HSS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(5,683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(36,573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gridSpan w:val="15"/>
          </w:tcPr>
          <w:p>
            <w:pPr>
              <w:jc w:val="center"/>
              <w:ind w:right="160"/>
              <w:spacing w:after="0"/>
              <w:rPr>
                <w:sz w:val="20"/>
                <w:szCs w:val="20"/>
                <w:color w:val="auto"/>
              </w:rPr>
            </w:pPr>
            <w:r>
              <w:rPr>
                <w:rFonts w:ascii="Arial" w:cs="Arial" w:eastAsia="Arial" w:hAnsi="Arial"/>
                <w:sz w:val="18"/>
                <w:szCs w:val="18"/>
                <w:b w:val="1"/>
                <w:bCs w:val="1"/>
                <w:color w:val="auto"/>
                <w:w w:val="89"/>
              </w:rPr>
              <w:t>Condensed Attributed Statements of Cash Flows</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6"/>
          </w:tcPr>
          <w:p>
            <w:pPr>
              <w:jc w:val="center"/>
              <w:ind w:right="420"/>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4"/>
          </w:tcPr>
          <w:p>
            <w:pPr>
              <w:jc w:val="center"/>
              <w:ind w:left="300"/>
              <w:spacing w:after="0"/>
              <w:rPr>
                <w:sz w:val="20"/>
                <w:szCs w:val="20"/>
                <w:color w:val="auto"/>
              </w:rPr>
            </w:pPr>
            <w:r>
              <w:rPr>
                <w:rFonts w:ascii="Arial" w:cs="Arial" w:eastAsia="Arial" w:hAnsi="Arial"/>
                <w:sz w:val="14"/>
                <w:szCs w:val="14"/>
                <w:b w:val="1"/>
                <w:bCs w:val="1"/>
                <w:color w:val="auto"/>
                <w:w w:val="98"/>
              </w:rPr>
              <w:t>Attributed</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98"/>
              </w:rPr>
              <w:t>Attributed</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For the Six Months Ended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320"/>
              <w:spacing w:after="0"/>
              <w:rPr>
                <w:sz w:val="20"/>
                <w:szCs w:val="20"/>
                <w:color w:val="auto"/>
              </w:rPr>
            </w:pPr>
            <w:r>
              <w:rPr>
                <w:rFonts w:ascii="Arial" w:cs="Arial" w:eastAsia="Arial" w:hAnsi="Arial"/>
                <w:sz w:val="14"/>
                <w:szCs w:val="14"/>
                <w:b w:val="1"/>
                <w:bCs w:val="1"/>
                <w:color w:val="auto"/>
                <w:w w:val="92"/>
              </w:rPr>
              <w:t>June 30, 2014</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92"/>
              </w:rPr>
              <w:t>June 30, 2013</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Hughes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HSSC</w:t>
            </w:r>
          </w:p>
        </w:tc>
        <w:tc>
          <w:tcPr>
            <w:tcW w:w="80" w:type="dxa"/>
            <w:vAlign w:val="bottom"/>
          </w:tcPr>
          <w:p>
            <w:pPr>
              <w:spacing w:after="0"/>
              <w:rPr>
                <w:sz w:val="10"/>
                <w:szCs w:val="10"/>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Inter-Group</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HSS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Hughes</w:t>
            </w:r>
          </w:p>
        </w:tc>
        <w:tc>
          <w:tcPr>
            <w:tcW w:w="140" w:type="dxa"/>
            <w:vAlign w:val="bottom"/>
          </w:tcPr>
          <w:p>
            <w:pPr>
              <w:spacing w:after="0"/>
              <w:rPr>
                <w:sz w:val="10"/>
                <w:szCs w:val="10"/>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HSSC</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Inter-Group</w:t>
            </w:r>
          </w:p>
        </w:tc>
        <w:tc>
          <w:tcPr>
            <w:tcW w:w="140" w:type="dxa"/>
            <w:vAlign w:val="bottom"/>
          </w:tcPr>
          <w:p>
            <w:pPr>
              <w:spacing w:after="0"/>
              <w:rPr>
                <w:sz w:val="10"/>
                <w:szCs w:val="10"/>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HSS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Retail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Retail</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Group</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Group</w:t>
            </w:r>
          </w:p>
        </w:tc>
        <w:tc>
          <w:tcPr>
            <w:tcW w:w="80" w:type="dxa"/>
            <w:vAlign w:val="bottom"/>
          </w:tcPr>
          <w:p>
            <w:pPr>
              <w:spacing w:after="0"/>
              <w:rPr>
                <w:sz w:val="14"/>
                <w:szCs w:val="1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Group</w:t>
            </w: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Group</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(5,683)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46,358</w:t>
            </w:r>
          </w:p>
        </w:tc>
        <w:tc>
          <w:tcPr>
            <w:tcW w:w="420" w:type="dxa"/>
            <w:vAlign w:val="bottom"/>
            <w:gridSpan w:val="2"/>
          </w:tcPr>
          <w:p>
            <w:pPr>
              <w:jc w:val="right"/>
              <w:ind w:right="187"/>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(1,052)</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39,623</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(3,543)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(36,357)</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3,543</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(36,357)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flows from operating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65,291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158,870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224,003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59,966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142,720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202,686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in earnings of unconsolidated affiliate</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w:t>
            </w: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60"/>
              <w:spacing w:after="0"/>
              <w:rPr>
                <w:sz w:val="20"/>
                <w:szCs w:val="20"/>
                <w:color w:val="auto"/>
              </w:rPr>
            </w:pPr>
            <w:r>
              <w:rPr>
                <w:rFonts w:ascii="Arial" w:cs="Arial" w:eastAsia="Arial" w:hAnsi="Arial"/>
                <w:sz w:val="16"/>
                <w:szCs w:val="16"/>
                <w:color w:val="auto"/>
              </w:rPr>
              <w:t>Retained interest in loss (earnings) of Hughes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540"/>
              <w:spacing w:after="0"/>
              <w:rPr>
                <w:sz w:val="20"/>
                <w:szCs w:val="20"/>
                <w:color w:val="auto"/>
              </w:rPr>
            </w:pPr>
            <w:r>
              <w:rPr>
                <w:rFonts w:ascii="Arial" w:cs="Arial" w:eastAsia="Arial" w:hAnsi="Arial"/>
                <w:sz w:val="16"/>
                <w:szCs w:val="16"/>
                <w:color w:val="auto"/>
              </w:rPr>
              <w:t>Retail Group</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3,741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(3,741)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3,543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(3,543)</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60"/>
              <w:spacing w:after="0"/>
              <w:rPr>
                <w:sz w:val="20"/>
                <w:szCs w:val="20"/>
                <w:color w:val="auto"/>
              </w:rPr>
            </w:pPr>
            <w:r>
              <w:rPr>
                <w:rFonts w:ascii="Arial" w:cs="Arial" w:eastAsia="Arial" w:hAnsi="Arial"/>
                <w:sz w:val="16"/>
                <w:szCs w:val="16"/>
                <w:color w:val="auto"/>
              </w:rPr>
              <w:t>Realized gains on marketable investment</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540"/>
              <w:spacing w:after="0"/>
              <w:rPr>
                <w:sz w:val="20"/>
                <w:szCs w:val="20"/>
                <w:color w:val="auto"/>
              </w:rPr>
            </w:pPr>
            <w:r>
              <w:rPr>
                <w:rFonts w:ascii="Arial" w:cs="Arial" w:eastAsia="Arial" w:hAnsi="Arial"/>
                <w:sz w:val="16"/>
                <w:szCs w:val="16"/>
                <w:color w:val="auto"/>
              </w:rPr>
              <w:t>securities and other investments, net</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(2,574)</w:t>
            </w:r>
          </w:p>
        </w:tc>
        <w:tc>
          <w:tcPr>
            <w:tcW w:w="3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of long-lived asset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34,664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benefit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5,623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(31,759)</w:t>
            </w: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60"/>
              <w:spacing w:after="0"/>
              <w:rPr>
                <w:sz w:val="20"/>
                <w:szCs w:val="20"/>
                <w:color w:val="auto"/>
              </w:rPr>
            </w:pPr>
            <w:r>
              <w:rPr>
                <w:rFonts w:ascii="Arial" w:cs="Arial" w:eastAsia="Arial" w:hAnsi="Arial"/>
                <w:sz w:val="16"/>
                <w:szCs w:val="16"/>
                <w:color w:val="auto"/>
                <w:w w:val="98"/>
              </w:rPr>
              <w:t>Changes in current assets and current liabilities,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540"/>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50,162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61,545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(37,474)</w:t>
            </w:r>
          </w:p>
        </w:tc>
        <w:tc>
          <w:tcPr>
            <w:tcW w:w="3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(37,834)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noncurrent assets and noncurrent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liabilities,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11,067</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6,199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(2,752)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3,447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(6,925)</w:t>
            </w:r>
          </w:p>
        </w:tc>
        <w:tc>
          <w:tcPr>
            <w:tcW w:w="3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(6,925)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flows from operating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50,952</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281,507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(2,752)</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329,707</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79,736</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121,620</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line="183" w:lineRule="exact"/>
              <w:rPr>
                <w:sz w:val="20"/>
                <w:szCs w:val="20"/>
                <w:color w:val="auto"/>
              </w:rPr>
            </w:pPr>
            <w:r>
              <w:rPr>
                <w:rFonts w:ascii="Arial" w:cs="Arial" w:eastAsia="Arial" w:hAnsi="Arial"/>
                <w:sz w:val="16"/>
                <w:szCs w:val="16"/>
                <w:color w:val="auto"/>
              </w:rPr>
              <w:t>Cash Flows from Investing Activities: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marketable investment securities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(163,798)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(163,798)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(35,964)</w:t>
            </w: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(35,964)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180"/>
              <w:spacing w:after="0"/>
              <w:rPr>
                <w:sz w:val="20"/>
                <w:szCs w:val="20"/>
                <w:color w:val="auto"/>
              </w:rPr>
            </w:pPr>
            <w:r>
              <w:rPr>
                <w:rFonts w:ascii="Arial" w:cs="Arial" w:eastAsia="Arial" w:hAnsi="Arial"/>
                <w:sz w:val="16"/>
                <w:szCs w:val="16"/>
                <w:color w:val="auto"/>
              </w:rPr>
              <w:t>Sales and maturities of marketable investment</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36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74,554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74,554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30,120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30,120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(40,705)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(97,506)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(52,574)</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(49,591)</w:t>
            </w: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(102,165)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80"/>
              <w:spacing w:after="0"/>
              <w:rPr>
                <w:sz w:val="20"/>
                <w:szCs w:val="20"/>
                <w:color w:val="auto"/>
              </w:rPr>
            </w:pPr>
            <w:r>
              <w:rPr>
                <w:rFonts w:ascii="Arial" w:cs="Arial" w:eastAsia="Arial" w:hAnsi="Arial"/>
                <w:sz w:val="16"/>
                <w:szCs w:val="16"/>
                <w:color w:val="auto"/>
              </w:rPr>
              <w:t>Change in restricted cash and cash equivalents</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(3,086)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(3,086)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7,961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7,961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Inter-group advances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(9,166)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(12,316)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(12,316)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(4,613)</w:t>
            </w:r>
          </w:p>
        </w:tc>
        <w:tc>
          <w:tcPr>
            <w:tcW w:w="3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(4,613)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flows from investing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(59,553)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(154,517)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11,918</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(202,152)</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(52,574)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(52,087)</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(104,661)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line="183" w:lineRule="exact"/>
              <w:rPr>
                <w:sz w:val="20"/>
                <w:szCs w:val="20"/>
                <w:color w:val="auto"/>
              </w:rPr>
            </w:pPr>
            <w:r>
              <w:rPr>
                <w:rFonts w:ascii="Arial" w:cs="Arial" w:eastAsia="Arial" w:hAnsi="Arial"/>
                <w:sz w:val="16"/>
                <w:szCs w:val="16"/>
                <w:color w:val="auto"/>
              </w:rPr>
              <w:t>Cash Flows from Financing Activities: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Proceeds from issuance of Hughes Retail preferred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tracking stock, net of offering cost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180"/>
              <w:spacing w:after="0"/>
              <w:rPr>
                <w:sz w:val="20"/>
                <w:szCs w:val="20"/>
                <w:color w:val="auto"/>
              </w:rPr>
            </w:pPr>
            <w:r>
              <w:rPr>
                <w:rFonts w:ascii="Arial" w:cs="Arial" w:eastAsia="Arial" w:hAnsi="Arial"/>
                <w:sz w:val="16"/>
                <w:szCs w:val="16"/>
                <w:color w:val="auto"/>
              </w:rPr>
              <w:t>Repayment of long-term debt and capital lease</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360"/>
              <w:spacing w:after="0"/>
              <w:rPr>
                <w:sz w:val="20"/>
                <w:szCs w:val="20"/>
                <w:color w:val="auto"/>
              </w:rPr>
            </w:pPr>
            <w:r>
              <w:rPr>
                <w:rFonts w:ascii="Arial" w:cs="Arial" w:eastAsia="Arial" w:hAnsi="Arial"/>
                <w:sz w:val="16"/>
                <w:szCs w:val="16"/>
                <w:color w:val="auto"/>
              </w:rPr>
              <w:t>obligations</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(34,604)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(34,604)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(35,172)</w:t>
            </w:r>
          </w:p>
        </w:tc>
        <w:tc>
          <w:tcPr>
            <w:tcW w:w="3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(35,172)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Inter-group advances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(9,166)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180"/>
              <w:spacing w:after="0"/>
              <w:rPr>
                <w:sz w:val="20"/>
                <w:szCs w:val="20"/>
                <w:color w:val="auto"/>
              </w:rPr>
            </w:pPr>
            <w:r>
              <w:rPr>
                <w:rFonts w:ascii="Arial" w:cs="Arial" w:eastAsia="Arial" w:hAnsi="Arial"/>
                <w:sz w:val="16"/>
                <w:szCs w:val="16"/>
                <w:color w:val="auto"/>
                <w:w w:val="99"/>
              </w:rPr>
              <w:t>Inter-group equity contributions (distributions), net</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(565)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10,690</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(10,690)</w:t>
            </w:r>
          </w:p>
        </w:tc>
        <w:tc>
          <w:tcPr>
            <w:tcW w:w="3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(1,907)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(1,907)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flows from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8,601</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(25,345)</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(9,166)</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(25,910)</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10,690</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(45,046)</w:t>
            </w:r>
          </w:p>
        </w:tc>
        <w:tc>
          <w:tcPr>
            <w:tcW w:w="1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(34,356)</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540"/>
              <w:spacing w:after="0" w:line="173" w:lineRule="exact"/>
              <w:rPr>
                <w:sz w:val="20"/>
                <w:szCs w:val="20"/>
                <w:color w:val="auto"/>
              </w:rPr>
            </w:pPr>
            <w:r>
              <w:rPr>
                <w:rFonts w:ascii="Arial" w:cs="Arial" w:eastAsia="Arial" w:hAnsi="Arial"/>
                <w:sz w:val="16"/>
                <w:szCs w:val="16"/>
                <w:color w:val="auto"/>
              </w:rPr>
              <w:t>Effect of exchange rates on cash and cash</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equivalents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6"/>
                <w:szCs w:val="16"/>
                <w:color w:val="auto"/>
                <w:w w:val="97"/>
              </w:rPr>
              <w:t>Net increase (decrease) in cash and cash equivalents</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103,557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103,557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(17,303)</w:t>
            </w:r>
          </w:p>
        </w:tc>
        <w:tc>
          <w:tcPr>
            <w:tcW w:w="1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(17,303)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163,709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163,709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136,219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136,219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Pr>
          <w:p>
            <w:pPr>
              <w:ind w:left="180"/>
              <w:spacing w:after="0"/>
              <w:rPr>
                <w:sz w:val="20"/>
                <w:szCs w:val="20"/>
                <w:color w:val="auto"/>
              </w:rPr>
            </w:pPr>
            <w:r>
              <w:rPr>
                <w:rFonts w:ascii="Arial" w:cs="Arial" w:eastAsia="Arial" w:hAnsi="Arial"/>
                <w:sz w:val="16"/>
                <w:szCs w:val="16"/>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267,266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267,266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118,916</w:t>
            </w: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118,916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ind w:right="207"/>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Hughes Retail Group is generally comprised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consists of all other operations of HSS, including all existing and future businesses other than the Hughes Retail Group. HSS has adopted a policy statement (the “Policy Statement”) as described in Note 2 below, which sets forth management and allocation policies for purposes of attributing all of the business and operations of HSS to either the Hughes Retail Group or the HSSC Group (each as fully defined in the Policy Statement and collectively, the “Groups”).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overall objective of the attributed financial information is to present HSS’ attributed amounts reported in its condensed consolidated financial statements to the Hughes Retail Group and the HSSC Group. The Policy Statement contains specific provisions that determine how certain assets, liabilities, revenue and expenses are attributed to the Groups, effective March 1, 2014. However, the Policy Statement does not explicitly address the attribution of all amounts reported in our condensed consolidated financial statements; accordingly, management applies judgment in attributing certain amounts based on its assessment of the activities of the Groups and the guiding principles set forth in the Policy Statement. In addition, because the Policy Statement was not effective in periods prior to March 1, 2014, it has limited applicability to the attributed financial information for such periods.</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Set forth below is an overview of the Policy Statement and additional discussion about how we have attributed amounts in our condensed consolidated financial statements to the Groups.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Statement</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accordance with the Policy Statement, all existing and future retail subscribers, including related customer contracts, are attributed to the Hughes Retail Group. Assets and liabilities that are directly related to the Hughes Retail Group are attributed to the Hughes Retail Group, including certain accounts receivable, inventory, property and equipment, deferred subscriber acquisition costs, intangible assets and tax related assets and liabilities. To the extent practicable, costs and expenses are attributed without markup to the Hughes Retail Group or the HSSC Group based on specific identification. Common or shared costs, including corporate overhead, are allocated between the Hughes Retail Group and the HSSC Group using objective methods and criteria that reflect the relative usage of the corresponding functions or services. Where resources are shared by the Groups and determinations based on use alone are not practicable, we use other methods and criteria that we believe are fair and result in a reasonable estimate of the costs associated with operation, utilization, and maintenance of such resources to each Group. Such methods and criteria may include allocations based on revenue, operating costs, square footage, headcount or management estimates. Under the documents governing the Tracking Stock, any change in our management’s allocation methodologies requires the consent of the holders of a majority of the outstanding shares of the Tracking Stock, but does not require the consent of our common shareholders.</w:t>
      </w:r>
    </w:p>
    <w:p>
      <w:pPr>
        <w:spacing w:after="0" w:line="18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Hughes Retail Group utilizes broadband satellite capacity that is operated and maintained by the HSSC Group. The Policy Statement provides for a monthly charge to the Hughes Retail Group for its utilization of such capacity based on the number of retail subscribers and revenue per month. In addition, the Policy Statement establishes pricing for the Hughes Retail Group purchases of customer rental equipment from the HSSC Group based on cost plus a fixed margin percentage. Income taxes incurred by HSS and its subsidiaries that include operations of the Hughes Retail Group are allocated between the HSSC Group and the Hughes Retail Group based primarily on the relative amounts of earnings or loss attributable to each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various attributions, allocations and inter-group charges provided for in the Policy Statement generally do not affect the amounts reported in HSS’ Condensed Consolidated Financial Statements, except for effects on the attribution of equity and net income or loss between the holders of Tracking Stock and HSS’ common shareholders. The Policy Statement also does not significantly affect the way that the Hughes segment management assesses operating performance and allocates resources. In addition, our chief operating decision maker reviews the Hughes Retail Group financial information only to the extent such information is included in our periodic filings with the SEC. Therefore we do not consider the Hughes Retail Group to be a separate operating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Attributions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Assets attributed to the Hughes Retail Group based on specific identification consist primarily of trade accounts receivable from retail broadband subscribers, property and equipment (primarily customer rental equipment) used solely in the retail business, and deferred subscriber acquisition costs included in other noncurrent assets. Goodwill and other intangible assets (primarily customer relationships, developed technology and trademarks), which were recognized in connection with our acquisition of Hughes Communications, Inc. in June 2011, were attributed to the Hughes Retail Group based on an analysis of information for the retail business that was available at the acquisition date.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attribution to the Hughes Retail Group has been made for certain significant assets that it shares with the HSSC Group, including regulatory authorizations and property and equipment (such as satellites and related terrestrial facilities), because those assets are operated and maintained by the HSSC Group and it is not practicable to allocate the asset carrying amounts between the Groups. However, the Hughes Retail Group has the right to use such assets and is charged for its use of such assets in accordance with the Policy Statement.</w:t>
      </w:r>
    </w:p>
    <w:p>
      <w:pPr>
        <w:sectPr>
          <w:pgSz w:w="11900" w:h="16838" w:orient="portrait"/>
          <w:cols w:equalWidth="0" w:num="1">
            <w:col w:w="11420"/>
          </w:cols>
          <w:pgMar w:left="240" w:top="580" w:right="239" w:bottom="34" w:gutter="0" w:footer="0" w:header="0"/>
        </w:sectPr>
      </w:pPr>
    </w:p>
    <w:bookmarkStart w:id="41" w:name="page42"/>
    <w:bookmarkEnd w:id="41"/>
    <w:p>
      <w:pPr>
        <w:spacing w:after="0" w:line="3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Liabilities attributed to the Hughes Retail Group based on specific identification consist primarily of customer prepayments and deferred revenue related to retail subscribers and deferred tax liabilities related to assets and liabilities that have been attributed to the Hughes Retail Group. Except to a limited extent, it is not practicable to attribute accounts payable and accrued liabilities to the Hughes Retail Group because those amounts arise from centralized processes managed by the HSSC Group. The Hughes Retail Group generally incurs inter-group payables to all other operations in connection with such centralized processes. As provided in the Policy Statement, none of our long-term debt is attributed to the Hughes Retail Group; however, interest is charged on all inter-group payables.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Attributions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Hughes Retail Group revenue relates to services and equipment provided to retail broadband subscribers and is readily identifiable based on specific identification.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Expenses attributed to the Hughes Retail Group based on specific identification include depreciation of property and equipment and amortization of intangible assets that are attributed to the Hughes Retail Group. Certain other operating expenses, such as compensation of employees that work exclusively in the retail business, are also attributed to the Hughes Retail Group based on specific identification. A substantial portion of Hughes Retail Group cost of sales is based on specific inter-group pricing provisions of the Policy Statement, including a monthly charge per retail subscriber and charges for customer rental equipment at cost plus a fixed margin percentage. Hughes Retail Group operating expenses also reflect allocations of corporate overhead and other expenses incurred by HSS.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Attributions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Hughes Retail Group participates in HSS’ centralized cash management system and does not maintain separate cash accounts. Under the centralized cash management system, net advances of cash to or from the Hughes Retail Group are reflected in an inter-group receivable or payable account, which bears interest at the same rate earned by HSS on its cash and marketable investment securities portfolio. There is no allocation of HSS’ long-term debt or related interest costs to the Hughes Retail Group.</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receipts from retail broadband subscribers and payments of certain expenses attributed to the Hughes Retail Group on a specific identification basis generally are reflected in the attributed statements of cash flows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period the cash is received or paid. It is not practicable to determine the timing of related cash disbursements under the centralized cash management system for other costs and expenses attributed to the Hughes Retail Group. The accompanying statements of cash flows generally presents cash flows related to such transactions when they are recognized on an accrual basis in an inter-group receivable or payable account. Periodic changes in inter-group receivables or payables generally are indicative of amounts received or paid by the HSSC Group on behalf of the Hughes Retail Group and are reported in the accompanying attributed statements of cash flows as investing activity for the Group with a net receivable balance or as financing activity for the Group with a net payable balance.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Attributions for Periods Prior to Adoption of the Policy Statement</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Except as discussed below, attributions of assets, liabilities, revenue, expenses and cash flows to the Hughes Retail Group in periods prior to the adoption of the Policy Statement effective March 1, 2014 are substantially as described above. However, because the Policy Statement was not effective, the attributed financial information for periods prior to March 1, 2014 do not reflect retrospective application of specific pricing terms in the Policy Statement, such as the monthly charge per subscriber or the cost-plus-fixed-margin pricing for equipment transfers. In lieu of charges based on such specific terms, the attributed financial information for periods prior to March 1, 2014 reflect actual costs incurred for specifically identified items or are based on allocations of actual costs incurred for shared resources. In addition, because no arrangement for interest-bearing inter-group receivables or payables existed prior to March 1, 2014, no such accounts or related interest are reflected in the attributed financial information for periods prior to March 1, 2014. In such periods, HSS’ equity in the net assets of the Hughes Retail Group is presented as “Equity/ Attributed net assets” and periodic changes in such equity are presented as “Inter-group equity contributions (distributions), net” within financing activities in the attributed statements of cash flows. As a result of our use of different attribution methods for certain items in periods prior to March 1, 2014, the attributed financial position, results of operations and cash flows of the Groups are not directly comparable to the corresponding attributed financial information for periods after March 1, 2014. Accordingly, the attributed financial information for periods prior to March 1, 2014 does not purport to present the attributed financial information that would have resulted if the Policy Statement had been adopted in such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for the Hughes Retail Group consisted of the following:</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Depreciable</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18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Life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110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r>
      <w:tr>
        <w:trPr>
          <w:trHeight w:val="171"/>
        </w:trPr>
        <w:tc>
          <w:tcPr>
            <w:tcW w:w="31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4"/>
          </w:tcPr>
          <w:p>
            <w:pPr>
              <w:jc w:val="right"/>
              <w:ind w:right="858"/>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Customer rental equipment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420,661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361,248</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(263,280)</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(210,225)</w:t>
            </w:r>
          </w:p>
        </w:tc>
      </w:tr>
      <w:tr>
        <w:trPr>
          <w:trHeight w:val="210"/>
        </w:trPr>
        <w:tc>
          <w:tcPr>
            <w:tcW w:w="3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the Hughes Retail Group property and equipment consisted of the following:</w:t>
      </w:r>
    </w:p>
    <w:p>
      <w:pPr>
        <w:spacing w:after="0" w:line="204" w:lineRule="exact"/>
        <w:rPr>
          <w:sz w:val="20"/>
          <w:szCs w:val="20"/>
          <w:color w:val="auto"/>
        </w:rPr>
      </w:pPr>
    </w:p>
    <w:tbl>
      <w:tblPr>
        <w:tblLayout w:type="fixed"/>
        <w:tblInd w:w="4160" w:type="dxa"/>
        <w:tblCellMar>
          <w:top w:w="0" w:type="dxa"/>
          <w:left w:w="0" w:type="dxa"/>
          <w:bottom w:w="0" w:type="dxa"/>
          <w:right w:w="0" w:type="dxa"/>
        </w:tblCellMar>
      </w:tblPr>
      <w:tr>
        <w:trPr>
          <w:trHeight w:val="161"/>
        </w:trPr>
        <w:tc>
          <w:tcPr>
            <w:tcW w:w="2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For the Three Months</w:t>
            </w: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Six Months</w:t>
            </w:r>
          </w:p>
        </w:tc>
      </w:tr>
      <w:tr>
        <w:trPr>
          <w:trHeight w:val="171"/>
        </w:trPr>
        <w:tc>
          <w:tcPr>
            <w:tcW w:w="780" w:type="dxa"/>
            <w:vAlign w:val="bottom"/>
          </w:tcPr>
          <w:p>
            <w:pPr>
              <w:spacing w:after="0"/>
              <w:rPr>
                <w:sz w:val="14"/>
                <w:szCs w:val="14"/>
                <w:color w:val="auto"/>
              </w:rPr>
            </w:pPr>
          </w:p>
        </w:tc>
        <w:tc>
          <w:tcPr>
            <w:tcW w:w="20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3"/>
              </w:rPr>
              <w:t>Ended June 30</w:t>
            </w:r>
          </w:p>
        </w:tc>
        <w:tc>
          <w:tcPr>
            <w:tcW w:w="760" w:type="dxa"/>
            <w:vAlign w:val="bottom"/>
          </w:tcPr>
          <w:p>
            <w:pPr>
              <w:spacing w:after="0"/>
              <w:rPr>
                <w:sz w:val="14"/>
                <w:szCs w:val="14"/>
                <w:color w:val="auto"/>
              </w:rPr>
            </w:pPr>
          </w:p>
        </w:tc>
        <w:tc>
          <w:tcPr>
            <w:tcW w:w="1780" w:type="dxa"/>
            <w:vAlign w:val="bottom"/>
            <w:gridSpan w:val="3"/>
          </w:tcPr>
          <w:p>
            <w:pPr>
              <w:jc w:val="center"/>
              <w:ind w:right="688"/>
              <w:spacing w:after="0"/>
              <w:rPr>
                <w:sz w:val="20"/>
                <w:szCs w:val="20"/>
                <w:color w:val="auto"/>
              </w:rPr>
            </w:pPr>
            <w:r>
              <w:rPr>
                <w:rFonts w:ascii="Arial" w:cs="Arial" w:eastAsia="Arial" w:hAnsi="Arial"/>
                <w:sz w:val="14"/>
                <w:szCs w:val="14"/>
                <w:b w:val="1"/>
                <w:bCs w:val="1"/>
                <w:color w:val="auto"/>
                <w:w w:val="91"/>
              </w:rPr>
              <w:t>Ended June 30</w:t>
            </w:r>
          </w:p>
        </w:tc>
      </w:tr>
      <w:tr>
        <w:trPr>
          <w:trHeight w:val="142"/>
        </w:trPr>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r>
    </w:tbl>
    <w:p>
      <w:pPr>
        <w:spacing w:after="0" w:line="200" w:lineRule="exact"/>
        <w:rPr>
          <w:sz w:val="20"/>
          <w:szCs w:val="20"/>
          <w:color w:val="auto"/>
        </w:rPr>
      </w:pPr>
    </w:p>
    <w:p>
      <w:pPr>
        <w:sectPr>
          <w:pgSz w:w="11900" w:h="16874" w:orient="portrait"/>
          <w:cols w:equalWidth="0" w:num="1">
            <w:col w:w="11420"/>
          </w:cols>
          <w:pgMar w:left="240" w:top="125" w:right="239" w:bottom="0" w:gutter="0" w:footer="0" w:header="0"/>
        </w:sectPr>
      </w:pPr>
    </w:p>
    <w:p>
      <w:pPr>
        <w:spacing w:after="0" w:line="2" w:lineRule="exact"/>
        <w:rPr>
          <w:sz w:val="20"/>
          <w:szCs w:val="20"/>
          <w:color w:val="auto"/>
        </w:rPr>
      </w:pPr>
    </w:p>
    <w:p>
      <w:pPr>
        <w:ind w:left="1300"/>
        <w:spacing w:after="0"/>
        <w:tabs>
          <w:tab w:leader="none" w:pos="4140" w:val="left"/>
          <w:tab w:leader="none" w:pos="4800" w:val="left"/>
          <w:tab w:leader="none" w:pos="5580" w:val="left"/>
          <w:tab w:leader="none" w:pos="6220" w:val="left"/>
          <w:tab w:leader="none" w:pos="7000" w:val="left"/>
          <w:tab w:leader="none" w:pos="7640" w:val="left"/>
          <w:tab w:leader="none" w:pos="8420" w:val="left"/>
          <w:tab w:leader="none" w:pos="9060" w:val="left"/>
        </w:tabs>
        <w:rPr>
          <w:sz w:val="20"/>
          <w:szCs w:val="20"/>
          <w:color w:val="auto"/>
        </w:rPr>
      </w:pPr>
      <w:r>
        <w:rPr>
          <w:rFonts w:ascii="Arial" w:cs="Arial" w:eastAsia="Arial" w:hAnsi="Arial"/>
          <w:sz w:val="18"/>
          <w:szCs w:val="18"/>
          <w:color w:val="auto"/>
        </w:rPr>
        <w:t>Customer rental equipment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27,287</w:t>
        <w:tab/>
        <w:t>$</w:t>
      </w:r>
      <w:r>
        <w:rPr>
          <w:sz w:val="20"/>
          <w:szCs w:val="20"/>
          <w:color w:val="auto"/>
        </w:rPr>
        <w:tab/>
      </w:r>
      <w:r>
        <w:rPr>
          <w:rFonts w:ascii="Arial" w:cs="Arial" w:eastAsia="Arial" w:hAnsi="Arial"/>
          <w:sz w:val="18"/>
          <w:szCs w:val="18"/>
          <w:color w:val="auto"/>
        </w:rPr>
        <w:t>22,394</w:t>
        <w:tab/>
        <w:t>$</w:t>
      </w:r>
      <w:r>
        <w:rPr>
          <w:sz w:val="20"/>
          <w:szCs w:val="20"/>
          <w:color w:val="auto"/>
        </w:rPr>
        <w:tab/>
      </w:r>
      <w:r>
        <w:rPr>
          <w:rFonts w:ascii="Arial" w:cs="Arial" w:eastAsia="Arial" w:hAnsi="Arial"/>
          <w:sz w:val="18"/>
          <w:szCs w:val="18"/>
          <w:color w:val="auto"/>
        </w:rPr>
        <w:t>53,195</w:t>
        <w:tab/>
        <w:t>$</w:t>
      </w:r>
      <w:r>
        <w:rPr>
          <w:sz w:val="20"/>
          <w:szCs w:val="20"/>
          <w:color w:val="auto"/>
        </w:rPr>
        <w:tab/>
      </w:r>
      <w:r>
        <w:rPr>
          <w:rFonts w:ascii="Arial" w:cs="Arial" w:eastAsia="Arial" w:hAnsi="Arial"/>
          <w:sz w:val="16"/>
          <w:szCs w:val="16"/>
          <w:color w:val="auto"/>
        </w:rPr>
        <w:t>44,873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5308600" cy="139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08600" cy="139065"/>
                    </a:xfrm>
                    <a:prstGeom prst="rect">
                      <a:avLst/>
                    </a:prstGeom>
                    <a:noFill/>
                  </pic:spPr>
                </pic:pic>
              </a:graphicData>
            </a:graphic>
          </wp:anchor>
        </w:drawing>
      </w:r>
    </w:p>
    <w:p>
      <w:pPr>
        <w:sectPr>
          <w:pgSz w:w="11900" w:h="16874" w:orient="portrait"/>
          <w:cols w:equalWidth="0" w:num="1">
            <w:col w:w="11420"/>
          </w:cols>
          <w:pgMar w:left="240" w:top="125" w:right="239" w:bottom="0" w:gutter="0" w:footer="0" w:header="0"/>
          <w:type w:val="continuous"/>
        </w:sectPr>
      </w:pPr>
    </w:p>
    <w:bookmarkStart w:id="42" w:name="page43"/>
    <w:bookmarkEnd w:id="42"/>
    <w:p>
      <w:pPr>
        <w:ind w:left="1480"/>
        <w:spacing w:after="0"/>
        <w:tabs>
          <w:tab w:leader="none" w:pos="4140" w:val="left"/>
          <w:tab w:leader="none" w:pos="4800" w:val="left"/>
          <w:tab w:leader="none" w:pos="5580" w:val="left"/>
          <w:tab w:leader="none" w:pos="6220" w:val="left"/>
          <w:tab w:leader="none" w:pos="7000" w:val="left"/>
          <w:tab w:leader="none" w:pos="7640" w:val="left"/>
          <w:tab w:leader="none" w:pos="8420" w:val="left"/>
          <w:tab w:leader="none" w:pos="9060" w:val="left"/>
        </w:tabs>
        <w:rPr>
          <w:sz w:val="20"/>
          <w:szCs w:val="20"/>
          <w:color w:val="auto"/>
        </w:rPr>
      </w:pPr>
      <w:r>
        <w:rPr>
          <w:rFonts w:ascii="Arial" w:cs="Arial" w:eastAsia="Arial" w:hAnsi="Arial"/>
          <w:sz w:val="18"/>
          <w:szCs w:val="18"/>
          <w:color w:val="auto"/>
        </w:rPr>
        <w:t>Total 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27,287</w:t>
        <w:tab/>
        <w:t>$</w:t>
      </w:r>
      <w:r>
        <w:rPr>
          <w:sz w:val="20"/>
          <w:szCs w:val="20"/>
          <w:color w:val="auto"/>
        </w:rPr>
        <w:tab/>
      </w:r>
      <w:r>
        <w:rPr>
          <w:rFonts w:ascii="Arial" w:cs="Arial" w:eastAsia="Arial" w:hAnsi="Arial"/>
          <w:sz w:val="18"/>
          <w:szCs w:val="18"/>
          <w:color w:val="auto"/>
        </w:rPr>
        <w:t>22,394</w:t>
        <w:tab/>
        <w:t>$</w:t>
      </w:r>
      <w:r>
        <w:rPr>
          <w:sz w:val="20"/>
          <w:szCs w:val="20"/>
          <w:color w:val="auto"/>
        </w:rPr>
        <w:tab/>
      </w:r>
      <w:r>
        <w:rPr>
          <w:rFonts w:ascii="Arial" w:cs="Arial" w:eastAsia="Arial" w:hAnsi="Arial"/>
          <w:sz w:val="18"/>
          <w:szCs w:val="18"/>
          <w:color w:val="auto"/>
        </w:rPr>
        <w:t>53,195</w:t>
        <w:tab/>
        <w:t>$</w:t>
      </w:r>
      <w:r>
        <w:rPr>
          <w:sz w:val="20"/>
          <w:szCs w:val="20"/>
          <w:color w:val="auto"/>
        </w:rPr>
        <w:tab/>
      </w:r>
      <w:r>
        <w:rPr>
          <w:rFonts w:ascii="Arial" w:cs="Arial" w:eastAsia="Arial" w:hAnsi="Arial"/>
          <w:sz w:val="16"/>
          <w:szCs w:val="16"/>
          <w:color w:val="auto"/>
        </w:rPr>
        <w:t>44,873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14605</wp:posOffset>
            </wp:positionV>
            <wp:extent cx="343916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39160" cy="2603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Goodwill is assigned to reporting units of our operating segments. A portion of the Hughes segment goodwill was attributed to the Hughes Retail Group as if the Hughes Retail Group had been a separate reporting unit at June 8, 2011, the date EchoStar completed the acquisition of Hughes Communications, Inc. Approximately $260.0 million of the $504.2 million Hughes segment goodwill was attributed to the Hughes Retail Group.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ATTRIBUTED FINANCIAL INFORMATION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for the Hughes Retail Group, consisted of the following: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December 31, 2013</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86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(104,860)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40,240</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145,100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(95,063)</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Technology-based</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(12,076)</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11,424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(10,118)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Trademark portfolio</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182,220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(106,940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Amortization expense was $6.1 million and $7.5 million for the three months ended June 30, 2014 and 2013, respectively, and $12.1 million and $15.1 million for the six months ended June 30, 2014 and 2013, respectively.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Income Taxes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based upon a separate return allocation method which results in income tax expense that approximates the expense that would result if the Hughes Retail Group was a stand-alone entity. Deferred tax assets and liabilities are recorded for the estimated future tax effects of differences that exist between the financial reporting carrying amount and tax bases of assets and liabilities. Deferred tax assets are offset by valuation allowances when we determine it is more likely than not that such deferred tax assets will not be realized in the foreseeable future.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accordance with the Policy Statement, all income tax obligations and benefits that arose prior to March 1, 2014, except for deferred income taxes related to differences between the financial reporting carrying amounts and tax bases of the Hughes Retail Group assets and liabilities, are attributable to the HSSC Group. Because no arrangements for inter-group settlement of income taxes existed prior to March 1, 2014, no inter-group receivables or payables were recognized for attributed income tax expenses or benefits related to operations for periods prior to March 1, 2014.</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 Equity/ Attributed Net Assets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reported amounts of equity/attributed net assets for the Hughes Retail Group and the HSSC Group represent the excess of attributed assets over attributed liabilities for the respective Groups. HSSC Group equity reflects EchoStar’s aggregate 71.89% economic interest in the net assets of the Hughes Retail Group, which comprises DISH Network’s 51.89% economic interest in the Hughes Retail Group represented by EchoStar Tracking Stock and EchoStar’s 20.0% retained interest in the Hughes Retail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Hughes Retail Group equity/attributed net assets consisted of attributed paid-in capital and accumulated earnings as follows:</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gridSpan w:val="2"/>
          </w:tcPr>
          <w:p>
            <w:pPr>
              <w:spacing w:after="0"/>
              <w:rPr>
                <w:sz w:val="10"/>
                <w:szCs w:val="10"/>
                <w:color w:val="auto"/>
              </w:rPr>
            </w:pPr>
          </w:p>
        </w:tc>
      </w:tr>
      <w:tr>
        <w:trPr>
          <w:trHeight w:val="171"/>
        </w:trPr>
        <w:tc>
          <w:tcPr>
            <w:tcW w:w="3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5"/>
          </w:tcPr>
          <w:p>
            <w:pPr>
              <w:jc w:val="right"/>
              <w:ind w:right="976"/>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gridSpan w:val="2"/>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Attributed paid-in-capital</w:t>
            </w:r>
          </w:p>
        </w:tc>
        <w:tc>
          <w:tcPr>
            <w:tcW w:w="10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456,122</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456,686</w:t>
            </w:r>
          </w:p>
        </w:tc>
        <w:tc>
          <w:tcPr>
            <w:tcW w:w="100" w:type="dxa"/>
            <w:vAlign w:val="bottom"/>
            <w:shd w:val="clear" w:color="auto" w:fill="CCEEFF"/>
          </w:tcPr>
          <w:p>
            <w:pPr>
              <w:spacing w:after="0"/>
              <w:rPr>
                <w:sz w:val="18"/>
                <w:szCs w:val="18"/>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Attributed accumulated earnings (deficit):</w:t>
            </w:r>
          </w:p>
        </w:tc>
        <w:tc>
          <w:tcPr>
            <w:tcW w:w="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Periods prior to March 1, 2014</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32,166</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Periods beginning March 1, 2014</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(6,913)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3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Total equity/ attributed net assets</w:t>
            </w:r>
          </w:p>
        </w:tc>
        <w:tc>
          <w:tcPr>
            <w:tcW w:w="7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482,604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488,852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Roman"/>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Roman"/>
      <w:start w:val="3"/>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upperLetter"/>
      <w:start w:val="1"/>
    </w:lvl>
    <w:lvl w:ilvl="1">
      <w:lvlJc w:val="left"/>
      <w:lvlText w:val="%2"/>
      <w:numFmt w:val="decimal"/>
      <w:start w:val="101"/>
    </w:lvl>
  </w:abstractNum>
  <w:abstractNum w:abstractNumId="19">
    <w:nsid w:val="333AB105"/>
    <w:multiLevelType w:val="hybridMultilevel"/>
    <w:lvl w:ilvl="0">
      <w:lvlJc w:val="left"/>
      <w:lvlText w:val="(%1)"/>
      <w:numFmt w:val="upperLetter"/>
      <w:start w:val="8"/>
    </w:lvl>
    <w:lvl w:ilvl="1">
      <w:lvlJc w:val="left"/>
      <w:lvlText w:val="%2"/>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2019-12-08T03:08:20Z</dcterms:created>
  <dcterms:modified xsi:type="dcterms:W3CDTF">2019-12-08T03:08:20Z</dcterms:modified>
</cp:coreProperties>
</file>