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7"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spacing w:after="0" w:line="134" w:lineRule="exact"/>
        <w:rPr>
          <w:sz w:val="24"/>
          <w:szCs w:val="24"/>
          <w:color w:val="auto"/>
        </w:rPr>
      </w:pPr>
    </w:p>
    <w:p>
      <w:pPr>
        <w:spacing w:after="0" w:line="161" w:lineRule="exact"/>
        <w:tabs>
          <w:tab w:leader="none" w:pos="280" w:val="left"/>
          <w:tab w:leader="none" w:pos="110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TRANSITION REPORT PURSUANT TO SECTION 13 OR 15(d) OF THE SECURITIES EXCHANGE ACT OF 1934 FOR THE TRANSITION PERIOD FROM</w:t>
      </w:r>
      <w:r>
        <w:rPr>
          <w:sz w:val="20"/>
          <w:szCs w:val="20"/>
          <w:color w:val="auto"/>
        </w:rPr>
        <w:tab/>
      </w:r>
      <w:r>
        <w:rPr>
          <w:rFonts w:ascii="Arial" w:cs="Arial" w:eastAsia="Arial" w:hAnsi="Arial"/>
          <w:sz w:val="14"/>
          <w:szCs w:val="14"/>
          <w:b w:val="1"/>
          <w:bCs w:val="1"/>
          <w:color w:val="auto"/>
        </w:rPr>
        <w:t>TO</w:t>
      </w:r>
    </w:p>
    <w:p>
      <w:pPr>
        <w:spacing w:after="0" w:line="38"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172085</wp:posOffset>
            </wp:positionV>
            <wp:extent cx="171450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(Exact name of registrant as specified in its charter)</w:t>
      </w:r>
    </w:p>
    <w:p>
      <w:pPr>
        <w:spacing w:after="0" w:line="46" w:lineRule="exact"/>
        <w:rPr>
          <w:sz w:val="24"/>
          <w:szCs w:val="24"/>
          <w:color w:val="auto"/>
        </w:rPr>
      </w:pPr>
    </w:p>
    <w:p>
      <w:pPr>
        <w:ind w:left="2520"/>
        <w:spacing w:after="0"/>
        <w:tabs>
          <w:tab w:leader="none" w:pos="8020" w:val="left"/>
        </w:tabs>
        <w:rPr>
          <w:sz w:val="20"/>
          <w:szCs w:val="20"/>
          <w:color w:val="auto"/>
        </w:rPr>
      </w:pPr>
      <w:r>
        <w:rPr>
          <w:rFonts w:ascii="Arial" w:cs="Arial" w:eastAsia="Arial" w:hAnsi="Arial"/>
          <w:sz w:val="14"/>
          <w:szCs w:val="14"/>
          <w:b w:val="1"/>
          <w:bCs w:val="1"/>
          <w:color w:val="auto"/>
        </w:rPr>
        <w:t>Nevada</w:t>
      </w:r>
      <w:r>
        <w:rPr>
          <w:sz w:val="20"/>
          <w:szCs w:val="20"/>
          <w:color w:val="auto"/>
        </w:rPr>
        <w:tab/>
      </w:r>
      <w:r>
        <w:rPr>
          <w:rFonts w:ascii="Arial" w:cs="Arial" w:eastAsia="Arial" w:hAnsi="Arial"/>
          <w:sz w:val="14"/>
          <w:szCs w:val="14"/>
          <w:b w:val="1"/>
          <w:bCs w:val="1"/>
          <w:color w:val="auto"/>
        </w:rPr>
        <w:t>26-1232727</w:t>
      </w:r>
    </w:p>
    <w:p>
      <w:pPr>
        <w:spacing w:after="0" w:line="60" w:lineRule="exact"/>
        <w:rPr>
          <w:sz w:val="24"/>
          <w:szCs w:val="24"/>
          <w:color w:val="auto"/>
        </w:rPr>
      </w:pPr>
    </w:p>
    <w:p>
      <w:pPr>
        <w:ind w:left="920"/>
        <w:spacing w:after="0"/>
        <w:tabs>
          <w:tab w:leader="none" w:pos="728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226" w:lineRule="exact"/>
        <w:rPr>
          <w:sz w:val="24"/>
          <w:szCs w:val="24"/>
          <w:color w:val="auto"/>
        </w:rPr>
      </w:pPr>
    </w:p>
    <w:p>
      <w:pPr>
        <w:ind w:left="1140"/>
        <w:spacing w:after="0"/>
        <w:tabs>
          <w:tab w:leader="none" w:pos="4160" w:val="left"/>
          <w:tab w:leader="none" w:pos="8020" w:val="left"/>
        </w:tabs>
        <w:rPr>
          <w:sz w:val="20"/>
          <w:szCs w:val="20"/>
          <w:color w:val="auto"/>
        </w:rPr>
      </w:pPr>
      <w:r>
        <w:rPr>
          <w:rFonts w:ascii="Arial" w:cs="Arial" w:eastAsia="Arial" w:hAnsi="Arial"/>
          <w:sz w:val="14"/>
          <w:szCs w:val="14"/>
          <w:b w:val="1"/>
          <w:bCs w:val="1"/>
          <w:color w:val="auto"/>
        </w:rPr>
        <w:t>100 Inverness Terrace East, Englewood,</w:t>
      </w:r>
      <w:r>
        <w:rPr>
          <w:sz w:val="20"/>
          <w:szCs w:val="20"/>
          <w:color w:val="auto"/>
        </w:rPr>
        <w:tab/>
      </w:r>
      <w:r>
        <w:rPr>
          <w:rFonts w:ascii="Arial" w:cs="Arial" w:eastAsia="Arial" w:hAnsi="Arial"/>
          <w:sz w:val="14"/>
          <w:szCs w:val="14"/>
          <w:b w:val="1"/>
          <w:bCs w:val="1"/>
          <w:color w:val="auto"/>
        </w:rPr>
        <w:t>Colorado</w:t>
      </w:r>
      <w:r>
        <w:rPr>
          <w:sz w:val="20"/>
          <w:szCs w:val="20"/>
          <w:color w:val="auto"/>
        </w:rPr>
        <w:tab/>
      </w:r>
      <w:r>
        <w:rPr>
          <w:rFonts w:ascii="Arial" w:cs="Arial" w:eastAsia="Arial" w:hAnsi="Arial"/>
          <w:sz w:val="14"/>
          <w:szCs w:val="14"/>
          <w:b w:val="1"/>
          <w:bCs w:val="1"/>
          <w:color w:val="auto"/>
        </w:rPr>
        <w:t>80112-5308</w:t>
      </w:r>
    </w:p>
    <w:p>
      <w:pPr>
        <w:spacing w:after="0" w:line="60" w:lineRule="exact"/>
        <w:rPr>
          <w:sz w:val="24"/>
          <w:szCs w:val="24"/>
          <w:color w:val="auto"/>
        </w:rPr>
      </w:pPr>
    </w:p>
    <w:p>
      <w:pPr>
        <w:ind w:left="1540"/>
        <w:spacing w:after="0"/>
        <w:tabs>
          <w:tab w:leader="none" w:pos="806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4"/>
          <w:szCs w:val="14"/>
          <w:color w:val="auto"/>
        </w:rPr>
        <w:t>(Zip Code)</w:t>
      </w:r>
    </w:p>
    <w:p>
      <w:pPr>
        <w:sectPr>
          <w:pgSz w:w="11900" w:h="16838" w:orient="portrait"/>
          <w:cols w:equalWidth="0" w:num="1">
            <w:col w:w="11240"/>
          </w:cols>
          <w:pgMar w:left="320" w:top="247" w:right="339" w:bottom="1440" w:gutter="0" w:footer="0" w:header="0"/>
        </w:sectPr>
      </w:pPr>
    </w:p>
    <w:p>
      <w:pPr>
        <w:spacing w:after="0" w:line="132"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(303) 706-4000</w:t>
      </w:r>
    </w:p>
    <w:p>
      <w:pPr>
        <w:spacing w:after="0" w:line="60"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(Registrant’s telephone number, including area code)</w:t>
      </w:r>
    </w:p>
    <w:p>
      <w:pPr>
        <w:spacing w:after="0" w:line="150"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Not Applicable</w:t>
      </w:r>
    </w:p>
    <w:p>
      <w:pPr>
        <w:spacing w:after="0" w:line="60" w:lineRule="exact"/>
        <w:rPr>
          <w:sz w:val="24"/>
          <w:szCs w:val="24"/>
          <w:color w:val="auto"/>
        </w:rPr>
      </w:pPr>
    </w:p>
    <w:p>
      <w:pPr>
        <w:jc w:val="center"/>
        <w:ind w:right="2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34" w:lineRule="exact"/>
        <w:rPr>
          <w:sz w:val="24"/>
          <w:szCs w:val="24"/>
          <w:color w:val="auto"/>
        </w:rPr>
      </w:pPr>
    </w:p>
    <w:p>
      <w:pPr>
        <w:sectPr>
          <w:pgSz w:w="11900" w:h="16838" w:orient="portrait"/>
          <w:cols w:equalWidth="0" w:num="2">
            <w:col w:w="5080" w:space="720"/>
            <w:col w:w="5440"/>
          </w:cols>
          <w:pgMar w:left="320" w:top="247" w:right="339" w:bottom="1440" w:gutter="0" w:footer="0" w:header="0"/>
          <w:type w:val="continuous"/>
        </w:sectPr>
      </w:pPr>
    </w:p>
    <w:p>
      <w:pPr>
        <w:ind w:left="1440"/>
        <w:spacing w:after="0"/>
        <w:tabs>
          <w:tab w:leader="none" w:pos="7300" w:val="left"/>
        </w:tabs>
        <w:rPr>
          <w:sz w:val="20"/>
          <w:szCs w:val="20"/>
          <w:color w:val="auto"/>
        </w:rPr>
      </w:pPr>
      <w:r>
        <w:rPr>
          <w:rFonts w:ascii="Arial" w:cs="Arial" w:eastAsia="Arial" w:hAnsi="Arial"/>
          <w:sz w:val="14"/>
          <w:szCs w:val="14"/>
          <w:b w:val="1"/>
          <w:bCs w:val="1"/>
          <w:color w:val="auto"/>
        </w:rPr>
        <w:t>Class A common stock $0.001 par value</w:t>
      </w:r>
      <w:r>
        <w:rPr>
          <w:sz w:val="20"/>
          <w:szCs w:val="20"/>
          <w:color w:val="auto"/>
        </w:rPr>
        <w:tab/>
      </w:r>
      <w:r>
        <w:rPr>
          <w:rFonts w:ascii="Arial" w:cs="Arial" w:eastAsia="Arial" w:hAnsi="Arial"/>
          <w:sz w:val="14"/>
          <w:szCs w:val="14"/>
          <w:b w:val="1"/>
          <w:bCs w:val="1"/>
          <w:color w:val="auto"/>
        </w:rPr>
        <w:t>The NASDAQ Stock Market LLC</w:t>
      </w:r>
    </w:p>
    <w:p>
      <w:pPr>
        <w:spacing w:after="0" w:line="60" w:lineRule="exact"/>
        <w:rPr>
          <w:sz w:val="24"/>
          <w:szCs w:val="24"/>
          <w:color w:val="auto"/>
        </w:rPr>
      </w:pPr>
    </w:p>
    <w:p>
      <w:pPr>
        <w:ind w:left="2160"/>
        <w:spacing w:after="0"/>
        <w:tabs>
          <w:tab w:leader="none" w:pos="6920" w:val="left"/>
        </w:tabs>
        <w:rPr>
          <w:sz w:val="20"/>
          <w:szCs w:val="20"/>
          <w:color w:val="auto"/>
        </w:rPr>
      </w:pPr>
      <w:r>
        <w:rPr>
          <w:rFonts w:ascii="Arial" w:cs="Arial" w:eastAsia="Arial" w:hAnsi="Arial"/>
          <w:sz w:val="14"/>
          <w:szCs w:val="14"/>
          <w:color w:val="auto"/>
        </w:rPr>
        <w:t>(Title of each class)</w:t>
      </w:r>
      <w:r>
        <w:rPr>
          <w:sz w:val="20"/>
          <w:szCs w:val="20"/>
          <w:color w:val="auto"/>
        </w:rPr>
        <w:tab/>
      </w:r>
      <w:r>
        <w:rPr>
          <w:rFonts w:ascii="Arial" w:cs="Arial" w:eastAsia="Arial" w:hAnsi="Arial"/>
          <w:sz w:val="14"/>
          <w:szCs w:val="14"/>
          <w:color w:val="auto"/>
        </w:rPr>
        <w:t>(Name of each exchange on which registered)</w:t>
      </w:r>
    </w:p>
    <w:p>
      <w:pPr>
        <w:spacing w:after="0" w:line="24" w:lineRule="exact"/>
        <w:rPr>
          <w:sz w:val="24"/>
          <w:szCs w:val="24"/>
          <w:color w:val="auto"/>
        </w:rPr>
      </w:pPr>
    </w:p>
    <w:p>
      <w:pPr>
        <w:jc w:val="center"/>
        <w:ind w:right="5700"/>
        <w:spacing w:after="0"/>
        <w:rPr>
          <w:sz w:val="20"/>
          <w:szCs w:val="20"/>
          <w:color w:val="auto"/>
        </w:rPr>
      </w:pPr>
      <w:r>
        <w:rPr>
          <w:rFonts w:ascii="Arial" w:cs="Arial" w:eastAsia="Arial" w:hAnsi="Arial"/>
          <w:sz w:val="14"/>
          <w:szCs w:val="14"/>
          <w:b w:val="1"/>
          <w:bCs w:val="1"/>
          <w:color w:val="auto"/>
        </w:rPr>
        <w:t>SATS</w:t>
      </w:r>
    </w:p>
    <w:p>
      <w:pPr>
        <w:spacing w:after="0" w:line="60" w:lineRule="exact"/>
        <w:rPr>
          <w:sz w:val="24"/>
          <w:szCs w:val="24"/>
          <w:color w:val="auto"/>
        </w:rPr>
      </w:pPr>
    </w:p>
    <w:p>
      <w:pPr>
        <w:jc w:val="center"/>
        <w:ind w:right="5700"/>
        <w:spacing w:after="0"/>
        <w:rPr>
          <w:sz w:val="20"/>
          <w:szCs w:val="20"/>
          <w:color w:val="auto"/>
        </w:rPr>
      </w:pPr>
      <w:r>
        <w:rPr>
          <w:rFonts w:ascii="Arial" w:cs="Arial" w:eastAsia="Arial" w:hAnsi="Arial"/>
          <w:sz w:val="14"/>
          <w:szCs w:val="14"/>
          <w:color w:val="auto"/>
        </w:rPr>
        <w:t>(Ticker symbol)</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4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25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6" w:lineRule="exact"/>
        <w:rPr>
          <w:sz w:val="24"/>
          <w:szCs w:val="24"/>
          <w:color w:val="auto"/>
        </w:rPr>
      </w:pPr>
    </w:p>
    <w:p>
      <w:pPr>
        <w:jc w:val="both"/>
        <w:ind w:right="2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3" w:lineRule="exact"/>
        <w:rPr>
          <w:sz w:val="24"/>
          <w:szCs w:val="24"/>
          <w:color w:val="auto"/>
        </w:rPr>
      </w:pPr>
    </w:p>
    <w:tbl>
      <w:tblPr>
        <w:tblLayout w:type="fixed"/>
        <w:tblInd w:w="1480" w:type="dxa"/>
        <w:tblCellMar>
          <w:top w:w="0" w:type="dxa"/>
          <w:left w:w="0" w:type="dxa"/>
          <w:bottom w:w="0" w:type="dxa"/>
          <w:right w:w="0" w:type="dxa"/>
        </w:tblCellMar>
      </w:tblPr>
      <w:tr>
        <w:trPr>
          <w:trHeight w:val="215"/>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2780" w:type="dxa"/>
            <w:vAlign w:val="bottom"/>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27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22"/>
                <w:szCs w:val="22"/>
                <w:color w:val="auto"/>
              </w:rPr>
            </w:pPr>
          </w:p>
        </w:tc>
      </w:tr>
    </w:tbl>
    <w:p>
      <w:pPr>
        <w:spacing w:after="0" w:line="87"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As of June 30, 2022, the aggregate market value of Class A common stock held by non-affiliates of the registrant was $646.8 million based upon the closing price of the Class A common stock as reported on the NASDAQ Global Select Market as of the close of business on that date.</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of February 6, 2023, the registrant’s outstanding common stock consisted of 35,594,333 shares of Class A common stock and 47,687,039 shares of Class B common stock, each $0.001 par value.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definitive Proxy Statement to be filed in connection with its 2023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160" w:type="dxa"/>
            <w:vAlign w:val="bottom"/>
            <w:gridSpan w:val="36"/>
          </w:tcPr>
          <w:p>
            <w:pPr>
              <w:spacing w:after="0"/>
              <w:rPr>
                <w:sz w:val="20"/>
                <w:szCs w:val="20"/>
                <w:color w:val="auto"/>
              </w:rPr>
            </w:pPr>
            <w:r>
              <w:rPr>
                <w:rFonts w:ascii="Arial" w:cs="Arial" w:eastAsia="Arial" w:hAnsi="Arial"/>
                <w:sz w:val="18"/>
                <w:szCs w:val="18"/>
                <w:color w:val="auto"/>
              </w:rPr>
              <w:t>Table of Contents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gridSpan w:val="18"/>
          </w:tcPr>
          <w:p>
            <w:pPr>
              <w:ind w:left="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40" w:type="dxa"/>
            <w:vAlign w:val="bottom"/>
            <w:gridSpan w:val="35"/>
          </w:tcPr>
          <w:p>
            <w:pPr>
              <w:spacing w:after="0"/>
              <w:rPr>
                <w:sz w:val="20"/>
                <w:szCs w:val="20"/>
                <w:color w:val="auto"/>
              </w:rPr>
            </w:pPr>
            <w:r>
              <w:rPr>
                <w:rFonts w:ascii="Arial" w:cs="Arial" w:eastAsia="Arial" w:hAnsi="Arial"/>
                <w:sz w:val="18"/>
                <w:szCs w:val="18"/>
                <w:color w:val="0000FF"/>
              </w:rPr>
              <w:t>Disclosure Regarding Forward Looking Statements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0000FF"/>
              </w:rPr>
              <w:t>i</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422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800" w:type="dxa"/>
            <w:vAlign w:val="bottom"/>
            <w:gridSpan w:val="2"/>
          </w:tcPr>
          <w:p>
            <w:pPr>
              <w:spacing w:after="0"/>
              <w:rPr>
                <w:sz w:val="24"/>
                <w:szCs w:val="24"/>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Business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70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w w:val="97"/>
              </w:rPr>
              <w:t>Risk Factors</w:t>
            </w:r>
          </w:p>
        </w:tc>
        <w:tc>
          <w:tcPr>
            <w:tcW w:w="7780" w:type="dxa"/>
            <w:vAlign w:val="bottom"/>
            <w:gridSpan w:val="27"/>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1B.</w:t>
            </w: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0000FF"/>
                <w:w w:val="97"/>
              </w:rPr>
              <w:t>Properties</w:t>
            </w:r>
          </w:p>
        </w:tc>
        <w:tc>
          <w:tcPr>
            <w:tcW w:w="1420" w:type="dxa"/>
            <w:vAlign w:val="bottom"/>
            <w:gridSpan w:val="8"/>
          </w:tcPr>
          <w:p>
            <w:pPr>
              <w:spacing w:after="0"/>
              <w:rPr>
                <w:sz w:val="18"/>
                <w:szCs w:val="18"/>
                <w:color w:val="auto"/>
              </w:rPr>
            </w:pPr>
          </w:p>
        </w:tc>
        <w:tc>
          <w:tcPr>
            <w:tcW w:w="6540" w:type="dxa"/>
            <w:vAlign w:val="bottom"/>
            <w:gridSpan w:val="21"/>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800" w:type="dxa"/>
            <w:vAlign w:val="bottom"/>
            <w:gridSpan w:val="2"/>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Legal Proceedings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800" w:type="dxa"/>
            <w:vAlign w:val="bottom"/>
            <w:gridSpan w:val="2"/>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3"/>
          </w:tcPr>
          <w:p>
            <w:pPr>
              <w:jc w:val="center"/>
              <w:ind w:right="4200"/>
              <w:spacing w:after="0"/>
              <w:rPr>
                <w:sz w:val="20"/>
                <w:szCs w:val="20"/>
                <w:color w:val="auto"/>
              </w:rPr>
            </w:pPr>
            <w:r>
              <w:rPr>
                <w:rFonts w:ascii="Arial" w:cs="Arial" w:eastAsia="Arial" w:hAnsi="Arial"/>
                <w:sz w:val="18"/>
                <w:szCs w:val="18"/>
                <w:b w:val="1"/>
                <w:bCs w:val="1"/>
                <w:color w:val="0000FF"/>
                <w:w w:val="96"/>
              </w:rPr>
              <w:t>PART II</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8780" w:type="dxa"/>
            <w:vAlign w:val="bottom"/>
            <w:gridSpan w:val="3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080" w:type="dxa"/>
            <w:vAlign w:val="bottom"/>
            <w:gridSpan w:val="5"/>
            <w:vMerge w:val="restart"/>
          </w:tcPr>
          <w:p>
            <w:pPr>
              <w:jc w:val="right"/>
              <w:ind w:right="40"/>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Securities</w:t>
            </w:r>
          </w:p>
        </w:tc>
        <w:tc>
          <w:tcPr>
            <w:tcW w:w="7160" w:type="dxa"/>
            <w:vAlign w:val="bottom"/>
            <w:tcBorders>
              <w:top w:val="single" w:sz="8" w:color="0000FF"/>
            </w:tcBorders>
            <w:gridSpan w:val="27"/>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gridSpan w:val="4"/>
            <w:shd w:val="clear" w:color="auto" w:fill="0000FF"/>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800" w:type="dxa"/>
            <w:vAlign w:val="bottom"/>
            <w:gridSpan w:val="2"/>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94"/>
              </w:rPr>
              <w:t>[Reserved]</w:t>
            </w:r>
          </w:p>
        </w:tc>
        <w:tc>
          <w:tcPr>
            <w:tcW w:w="7920" w:type="dxa"/>
            <w:vAlign w:val="bottom"/>
            <w:gridSpan w:val="28"/>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800" w:type="dxa"/>
            <w:vAlign w:val="bottom"/>
            <w:gridSpan w:val="2"/>
          </w:tcPr>
          <w:p>
            <w:pPr>
              <w:spacing w:after="0"/>
              <w:rPr>
                <w:sz w:val="18"/>
                <w:szCs w:val="18"/>
                <w:color w:val="auto"/>
              </w:rPr>
            </w:pPr>
          </w:p>
        </w:tc>
        <w:tc>
          <w:tcPr>
            <w:tcW w:w="7080" w:type="dxa"/>
            <w:vAlign w:val="bottom"/>
            <w:gridSpan w:val="2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00" w:type="dxa"/>
            <w:vAlign w:val="bottom"/>
            <w:gridSpan w:val="4"/>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7A.</w:t>
            </w: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8.</w:t>
            </w:r>
          </w:p>
        </w:tc>
        <w:tc>
          <w:tcPr>
            <w:tcW w:w="700" w:type="dxa"/>
            <w:vAlign w:val="bottom"/>
          </w:tcPr>
          <w:p>
            <w:pPr>
              <w:spacing w:after="0"/>
              <w:rPr>
                <w:sz w:val="18"/>
                <w:szCs w:val="18"/>
                <w:color w:val="auto"/>
              </w:rPr>
            </w:pPr>
          </w:p>
        </w:tc>
        <w:tc>
          <w:tcPr>
            <w:tcW w:w="3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60" w:type="dxa"/>
            <w:vAlign w:val="bottom"/>
            <w:gridSpan w:val="9"/>
          </w:tcPr>
          <w:p>
            <w:pPr>
              <w:spacing w:after="0"/>
              <w:rPr>
                <w:sz w:val="18"/>
                <w:szCs w:val="18"/>
                <w:color w:val="auto"/>
              </w:rPr>
            </w:pPr>
          </w:p>
        </w:tc>
        <w:tc>
          <w:tcPr>
            <w:tcW w:w="4100" w:type="dxa"/>
            <w:vAlign w:val="bottom"/>
            <w:gridSpan w:val="7"/>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9.</w:t>
            </w: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9A.</w:t>
            </w: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9B.</w:t>
            </w:r>
          </w:p>
        </w:tc>
        <w:tc>
          <w:tcPr>
            <w:tcW w:w="700" w:type="dxa"/>
            <w:vAlign w:val="bottom"/>
          </w:tcPr>
          <w:p>
            <w:pPr>
              <w:spacing w:after="0"/>
              <w:rPr>
                <w:sz w:val="18"/>
                <w:szCs w:val="18"/>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gridSpan w:val="4"/>
          </w:tcPr>
          <w:p>
            <w:pPr>
              <w:spacing w:after="0"/>
              <w:rPr>
                <w:sz w:val="18"/>
                <w:szCs w:val="18"/>
                <w:color w:val="auto"/>
              </w:rPr>
            </w:pPr>
          </w:p>
        </w:tc>
        <w:tc>
          <w:tcPr>
            <w:tcW w:w="6800" w:type="dxa"/>
            <w:vAlign w:val="bottom"/>
            <w:gridSpan w:val="22"/>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0000FF"/>
              </w:rPr>
              <w:t>Item 9C.</w:t>
            </w:r>
          </w:p>
        </w:tc>
        <w:tc>
          <w:tcPr>
            <w:tcW w:w="8780" w:type="dxa"/>
            <w:vAlign w:val="bottom"/>
            <w:gridSpan w:val="3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gridSpan w:val="8"/>
          </w:tcPr>
          <w:p>
            <w:pPr>
              <w:jc w:val="center"/>
              <w:ind w:right="800"/>
              <w:spacing w:after="0"/>
              <w:rPr>
                <w:sz w:val="20"/>
                <w:szCs w:val="20"/>
                <w:color w:val="auto"/>
              </w:rPr>
            </w:pPr>
            <w:r>
              <w:rPr>
                <w:rFonts w:ascii="Arial" w:cs="Arial" w:eastAsia="Arial" w:hAnsi="Arial"/>
                <w:sz w:val="18"/>
                <w:szCs w:val="18"/>
                <w:b w:val="1"/>
                <w:bCs w:val="1"/>
                <w:color w:val="0000FF"/>
                <w:w w:val="95"/>
              </w:rPr>
              <w:t>PART III</w:t>
            </w:r>
          </w:p>
        </w:tc>
        <w:tc>
          <w:tcPr>
            <w:tcW w:w="338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10.</w:t>
            </w:r>
          </w:p>
        </w:tc>
        <w:tc>
          <w:tcPr>
            <w:tcW w:w="700" w:type="dxa"/>
            <w:vAlign w:val="bottom"/>
          </w:tcPr>
          <w:p>
            <w:pPr>
              <w:spacing w:after="0"/>
              <w:rPr>
                <w:sz w:val="24"/>
                <w:szCs w:val="24"/>
                <w:color w:val="auto"/>
              </w:rPr>
            </w:pPr>
          </w:p>
        </w:tc>
        <w:tc>
          <w:tcPr>
            <w:tcW w:w="4500" w:type="dxa"/>
            <w:vAlign w:val="bottom"/>
            <w:gridSpan w:val="21"/>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280" w:type="dxa"/>
            <w:vAlign w:val="bottom"/>
            <w:gridSpan w:val="11"/>
          </w:tcPr>
          <w:p>
            <w:pPr>
              <w:spacing w:after="0"/>
              <w:rPr>
                <w:sz w:val="24"/>
                <w:szCs w:val="24"/>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11.</w:t>
            </w:r>
          </w:p>
        </w:tc>
        <w:tc>
          <w:tcPr>
            <w:tcW w:w="700" w:type="dxa"/>
            <w:vAlign w:val="bottom"/>
          </w:tcPr>
          <w:p>
            <w:pPr>
              <w:spacing w:after="0"/>
              <w:rPr>
                <w:sz w:val="18"/>
                <w:szCs w:val="18"/>
                <w:color w:val="auto"/>
              </w:rPr>
            </w:pPr>
          </w:p>
        </w:tc>
        <w:tc>
          <w:tcPr>
            <w:tcW w:w="450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4280" w:type="dxa"/>
            <w:vAlign w:val="bottom"/>
            <w:gridSpan w:val="11"/>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12.</w:t>
            </w: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13.</w:t>
            </w:r>
          </w:p>
        </w:tc>
        <w:tc>
          <w:tcPr>
            <w:tcW w:w="700" w:type="dxa"/>
            <w:vAlign w:val="bottom"/>
          </w:tcPr>
          <w:p>
            <w:pPr>
              <w:spacing w:after="0"/>
              <w:rPr>
                <w:sz w:val="18"/>
                <w:szCs w:val="18"/>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14.</w:t>
            </w:r>
          </w:p>
        </w:tc>
        <w:tc>
          <w:tcPr>
            <w:tcW w:w="700" w:type="dxa"/>
            <w:vAlign w:val="bottom"/>
          </w:tcPr>
          <w:p>
            <w:pPr>
              <w:spacing w:after="0"/>
              <w:rPr>
                <w:sz w:val="18"/>
                <w:szCs w:val="18"/>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0000FF"/>
              </w:rPr>
              <w:t>Principal Accounting Fees and Services</w:t>
            </w:r>
          </w:p>
        </w:tc>
        <w:tc>
          <w:tcPr>
            <w:tcW w:w="2700" w:type="dxa"/>
            <w:vAlign w:val="bottom"/>
            <w:gridSpan w:val="5"/>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0000FF"/>
            </w:tcBorders>
            <w:gridSpan w:val="8"/>
          </w:tcPr>
          <w:p>
            <w:pPr>
              <w:jc w:val="center"/>
              <w:ind w:right="60"/>
              <w:spacing w:after="0"/>
              <w:rPr>
                <w:sz w:val="20"/>
                <w:szCs w:val="20"/>
                <w:color w:val="auto"/>
              </w:rPr>
            </w:pPr>
            <w:r>
              <w:rPr>
                <w:rFonts w:ascii="Arial" w:cs="Arial" w:eastAsia="Arial" w:hAnsi="Arial"/>
                <w:sz w:val="18"/>
                <w:szCs w:val="18"/>
                <w:b w:val="1"/>
                <w:bCs w:val="1"/>
                <w:color w:val="0000FF"/>
                <w:w w:val="98"/>
              </w:rPr>
              <w:t>PART IV</w:t>
            </w:r>
          </w:p>
        </w:tc>
        <w:tc>
          <w:tcPr>
            <w:tcW w:w="410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15.</w:t>
            </w:r>
          </w:p>
        </w:tc>
        <w:tc>
          <w:tcPr>
            <w:tcW w:w="700" w:type="dxa"/>
            <w:vAlign w:val="bottom"/>
          </w:tcPr>
          <w:p>
            <w:pPr>
              <w:spacing w:after="0"/>
              <w:rPr>
                <w:sz w:val="24"/>
                <w:szCs w:val="24"/>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Exhibits, Financial Statement Schedules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16.</w:t>
            </w:r>
          </w:p>
        </w:tc>
        <w:tc>
          <w:tcPr>
            <w:tcW w:w="700" w:type="dxa"/>
            <w:vAlign w:val="bottom"/>
          </w:tcPr>
          <w:p>
            <w:pPr>
              <w:spacing w:after="0"/>
              <w:rPr>
                <w:sz w:val="18"/>
                <w:szCs w:val="18"/>
                <w:color w:val="auto"/>
              </w:rPr>
            </w:pPr>
          </w:p>
        </w:tc>
        <w:tc>
          <w:tcPr>
            <w:tcW w:w="3200" w:type="dxa"/>
            <w:vAlign w:val="bottom"/>
            <w:gridSpan w:val="14"/>
          </w:tcPr>
          <w:p>
            <w:pPr>
              <w:spacing w:after="0"/>
              <w:rPr>
                <w:sz w:val="20"/>
                <w:szCs w:val="20"/>
                <w:color w:val="auto"/>
              </w:rPr>
            </w:pPr>
            <w:r>
              <w:rPr>
                <w:rFonts w:ascii="Arial" w:cs="Arial" w:eastAsia="Arial" w:hAnsi="Arial"/>
                <w:sz w:val="18"/>
                <w:szCs w:val="18"/>
                <w:color w:val="0000FF"/>
              </w:rPr>
              <w:t>Form 10-K Summary</w:t>
            </w:r>
          </w:p>
        </w:tc>
        <w:tc>
          <w:tcPr>
            <w:tcW w:w="5580" w:type="dxa"/>
            <w:vAlign w:val="bottom"/>
            <w:gridSpan w:val="18"/>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95"/>
              </w:rPr>
              <w:t>Signatures</w:t>
            </w:r>
          </w:p>
        </w:tc>
        <w:tc>
          <w:tcPr>
            <w:tcW w:w="800" w:type="dxa"/>
            <w:vAlign w:val="bottom"/>
            <w:gridSpan w:val="4"/>
          </w:tcPr>
          <w:p>
            <w:pPr>
              <w:spacing w:after="0"/>
              <w:rPr>
                <w:sz w:val="18"/>
                <w:szCs w:val="18"/>
                <w:color w:val="auto"/>
              </w:rPr>
            </w:pPr>
          </w:p>
        </w:tc>
        <w:tc>
          <w:tcPr>
            <w:tcW w:w="7120" w:type="dxa"/>
            <w:vAlign w:val="bottom"/>
            <w:gridSpan w:val="24"/>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80" w:type="dxa"/>
            <w:vAlign w:val="bottom"/>
            <w:gridSpan w:val="32"/>
          </w:tcPr>
          <w:p>
            <w:pPr>
              <w:spacing w:after="0"/>
              <w:rPr>
                <w:sz w:val="20"/>
                <w:szCs w:val="20"/>
                <w:color w:val="auto"/>
              </w:rPr>
            </w:pPr>
            <w:r>
              <w:rPr>
                <w:rFonts w:ascii="Arial" w:cs="Arial" w:eastAsia="Arial" w:hAnsi="Arial"/>
                <w:sz w:val="18"/>
                <w:szCs w:val="18"/>
                <w:color w:val="0000FF"/>
              </w:rPr>
              <w:t>Index to Consolidated Financial Statements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0000FF"/>
              </w:rPr>
              <w:t>F-1</w:t>
            </w:r>
          </w:p>
        </w:tc>
        <w:tc>
          <w:tcPr>
            <w:tcW w:w="0" w:type="dxa"/>
            <w:vAlign w:val="bottom"/>
          </w:tcPr>
          <w:p>
            <w:pPr>
              <w:spacing w:after="0"/>
              <w:rPr>
                <w:sz w:val="1"/>
                <w:szCs w:val="1"/>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10-K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9"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including supply chain disruptions and inflation;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cybersecurity incidents;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in Part I, Item 1A. Risk Factors and Item 7. Management’s Discussion and Analysis of Financial Condition and Results of Operations of this Form 10-K and those discussed in other documents we file with the Securities and Exchange Commission (“SEC”).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 substantial majority of the voting power of the shares of EchoStar is owned beneficially by Charles W. Ergen, our Chairman, and by certain entities established for the benefit of his family. Our Class A common stock is publicly traded on the NASDAQ Global Select Market (“NASDAQ”) under the symbol “SATS.” During 2022, Hamid Akhavan joined the Company as its Chief Executive Officer and President.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amounts presented in this Form 10-K are expressed in thousands of U.S. dollars, except share and per share amounts and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our Hughes segment and our EchoStar Satellite Services segment (“ESS segment”). These business segments are consistent with the way we make decisions regarding the allocation of resources, as well as how operating results are reviewed by our chief operating decision maker (“CODM”),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provides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 In addition, we are also providing wireline and wireless capacity to utilize in markets that include residential, community WiFi, backhaul, and other enterprise broadband and multi-transport services.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satellite connectivity for primary transport, back-up and hybrid implementation in India. The results of operations related to the India JV have been included in these Consolidated Financial Statements and the accompanying notes (collectively, the “Consolidated Financial</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Statements”) from the date of formation. The costs associated with the closing of the India JV were not material and were expensed as incurred.</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next-generation, high throughput geostationary satellite. In December 2020, we entered into an agreement with a launch provider for the launch of EchoStar XXIV. The EchoStar XXIV satellite is primarily intended to provide additional capacity for our HughesNet satellite internet service (“HughesNet service”) in North, Central and South America as well as enterprise broadband services. Following delays of over two years, in November 2022 we negotiated an amendment to our contract with the manufacturer to provide for additional compensation for past delays and a realignment of remedies. The contract now provides relief to us on certain payments, including approximately $ 14.0 million in payments through orbit-raising, and $ 44.5 million, plus 6% interest on such amounts, in deferred in-orbit incentive payments. Additionally, the contract now requires the payment of additional liquidated damages to us in the event of further delay, and provides for our right to terminate beginning January 1, 2024 if the satellite has not yet been delivered. In addition, the Company and the manufacturer will enter into an agreement under which the Company will provide certain products and/or services during 2023. The EchoStar XXIV satellite is expected to be launched in the second quarter of 2023. Delay in the availability of the EchoStar XXIV satellite could have a material adverse impact on our business operations, future revenues, financial position and prospects, and our planned expansion of satellite broadband services throughout North, South and Central America. Capital expenditures associated with the construction and launch of the EchoStar XXIV satellite are included in our Corporate and Other segment in our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enterprise customers include, but are not limited to, lottery agencies, gas station operators, aircraft connectivity providers and companies with multi-branch networks that rely on satellite or terrestrial networks for critical communication across wide geographies. Most of our enterprise customers have contracts with us for the services they purchase. Our Hughes segment also designs, provides and installs gateway and terminal equipment to customers for other satellite systems and provides satellite ground segment systems and terminals for other satellite systems, including mobile system operators. Developments toward the launch of next-generation satellite systems, including LEO, MEO and geostationary systems, as well as other multi-transport technologies, could provide additional opportunities to drive the demand for our equipment, hardware, technology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Hughes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cable, and wireless internet service providers offering competitive services in the markets we seek to serve. Cost, speed and accessibility are key determining factors in the selection of a service provider by the consumer. In addition, government subsidies, such as the Federal Communication Commission’s (“FCC”) Rural Development Opportunity Fund can have the effect of subsidizing the growth of our wired, wireless and satellite competitors. Our primary satellite competitors in our North American consumer market are ViaSat Communications, Inc., which is owned by ViaSat, Inc. (“ViaSat”), and Space Exploration Technologies Corp. (“SpaceX”). Both ViaSat and SpaceX have also entered the South and Central American consumer markets. We seek to differentiate ourselves based on the ubiquitous availability of our service, quality, proprietary technology, and distribution channels.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our enterprise markets, we compete against providers of satellite-based and terrestrial-based networks, including fiber, cable, wireless internet service, multiprotocol label switching and internet protocol-based virtual private networks.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competitors for the supply of VSAT satellite networks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Manufacturing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products in our Hughes segment are assembled at our facilities in Maryland and we outsource a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satellite capacity is currently used by our customers for a variety of applications, including:</w:t>
      </w:r>
    </w:p>
    <w:p>
      <w:pPr>
        <w:spacing w:after="0" w:line="230" w:lineRule="exact"/>
        <w:rPr>
          <w:sz w:val="20"/>
          <w:szCs w:val="20"/>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Fixed Satellite Services (“FSS”)</w:t>
      </w:r>
      <w:r>
        <w:rPr>
          <w:rFonts w:ascii="Arial" w:cs="Arial" w:eastAsia="Arial" w:hAnsi="Arial"/>
          <w:sz w:val="18"/>
          <w:szCs w:val="18"/>
          <w:color w:val="auto"/>
        </w:rPr>
        <w:t>. We provide satellite services to broadcast news organizations, internet service providers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providers who use our satellites to deliver programming and internet. Our satellites are also used for the transmission of live sporting events, internet access, disaster recovery and satellite news gathering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Services</w:t>
      </w:r>
      <w:r>
        <w:rPr>
          <w:rFonts w:ascii="Arial" w:cs="Arial" w:eastAsia="Arial" w:hAnsi="Arial"/>
          <w:sz w:val="18"/>
          <w:szCs w:val="18"/>
          <w:color w:val="auto"/>
        </w:rPr>
        <w:t>. We provide satellite and technical services to U.S. government service providers.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Network Services</w:t>
      </w:r>
      <w:r>
        <w:rPr>
          <w:rFonts w:ascii="Arial" w:cs="Arial" w:eastAsia="Arial" w:hAnsi="Arial"/>
          <w:sz w:val="18"/>
          <w:szCs w:val="18"/>
          <w:color w:val="auto"/>
        </w:rPr>
        <w:t>. We provide satellite services to companies for private networks that allow delivery of video and data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communications. Our satellites can be used for point-to-point or point to multi-point communications.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ESS segment competes against larger, well-established satellite service companies, such as Intelsat S.A., SES S.A., Telesat and Eutelsat Communications S.A., in an industry that is characterized by long-term contracts and high costs for customers to change service providers. Several of our competitors maintain key North American and other international orbital slots that may further limit our ability to compete and offer competitive pricing.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39" w:lineRule="exact"/>
        <w:rPr>
          <w:sz w:val="20"/>
          <w:szCs w:val="20"/>
          <w:color w:val="auto"/>
        </w:rPr>
      </w:pPr>
    </w:p>
    <w:p>
      <w:pPr>
        <w:jc w:val="both"/>
        <w:ind w:left="66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Focus on optimization of operations and product offerings</w:t>
      </w:r>
      <w:r>
        <w:rPr>
          <w:rFonts w:ascii="Arial" w:cs="Arial" w:eastAsia="Arial" w:hAnsi="Arial"/>
          <w:sz w:val="18"/>
          <w:szCs w:val="18"/>
          <w:color w:val="auto"/>
        </w:rPr>
        <w:t>. Currently and until the launch of our EchoStar XXIV satellite,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 focus is on optimizing the use of existing assets and services with primary attention on capacity yield. During this period efforts are directed towards the most scalable and profitable regions. The introduction of HughesNet Fusion was announced in September 2022 and is a low-latency satellite internet offering which connects mobile and landline technologies with satellites. The introduction of HughesNet Fusion is a growth opportunity that allows us to expand our service delivery options. Also, we are looking for additional opportunities for cross-functional collaboration within our organization, leading to simplification and centralization of structure to achieve greater efficiencies.</w:t>
      </w:r>
    </w:p>
    <w:p>
      <w:pPr>
        <w:spacing w:after="0" w:line="21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Monetize our EchoStar XXIV satellite</w:t>
      </w:r>
      <w:r>
        <w:rPr>
          <w:rFonts w:ascii="Arial" w:cs="Arial" w:eastAsia="Arial" w:hAnsi="Arial"/>
          <w:sz w:val="18"/>
          <w:szCs w:val="18"/>
          <w:color w:val="auto"/>
        </w:rPr>
        <w:t>. Following the launch of our EchoStar XXIV satellite, which will provide additional capacity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ability to offer higher speed service plans, our focus will be on monetizing it. We are planning not only for the launch itself but for the introduction of our related services with new higher speed plans, including a new higher speed HughesNet Fusion offering. We believe that the kind of services we will be offering are in demand, and we expect to be able to effectively market a highly competitive set of services once EchoStar XXIV enters service.</w:t>
      </w:r>
    </w:p>
    <w:p>
      <w:pPr>
        <w:spacing w:after="0" w:line="192" w:lineRule="exact"/>
        <w:rPr>
          <w:rFonts w:ascii="Arial" w:cs="Arial" w:eastAsia="Arial" w:hAnsi="Arial"/>
          <w:sz w:val="18"/>
          <w:szCs w:val="18"/>
          <w:b w:val="1"/>
          <w:bCs w:val="1"/>
          <w:i w:val="1"/>
          <w:iCs w:val="1"/>
          <w:color w:val="auto"/>
        </w:rPr>
      </w:pPr>
    </w:p>
    <w:p>
      <w:pPr>
        <w:jc w:val="both"/>
        <w:ind w:left="660" w:hanging="328"/>
        <w:spacing w:after="0" w:line="258" w:lineRule="auto"/>
        <w:tabs>
          <w:tab w:leader="none" w:pos="648" w:val="left"/>
        </w:tabs>
        <w:numPr>
          <w:ilvl w:val="0"/>
          <w:numId w:val="4"/>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Strong focus on our enterprise business. </w:t>
      </w:r>
      <w:r>
        <w:rPr>
          <w:rFonts w:ascii="Arial" w:cs="Arial" w:eastAsia="Arial" w:hAnsi="Arial"/>
          <w:sz w:val="18"/>
          <w:szCs w:val="18"/>
          <w:color w:val="auto"/>
        </w:rPr>
        <w:t>We also have a strong focus on growing our global enterprise business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connectivity, managed service portfolio, hybrid business solutions, and our own manufactured products. Increased participation in this vast market segment is a key element of our diversification strategy. During this period, we will also focus on improving operational scale with potential small acquisitions.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60" w:hanging="328"/>
        <w:spacing w:after="0" w:line="23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development of S-band and other hybrid spectrum resources. </w:t>
      </w:r>
      <w:r>
        <w:rPr>
          <w:rFonts w:ascii="Arial" w:cs="Arial" w:eastAsia="Arial" w:hAnsi="Arial"/>
          <w:sz w:val="18"/>
          <w:szCs w:val="18"/>
          <w:color w:val="auto"/>
        </w:rPr>
        <w:t>We hold S-band mobile satellite service (“MSS”)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terrestrial authorizations in Europe, Mexico and Chile, and are in the process of applying for and receiving additional authorizations. We have positioned ourselves to continue to develop the S-band spectrum globally by acquiring Sirion Global Pty Ltd., which we have renamed EchoStar Global Australia Pty Ltd (“EchoStar Global”). EchoStar Global has brought into use the International Telecommunication Union (“ITU”) global S-band non-geostationary satellite spectrum rights for MSS. In February of 2023, we announced an agreement with Astro Digital US, Inc. (“Astro Digital”), a designer, manufacturer and operator of small satellite systems, for the construction of a global S-band MSS network. Under the agreement, Astro Digital will manufacture the satellites for the constellation, which will deliver global Internet of Things, machine-to-machine and other data services beginning in 2024. EchoStar Global will operate this constellation. In addition, we believe we remain in a unique position to develop a stand-alone as well as a hybrid MSS and complementary ground component network service.</w:t>
      </w:r>
    </w:p>
    <w:p>
      <w:pPr>
        <w:spacing w:after="0" w:line="183"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diversify our business by selectively exploring new domestic and international strategic initiatives</w:t>
      </w:r>
      <w:r>
        <w:rPr>
          <w:rFonts w:ascii="Arial" w:cs="Arial" w:eastAsia="Arial" w:hAnsi="Arial"/>
          <w:sz w:val="18"/>
          <w:szCs w:val="18"/>
          <w:color w:val="auto"/>
        </w:rPr>
        <w:t>. 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expand into new markets, and acquire new customers through the use of multi-transport technologies, increase our satellite capacity, broaden our portfolio of services, products and intellectual property and strengthen our relationships with our customers.</w:t>
      </w:r>
    </w:p>
    <w:p>
      <w:pPr>
        <w:spacing w:after="0" w:line="20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Develop improved and new technologies</w:t>
      </w:r>
      <w:r>
        <w:rPr>
          <w:rFonts w:ascii="Arial" w:cs="Arial" w:eastAsia="Arial" w:hAnsi="Arial"/>
          <w:sz w:val="18"/>
          <w:szCs w:val="18"/>
          <w:color w:val="auto"/>
        </w:rPr>
        <w:t>. We believe that our engineering capabilities provide us with the opportunity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deploy cutting edge technologies, license our technologies to others and maintain a leading technological position in the industries in which we are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FLEET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our satellite fleet consisted of ten geosynchronous (“GEO”) satellites, seven of which are owned and three of which are leased. They are all in geosynchronous orbit, approximately 22,300 miles above the equator. Our owned S-band LEO nano-satellites are not included in the table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Nominal Degree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Depreciable Life</w:t>
            </w:r>
          </w:p>
        </w:tc>
        <w:tc>
          <w:tcPr>
            <w:tcW w:w="0" w:type="dxa"/>
            <w:vAlign w:val="bottom"/>
          </w:tcPr>
          <w:p>
            <w:pPr>
              <w:spacing w:after="0"/>
              <w:rPr>
                <w:sz w:val="1"/>
                <w:szCs w:val="1"/>
                <w:color w:val="auto"/>
              </w:rPr>
            </w:pPr>
          </w:p>
        </w:tc>
      </w:tr>
      <w:tr>
        <w:trPr>
          <w:trHeight w:val="176"/>
        </w:trPr>
        <w:tc>
          <w:tcPr>
            <w:tcW w:w="3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vMerge w:val="continue"/>
          </w:tcPr>
          <w:p>
            <w:pPr>
              <w:spacing w:after="0"/>
              <w:rPr>
                <w:sz w:val="21"/>
                <w:szCs w:val="21"/>
                <w:color w:val="auto"/>
              </w:rPr>
            </w:pPr>
          </w:p>
        </w:tc>
        <w:tc>
          <w:tcPr>
            <w:tcW w:w="2240" w:type="dxa"/>
            <w:vAlign w:val="bottom"/>
            <w:gridSpan w:val="2"/>
            <w:vMerge w:val="continue"/>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(Longitude)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95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107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97.1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20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 (4)</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121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(5)</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 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10.25 E</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63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61" w:lineRule="auto"/>
        <w:tabs>
          <w:tab w:leader="none" w:pos="476" w:val="left"/>
        </w:tabs>
        <w:numPr>
          <w:ilvl w:val="0"/>
          <w:numId w:val="6"/>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(“Hughes Communications”) and its subsidiaries (the “Hughes Acquisition”).</w:t>
      </w:r>
    </w:p>
    <w:p>
      <w:pPr>
        <w:ind w:left="340" w:hanging="332"/>
        <w:spacing w:after="0" w:line="261" w:lineRule="auto"/>
        <w:tabs>
          <w:tab w:leader="none" w:pos="232" w:val="left"/>
        </w:tabs>
        <w:numPr>
          <w:ilvl w:val="0"/>
          <w:numId w:val="6"/>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hanging="332"/>
        <w:spacing w:after="0" w:line="261" w:lineRule="auto"/>
        <w:tabs>
          <w:tab w:leader="none" w:pos="381" w:val="left"/>
        </w:tabs>
        <w:numPr>
          <w:ilvl w:val="0"/>
          <w:numId w:val="6"/>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placed the satellite in an inclined-orbit in the first quarter of 2023. Inclined-orbit will extend its life to enable further revenue generating opportunities.</w:t>
      </w:r>
    </w:p>
    <w:p>
      <w:pPr>
        <w:ind w:left="340" w:right="20" w:hanging="332"/>
        <w:spacing w:after="0" w:line="278" w:lineRule="auto"/>
        <w:tabs>
          <w:tab w:leader="none" w:pos="40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EchoStar XXIV satellite is included in construction in progress as of December 31, 2022. The satellite is expected to be launched in the second quarter of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2022. During the first quarter of 2023, we lost contact with our third nano-satellite (“EG-3”), which was launched in the second quarter of 2021 and brought into use our Sirion-1 ITU filing in the third quarter of 2021. We are continuing attempts to reestablish contact with EG-3, and in the event we are unable to do so, we will have three years to place a new S-band spacecraft at the altitude prescribed in our Australian ITU filing. We expect the first group of S-band satellites recently ordered from Astro Digital to be launched well in advance of the three year replacement timeline. We are not aware of any other anomalies with respect to our owned or leased satellites as of the date of these Consolidated Financial Statements. There can be no assurance, however, that anomalies will not have a significant adverse effect in the future. In addition, there can be no assurance that we can recover critical transmission capacity in the event one or more of our satellites were to fail.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subject to telecommunications regulation by a number of regulatory bodies including the FCC, other U.S. federal and state regulators and government agencies, the ITU and regulators and governments in other countries and regions where we hold licenses including the E.U., the U.K., India, Australia and several Latin American countries. In addition, we are also subject to the export control laws and regulations and trade sanctions laws and regulations of the U.S. and other countries with respect to the export of telecommunications equipment and services. In addition, in the U.S. and some other countries we are subject to country specific approvals of our products.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We cannot predict either the outcome of these proceedings or proposals or any potential impact they might have on the industry or on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Regulations Applicable to Our Operations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FCC Jurisdiction over Satellite Operations</w:t>
      </w:r>
      <w:r>
        <w:rPr>
          <w:rFonts w:ascii="Arial" w:cs="Arial" w:eastAsia="Arial" w:hAnsi="Arial"/>
          <w:sz w:val="18"/>
          <w:szCs w:val="18"/>
          <w:color w:val="auto"/>
        </w:rPr>
        <w:t>. Non-governmental bodies, including commercial entities, that use radio frequencies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98" w:lineRule="exact"/>
        <w:rPr>
          <w:sz w:val="20"/>
          <w:szCs w:val="20"/>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assignment of satellite radio frequencies and orbital locations to specific services and companies, the licensing of satellites and earth stations and the granting of related authorizations;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ensuring compliance with the terms and conditions of assignments, licenses, authorizations and approvals;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avoiding harmful interference with other radio frequency emitters;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ensuring compliance with other applicable provisions of the Communications Act and FCC rules and regulations.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satellite licenses issued by the FCC are subject to expiration unless extended by the FCC. Our U.S. FSS licenses generally have 15 year terms. We hold licenses and authorizations for satellite and earth stations as well as other services. To obtain and operate under such FCC licenses and authorizations, we must satisfy legal, technical qualification requirements and other conditions including, among other things, satisfaction of certain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technical and ongoing due diligence obligations, maintaining bonds, payment of annual regulatory fees and various reporting requirements.</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FCC regulation as telecommunications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certain services 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which generally requires telecommunications carriers to ensure that law enforcement agencies are able to conduct lawfully-authorized surveillance of users of their services. In addition, as a 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regulated by state and local authorities. While the FCC has preempted many state and local regulations that would impair the installation and use of VSAT and other consumer satellite dishes, our businesses nonetheless are subject to state and local regulation, including, among others, obtaining regulatory authorizations and zoning regulations that affect the ability to install these consumer satellite earth station antennas. In addition, in order to obtain universal service funding, we are subject to being an eligible telecommunications carrier in certain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Foreign Administrations’ Jurisdiction Over Satellite and Terrestrial Operations</w:t>
      </w:r>
      <w:r>
        <w:rPr>
          <w:rFonts w:ascii="Arial" w:cs="Arial" w:eastAsia="Arial" w:hAnsi="Arial"/>
          <w:sz w:val="18"/>
          <w:szCs w:val="18"/>
          <w:color w:val="auto"/>
        </w:rPr>
        <w:t>. Some of our satellites and earth stations are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foreign jurisdictions. We also have terrestrial authorizations in foreign jurisdictions. In order to provide service to a foreign location from our U.S. satellites,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systems and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and we may be subject to penalties or fines for failing to meet such conditions. Additionally, some countries may have restrictions on the services we provide and how we provide them and/or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The ITU Frequency and Orbital Location Registration. </w:t>
      </w:r>
      <w:r>
        <w:rPr>
          <w:rFonts w:ascii="Arial" w:cs="Arial" w:eastAsia="Arial" w:hAnsi="Arial"/>
          <w:sz w:val="18"/>
          <w:szCs w:val="18"/>
          <w:color w:val="auto"/>
        </w:rPr>
        <w:t>The orbital location and frequencies for our satellites are subject to the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and 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coordination of our operations in accordance with the relevant ITU Radio Regulations and responses to relevant ITU inquiries.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Registration in the United Nations (“UN”) Registry of Space Objects. </w:t>
      </w:r>
      <w:r>
        <w:rPr>
          <w:rFonts w:ascii="Arial" w:cs="Arial" w:eastAsia="Arial" w:hAnsi="Arial"/>
          <w:sz w:val="18"/>
          <w:szCs w:val="18"/>
          <w:color w:val="auto"/>
        </w:rPr>
        <w:t>The U.S. and other jurisdictions in which we license satellites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parties to the UN Convention on the Registration of Objects Launched into Outer Space, which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the regulation of other countries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services. For 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Control Regulation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similar anti-bribery laws in other jurisdictions that generally prohibit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environmental compliance costs, capital and other expenditures to date have not been material, and we do not expect them to be material in 2023. However, environmental requirements are complex, change frequently and have 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Legal Proceedings of this Form 10-K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ENGINEERING</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dual mode satellite and wireless handsets.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in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DATA AND TRANSACTIONS WITH MAJOR CUSTOMERS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principal geographic area data and transactions with major customers for 2022, 2021 and 2020, see Note 22 in our Consolidated Financial Statements. See Item 1A. Risk Factors for information regarding risks related to our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Human Capital</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had approximately 2,300 employees globally; of which approximately 1,700 were located in the U.S. and 600 internationally. We generally consider relations with our employees to be good. Other than approximately 200 of our employees located in Italy and Brazil, none are represented by a union. Our mission is to be a global connectivity provider for people, enterprises and things.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Training and Development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robust ongoing training and development program to enable employees to further refine and develop their skills. These training and development programs include technical programs meant to keep our employees abreast of the latest developments in our industry as well as courses to assist employees in developing their business communications and management skills.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 Health and Safety</w:t>
      </w:r>
    </w:p>
    <w:p>
      <w:pPr>
        <w:spacing w:after="0" w:line="2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commitment is to provide a safe, healthy and reliable workplace. We provide access to a variety of innovative, flexible, and convenient health and wellness programs. Due to the COVID-19 pandemic, we have taken a number of steps to prioritize health and safety of our employees including enabling employees to work from home as required or appropriate. We also implemented precautions at various sites around the world in compliance with local government requirements and Centers for Disease Control and Prevention guidelines.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 Our public filings are maintained on the SEC’s internet site at http://www.sec.gov, which contains reports, proxy and information statements and other information regarding issuers that file electronically with the SEC.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Form 10-K, quarterly reports on Form 10-Q, current reports on Form 8-K and amendments to those reports filed or furnished pursuant to Section 13(a) or 15(d) of the Securities Exchange Act of 1934, as amended, may also be accessed free of charge through our website at http://www.echostar.com as soon as reasonably practicable after we have electronically filed such material with, or furnished it to, the SEC.</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Furnished in accordance with Item 401(b) of Regulation S-K, pursuant to General Instruction G(3) of Form 10-K.</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20" w:type="dxa"/>
            <w:vAlign w:val="bottom"/>
            <w:tcBorders>
              <w:bottom w:val="single" w:sz="8" w:color="CCEEFF"/>
            </w:tcBorders>
          </w:tcPr>
          <w:p>
            <w:pPr>
              <w:spacing w:after="0"/>
              <w:rPr>
                <w:sz w:val="20"/>
                <w:szCs w:val="20"/>
                <w:color w:val="auto"/>
              </w:rPr>
            </w:pPr>
          </w:p>
        </w:tc>
        <w:tc>
          <w:tcPr>
            <w:tcW w:w="664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 W. Ergen</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69</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Hamid Akhavan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2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Gaske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69</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Dean A. Manson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r>
        <w:trPr>
          <w:trHeight w:val="23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Adrian Morris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Michelle Pearre</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Ramesh Ramaswamy</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 International</w:t>
            </w:r>
          </w:p>
        </w:tc>
      </w:tr>
    </w:tbl>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Charles W. Ergen. </w:t>
      </w:r>
      <w:r>
        <w:rPr>
          <w:rFonts w:ascii="Arial" w:cs="Arial" w:eastAsia="Arial" w:hAnsi="Arial"/>
          <w:sz w:val="18"/>
          <w:szCs w:val="18"/>
          <w:color w:val="auto"/>
        </w:rPr>
        <w:t>Mr. Ergen has served as our executive Chairman since November 2009 and Chairman of the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formation in 2007. Mr. Ergen served as our Chief Executive Officer from our formation in 2007 until November 2009. Mr. Ergen serves as executive Chairman and has been Chairman of the Board of Directors of DISH Network Corporation (“DISH”) since its formation and, during the past five years, has held executive officer and director positions with DISH and its subsidiaries (together with DISH, “Dish Network”) most recently serving as the Chief Executive Officer of DISH from March 2015 to December 2017.</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Hamid Akhavan. </w:t>
      </w:r>
      <w:r>
        <w:rPr>
          <w:rFonts w:ascii="Arial" w:cs="Arial" w:eastAsia="Arial" w:hAnsi="Arial"/>
          <w:sz w:val="18"/>
          <w:szCs w:val="18"/>
          <w:color w:val="auto"/>
        </w:rPr>
        <w:t>Mr. Akhavan has served as our Chief Executive Officer and President since April 2022. Prior to joining EchoStar,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Akhavan has accumulated extensive leadership experience at major telecommunications and technology companies, including Chief Executive Officer of Unify, Inc, and Chief Executive Officer of T-Mobile International, where he also served as a member of the Board of Management of Deutsche Telekom. In recent years, Akhavan has been active in private equity and investing serving on the board of directors of several public and private companies.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Paul Gaske. </w:t>
      </w:r>
      <w:r>
        <w:rPr>
          <w:rFonts w:ascii="Arial" w:cs="Arial" w:eastAsia="Arial" w:hAnsi="Arial"/>
          <w:sz w:val="18"/>
          <w:szCs w:val="18"/>
          <w:color w:val="auto"/>
        </w:rPr>
        <w:t>Mr. Gaske became Chief Operating Officer effective January 1, 2023, reporting to the Company’s Chief Executive Officer.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becoming the Chief Operating Officer, Mr. Gaske was the Executive President and General Manager of the North American Division of Hughes Network Systems, LLC since 1999. Mr. Gaske also oversees Hughes manufacturing.</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Dean A. Manson</w:t>
      </w:r>
      <w:r>
        <w:rPr>
          <w:rFonts w:ascii="Arial" w:cs="Arial" w:eastAsia="Arial" w:hAnsi="Arial"/>
          <w:sz w:val="18"/>
          <w:szCs w:val="18"/>
          <w:color w:val="auto"/>
        </w:rPr>
        <w:t>. Mr. Manson has served as our Chief Legal Officer and Secretary since November 2011 and is responsible for all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government affairs and corporate information security. Mr. Manson joined our subsidiary Hughes Network Systems, LLC in 2000 and was appointed its General Counsel in 2004. He was previously with the law firm of Milbank, Tweed, Hadley &amp; McCloy LLP, where he focused on international project finance and corporate transactions.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Adrian Morris. </w:t>
      </w:r>
      <w:r>
        <w:rPr>
          <w:rFonts w:ascii="Arial" w:cs="Arial" w:eastAsia="Arial" w:hAnsi="Arial"/>
          <w:sz w:val="18"/>
          <w:szCs w:val="18"/>
          <w:color w:val="auto"/>
        </w:rPr>
        <w:t>Mr. Morris has served as our Chief Technology Officer since January 2023 leading our engineering team at EchoStar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Mr. Morris’ career began at our subsidiary, Hughes Network Systems, in 1982 as an engineer and he served as an Executive Vice President, Engineering, of Hughes Network Systems since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Michelle Pearre. </w:t>
      </w:r>
      <w:r>
        <w:rPr>
          <w:rFonts w:ascii="Arial" w:cs="Arial" w:eastAsia="Arial" w:hAnsi="Arial"/>
          <w:sz w:val="18"/>
          <w:szCs w:val="18"/>
          <w:color w:val="auto"/>
        </w:rPr>
        <w:t>Ms. Pearre has served as our Chief Human Resources Officer since 2017. She has responsibility for Human Resources,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Administration, Facilities, Real Estate and Physical Security. Since joining Hughes Network Systems in 1998, Ms. Pearre has held various positions of increasing responsibility in human resources.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Ramesh Ramaswamy. </w:t>
      </w:r>
      <w:r>
        <w:rPr>
          <w:rFonts w:ascii="Arial" w:cs="Arial" w:eastAsia="Arial" w:hAnsi="Arial"/>
          <w:sz w:val="18"/>
          <w:szCs w:val="18"/>
          <w:color w:val="auto"/>
        </w:rPr>
        <w:t>Mr. Ramaswamy has served as our Executive Vice President, International since 2021 and was our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International since 2017. He oversees our international, mobile satellite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EchoStar Global businesses. Mr. Ramaswamy joined Hughes Network Systems in 1985 as a software engineer and has held positions of increasing responsibility in engineering, operations, marketing and sales.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or evolve in a way different than expected, our business, financial condition, results of operation, prospects or ability to fund a share or debt repurchase program, invest capital in or otherwise run our business, execute on our strategic plans or return capital to our shareholders could be materially and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a number of strategic initiatives to complement or expand our business. Any such strategic initiatives may involve a high degree of risk, including, but not limited to, the following:</w:t>
      </w:r>
    </w:p>
    <w:p>
      <w:pPr>
        <w:spacing w:after="0" w:line="20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our management’s attention away from our existing business onto a strategic initiative;</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on our and our targets’ and partners’ business, financial condition or operating results during the integration process;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significant financial losses if the strategic initiatives are not successful;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obtain regulatory approvals in the anticipated time frame, or at all;</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strategic initiatives may require the commitment of significant capital that would otherwise have been directed to investments in our existing businesses or distributed to shareholders.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not be able to successfully develop and execute our S-band business strategy which could materially adversely affect our ability to grow our revenue and our business.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future revenue and business growth partially depends on the successful development and execution of our S-band strategy. We may not be able to maintain or further develop our existing S-band spectrum rights. Additionally, in order to successfully develop and execute our S-band strategy, we will likely need to reach collaborative agreements with other relevant players in the S-band eco-system. We may not be able to reach such agreements with some of the relevant players, or at all, or may not be able to agree on economic terms that would provide the desired economic benefits to the Company. In addition, there can be no assurance that, even if we are able to successfully develop our S-band strategy, we will be able to attract and retain a customer base sufficiently large to be profitable. If we do not execute our S-band business strategy as planned, our business and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are facing increasing competition which could impact demand for, and result in increasing pricing pressures with respect to, our products and services.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their significant resources and operating history. Material competitive risks to our business include, but are not limited to, the following:</w:t>
      </w:r>
    </w:p>
    <w:p>
      <w:pPr>
        <w:spacing w:after="0" w:line="2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new or different technology compared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existing or new competitors entering the same markets we serve;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funding for competing products and services, reducing demand for our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to provide enhanced functionality for the same or lower price with each new generation of technology.</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business will be negatively impacted if we fail to adequately anticipate our satellite capacity needs or are unable to obtain satellite capacity.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substantial contractual commitments for satellite capacity based on our existing customer contracts and backlog. If our existing customer contracts were to be terminated prior to their respective expiration dates, we may have insufficient revenue to cover our satellite capacity costs. On the other hand, we may not have sufficient satellite capacity available to meet increases in demand and we may not be able to quickly or easily adjust our capacity to such changes in demand. At present, until the launch and operation of additional satellites that our systems can utilize, there is limited additional capacity in North America and in certain areas of Latin America, including within our own fleet of satellites, which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third-party providers causes certain risks to our business, including the following:</w:t>
      </w:r>
    </w:p>
    <w:p>
      <w:pPr>
        <w:spacing w:after="0" w:line="230"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 manufactures, some of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required to build our products. We do not generally maintain long-term agreements with our suppliers or subcontractors for our products. If we change or lose suppliers, we could experience a delay in manufacturing our products. In addition, if either our current suppliers or any new suppliers increase prices beyond what we currently pay, we may be unable to produce our products at competitive prices and we may be unable to satisfy demand from our customers.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and we may not be able to pass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costs to our customers. Additionally, we are seeing increasing inflationary price pressure and where we have fixed-price customer contracts, we may have to absorb the increased costs.</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a portion of our hardware. If these contract manufacturers fail to provide products that meet our specifications in a timely manner or at all, our business could be adversely impacted.</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Installation, customer support, and other services</w:t>
      </w:r>
      <w:r>
        <w:rPr>
          <w:rFonts w:ascii="Arial" w:cs="Arial" w:eastAsia="Arial" w:hAnsi="Arial"/>
          <w:sz w:val="18"/>
          <w:szCs w:val="18"/>
          <w:color w:val="auto"/>
        </w:rPr>
        <w:t>. Some of our products and services utilize a network of third-party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The costs incurred for these services may increase due to a shortage of experienced workers and higher salaries required to recruit and retain a skilled third-party workforce. A decline in levels of service or attention to the needs of our customers could adversely affect our reputation,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renewal rates and ability to win and retain customers. In addition, if the agreements for the provision of these services are terminated or not renewed, we could face difficulties replacing these service providers</w:t>
      </w:r>
      <w:r>
        <w:rPr>
          <w:rFonts w:ascii="Arial" w:cs="Arial" w:eastAsia="Arial" w:hAnsi="Arial"/>
          <w:sz w:val="18"/>
          <w:szCs w:val="18"/>
          <w:b w:val="1"/>
          <w:bCs w:val="1"/>
          <w:i w:val="1"/>
          <w:i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sales outside the U.S. accounted for 23.7%, 21.4% and 19.6% of our revenue for the years ended December 31, 2022, 2021 and 2020, respectively. We expect our foreign operations to represent a significant and growing portion of our business. Our foreign operations involve varying degrees of risk and uncertainties inherent in doing business abroad. Such risks include:</w:t>
      </w:r>
    </w:p>
    <w:p>
      <w:pPr>
        <w:spacing w:after="0" w:line="180" w:lineRule="exact"/>
        <w:rPr>
          <w:sz w:val="20"/>
          <w:szCs w:val="20"/>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8"/>
          <w:szCs w:val="18"/>
          <w:color w:val="auto"/>
        </w:rPr>
        <w:t>We may not be permitted to be the sole owner of our operations in some countries and may have to enter into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4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restrictions</w:t>
      </w:r>
      <w:r>
        <w:rPr>
          <w:rFonts w:ascii="Arial" w:cs="Arial" w:eastAsia="Arial" w:hAnsi="Arial"/>
          <w:sz w:val="18"/>
          <w:szCs w:val="18"/>
          <w:color w:val="auto"/>
        </w:rPr>
        <w:t>. Satellite market access, landing rights and terrestrial wireless rights are dependent on the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4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 to certain financial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 regulations requiring that we make certain satellite capacity available for “free” or available at reduced rates.</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export control and trade sanctions laws and regulations of the U.S. and other countries. A violation any export or trade-related regulations could materially adversely affect our business.</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Fluctuations in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recessions and currency devaluations have affected, and may in the future affect, revenue, profits and cash earned from our international businesses.</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Regulations may favor state-owned enterprises or local service providers</w:t>
      </w:r>
      <w:r>
        <w:rPr>
          <w:rFonts w:ascii="Arial" w:cs="Arial" w:eastAsia="Arial" w:hAnsi="Arial"/>
          <w:sz w:val="18"/>
          <w:szCs w:val="18"/>
          <w:color w:val="auto"/>
        </w:rPr>
        <w:t>. Many of the countries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traditionally had state-owned or state-granted monopolies on telecommunications services that favor an incumbent service provider. We face competition from these favored and entrenched companies in countries that have not liberalized.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our total indebtedness was $1.5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indentures governing the Hughes Satellite Systems Corporation (“HSSC”) 5.250% Senior Secured Notes due August 1, 2026 and 6.625% Senior Unsecured Notes due August 1, 2026 contain various covenants, subject to certain exceptions, that limit HSSC’s ability and/or certain of its subsidiaries’ ability to, among other things: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distributions on HSSC’s capital stock or repurchase HSSC’s capital stock;</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to exist certain restrictions on such subsidiaries’ ability to pay dividends, make distributions, make other payments, or transfer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Certain of our subsidiaries have pledged a significant portion of our assets as collateral to secure the 5.250% Senior Secured Notes due August 1,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Natural disasters could damage or destroy our ground infrastructure and/or our other or our vendors’ infrastructure, equipment and facilities, resulting in a disruption of service to our customers, which may adversely affect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To the extent Mr. Ergen is performing services for both DISH Network and us, his attention may be diverted away from our business and therefore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growth and customer retention strategies rely in part on the work of technically skilled employees.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In addition, 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attract and retain these employees, we may not succeed in these respects. Additionally, if we were to lose certain key technically skilled employees, the loss of knowledge and intellectual capital might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success of our business is dependent on our ability to recruit engineers and other professionals, including those who are citizens of other countries. Immigration laws in the U.S. and other countries in which we operate are subject to legislative and regulatory changes, as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visas for our professionals. If immigration laws are changed or if new and more restrictive government regulations are enacted or increased, our access to qualified and skilled professionals may be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ability to operate and control our satellites is subject to risks related to DISH Network’s operation and third-parties’ operation of satellite operations centers.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we transferred our satellite operation centers, which are used to monitor and control our satellites, to DISH Network in connection with our 2019 transfer to DISH of our broadband satellite services and certain related businesses and assets (the “BSS Transaction”). Therefore, we now are subject to the inherent risks of having a related party operate, maintain and manage these satellite operations centers. In addition, certain of our satellites are operated, maintained and managed by third parties.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Any single anomaly could materially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Meteoroid events, decommissioned satellites, and increased solar activity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satellites under construction, including the EchoStar XXIV satellite, are subject to risks related to construction, technology, regulations and launch that could limit our ability to utilize these satellites, increase costs and adversely affect our business.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Satellite construction and launch are subject to significant risks, including manufacturing and delivery delays, anomalies, launch failure and incorrect orbital placement. The technologies in our satellite designs are very complex and difficulties in constructing our designs could result in delays in the deployment of our satellites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increased or unanticipated costs. For example, we have seen delays in the delivery calendar for EchoStar XXIV.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our business, our ability to meet</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w:t>
      </w:r>
    </w:p>
    <w:p>
      <w:pPr>
        <w:spacing w:after="0" w:line="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that satellite a right to terminate their service contracts relating to the satellite. We may not be able to accommodate affected customers on other satellites until a replacement satellite is available. In addition, we may not be able to obtain launch or in-orbit insurance on reasonable economic terms or at all. If we do obtain launch or in-orbit insurance, it may not cover the full cost of constructing and launching or replacing a satellite nor fully cover our losses in the event of a launch failure or significant degradation.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FCC and other regulators have adopted rules or may adopt rules in the future that require us to share spectrum on a basis with other radio services. There can be no assurance that these operations would not interfere with our operations and adversely affect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our services.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demand and effective delivery for our products and services will depend significantly on the growing demand for our services, such as broadband internet connectivity. If the deployment of, or demand for, our services is not as widespread or as rapid as we or our customers expect, our revenue growth will be negatively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patents, copyrights, trademarks, trade secrets, licenses and other agreements to conduct our business. Legal challenges to our intellectual property rights and claims of intellectual property infringement could result in significant monetary liability and require us to change our business practices or limit our ability to compete effectively or could otherwise have a material adverse effect on our business. Even if any such challenges or claims prove to be without merit, they can be time-consuming and costly to defend and may divert management’s attention and resources away from our business.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we rely in part on technologies developed or licensed by third parties. If we are unable to obtain or retain licenses or other required intellectual property rights from these third parties on reasonable terms, our business could be adversely affected. In addition, we work with suppliers for the development and manufacture of components that are integrated into our products and our products may contain technologies provided to us by these suppliers. We may have little or no ability to determine in advance whether any such technology infringes the intellectual property rights of others, or whether such suppliers have obtained or continue to obtain the appropriate licenses or other intellectual property rights to use such technology. Our suppliers may not be required to indemnify us in the event that a claim of infringement is asserted against us, or they may be required to indemnify us only up</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a maximum amount. Legal challenges to these intellectual property rights may impair our ability to use the products and technologies that we need in order to operate our business and may have a material adverse effect on our business. See further discussion under Item 1. Business — Patents and Trademarks and Item 3. Legal Proceedings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or governmental proceedings could result in material adverse consequences.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lawsuits, regulatory inquiries, audits, consumer claims and governmental and other legal proceedings. Some of these proceedings may raise difficult and complicated factual and legal issues and can be subject to uncertainties and complexities. The timing of the final resolutions is typically uncertain. Additionally, the possible outcomes of, or resolutions to, these proceedings could include adverse judgments, settlements, injunctions or liabilities, any of which could require substantial payments or have other adverse impacts on our business.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products and the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and failure to remedy, any defects, errors or failures in our products or network services could materially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confidentiality, integrity, and availability of our services and products depends on the continuing operation of our information technology and other enabling systems.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systems are vulnerable to damage, intrusion, or disruption from criminal and/or terrorist attacks, telecommunications failures, computer viruses, ransomware attacks, digital denial of service attacks, phishing, 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businesses expose us to additional risks that could harm our business.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continue to grow. In addition to risks described elsewhere in this segment, the different regions and countries in which we operate our businesses outside of the U.S. expose us to increased risks due to different privacy and cyber-related laws in each of these locations. The same cyber-related issue could have different consequences depending on the region or country of occurrence, the laws applicable in each case and the different levels of enforcement by regulatory and governmental authorities in each jurisdiction. These risks include but are not limited to the following:</w:t>
      </w:r>
    </w:p>
    <w:p>
      <w:pPr>
        <w:spacing w:after="0" w:line="229" w:lineRule="exact"/>
        <w:rPr>
          <w:sz w:val="20"/>
          <w:szCs w:val="20"/>
          <w:color w:val="auto"/>
        </w:rPr>
      </w:pPr>
    </w:p>
    <w:p>
      <w:pPr>
        <w:ind w:left="660" w:hanging="328"/>
        <w:spacing w:after="0" w:line="22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privacy and security concerns relating to our technology and our practices could damage our reputation, cause us to incur significant liability, and deter current and potential users or customers from using our products and services.</w:t>
      </w:r>
    </w:p>
    <w:p>
      <w:pPr>
        <w:spacing w:after="0" w:line="1" w:lineRule="exact"/>
        <w:rPr>
          <w:rFonts w:ascii="Arial" w:cs="Arial" w:eastAsia="Arial" w:hAnsi="Arial"/>
          <w:sz w:val="18"/>
          <w:szCs w:val="18"/>
          <w:color w:val="auto"/>
        </w:rPr>
      </w:pPr>
    </w:p>
    <w:p>
      <w:pPr>
        <w:ind w:left="660" w:hanging="328"/>
        <w:spacing w:after="0" w:line="234"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Software bugs or defects, security breaches, and attacks on our systems could result in the improper disclosure of our user data which could harm our business reputation.</w:t>
      </w:r>
    </w:p>
    <w:p>
      <w:pPr>
        <w:spacing w:after="0" w:line="1" w:lineRule="exact"/>
        <w:rPr>
          <w:rFonts w:ascii="Arial" w:cs="Arial" w:eastAsia="Arial" w:hAnsi="Arial"/>
          <w:sz w:val="18"/>
          <w:szCs w:val="18"/>
          <w:color w:val="auto"/>
        </w:rPr>
      </w:pPr>
    </w:p>
    <w:p>
      <w:pPr>
        <w:jc w:val="both"/>
        <w:ind w:left="660" w:hanging="328"/>
        <w:spacing w:after="0"/>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our practices about the collection, use, disclosure, or security of personal information or other data-privacy-related matters, even if unsubstantiated, could harm our reputation and financial condition. Our policies and practices may change over time as expectations regarding privacy and data change.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experience cyber-attacks and other attempts to gain unauthorized access to our systems on a consistent basis.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experienced and may experience in the future security issues, whether due to insider error or malfeasance or system errors or vulnerabilities in our or our 3rd parties’ systems, which could result in substantial legal and financial exposure, government inquiries and enforcement actions, litigation, and unfavorable media coverage. We may be unable to anticipate or detect attacks or vulnerabilities or implement adequate preventative measures. Attacks and security issues could also compromise trade secrets and other sensitive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ongoing investments in security will likely continue to identify new vulnerabilities within our services and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efforts to mitigate cyber-attacks, we are making significant investments to assure that our products are resistant to</w:t>
      </w:r>
    </w:p>
    <w:p>
      <w:pPr>
        <w:jc w:val="both"/>
        <w:spacing w:after="0" w:line="226" w:lineRule="auto"/>
        <w:rPr>
          <w:sz w:val="20"/>
          <w:szCs w:val="20"/>
          <w:color w:val="auto"/>
        </w:rPr>
      </w:pPr>
      <w:r>
        <w:rPr>
          <w:rFonts w:ascii="Arial" w:cs="Arial" w:eastAsia="Arial" w:hAnsi="Arial"/>
          <w:sz w:val="18"/>
          <w:szCs w:val="18"/>
          <w:color w:val="auto"/>
        </w:rPr>
        <w:t>compromise. As a result of these efforts, we could discover new vulnerabilities within our products and systems that would be undesirable for our users and customers. We may not discover all such vulnerabilities due to the scale of activities on our platforms, or due to other factors,</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including but not limited to issues outside of our control such as natural disasters/climate change such as sea level rise, drought, flooding, wildfires, increased storm severity, pandemics like COVID-19 and power loss, and we may be notified of such vulnerabilities via third parties. Any of the foregoing developments may negatively affect user and customer trust, harm our reputation and brands, and adversely affect our business and financial results. Any such developments may also subject us to litigation and regulatory inquiries, which could result in monetary penalties and damages, distract management’s time and attention, and lead to enhanced regulatory oversight.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data privacy laws may be costly, and non-compliance with such laws may result in significant liability.</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personal information and data we process and store is increasingly subject to data security and data privacy laws of many jurisdictions. These laws impose a significant compliance burden and complying with them has required us to change our business practices or the functionality of our products and services. Privacy laws and regulations are becoming more complex and onerous, and a data privacy breach could have a material adverse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risk of non-compliance with laws and regulations, including the risk of changes to laws and regulations, could adversely affect our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subject to possible renewal. Generally, our licenses and special temporary authorizations have been renewed on a routine basis, but there can be no assurance that this will continue.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BSS TRANSACTION</w:t>
      </w:r>
    </w:p>
    <w:p>
      <w:pPr>
        <w:spacing w:after="0" w:line="252"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color w:val="auto"/>
        </w:rPr>
        <w:t>If the BSS Transaction does not qualify as a tax</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free distribution and merger under the Internal Revenue Code of 1986, as amended (the “Code”), then we and/or our stockholders may be required to pay substantial U.S. federal income taxes and under certain circumstances we may have indemnification obligations to DISH Network.</w:t>
      </w:r>
    </w:p>
    <w:p>
      <w:pPr>
        <w:spacing w:after="0" w:line="24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parties to the BSS Transaction received a tax opinion from their respective counsels as to the tax</w:t>
      </w:r>
      <w:r>
        <w:rPr>
          <w:rFonts w:ascii="MS PGothic" w:cs="MS PGothic" w:eastAsia="MS PGothic" w:hAnsi="MS PGothic"/>
          <w:sz w:val="18"/>
          <w:szCs w:val="18"/>
          <w:color w:val="auto"/>
        </w:rPr>
        <w:t>‑</w:t>
      </w:r>
      <w:r>
        <w:rPr>
          <w:rFonts w:ascii="Arial" w:cs="Arial" w:eastAsia="Arial" w:hAnsi="Arial"/>
          <w:sz w:val="18"/>
          <w:szCs w:val="18"/>
          <w:color w:val="auto"/>
        </w:rPr>
        <w:t>free nature of the transaction. They did not obtain a private letter ruling from the IRS in this respect and instead are relying solely on their respective tax opinions for comfort that the transaction qualifies for tax</w:t>
      </w:r>
      <w:r>
        <w:rPr>
          <w:rFonts w:ascii="MS PGothic" w:cs="MS PGothic" w:eastAsia="MS PGothic" w:hAnsi="MS PGothic"/>
          <w:sz w:val="18"/>
          <w:szCs w:val="18"/>
          <w:color w:val="auto"/>
        </w:rPr>
        <w:t>‑</w:t>
      </w:r>
      <w:r>
        <w:rPr>
          <w:rFonts w:ascii="Arial" w:cs="Arial" w:eastAsia="Arial" w:hAnsi="Arial"/>
          <w:sz w:val="18"/>
          <w:szCs w:val="18"/>
          <w:color w:val="auto"/>
        </w:rPr>
        <w:t>free treatment for U.S. federal income tax purposes under the Code. The failure of any factual representation or assumption to be true, correct and complete, or any undertaking to be fully complied with, could affect the validity of the tax opinions and result in tax liabilities for our shareholders and/or 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one principal stockholder who is our Chairman.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Charles W. Ergen, our Chairman, beneficially owns approximately 60% of our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6, 2023) and beneficially owns approximately 93% of the total voting power of all classes of shares (assuming no conversion of any Class B common stock and giving effect to the exercise of options held by Mr. Ergen that are either currently exercisable as of, or may become exercisable within 60 days after, February 6, 2023).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our common ownership.</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substantial majority of the voting power of the shares of each of EchoStar and DISH is owned beneficially by Charles W. Ergen, our Chairman, and by certain entities established for the benefit of his family. 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223"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Cross directorships and stock ownership</w:t>
      </w:r>
      <w:r>
        <w:rPr>
          <w:rFonts w:ascii="Arial" w:cs="Arial" w:eastAsia="Arial" w:hAnsi="Arial"/>
          <w:sz w:val="18"/>
          <w:szCs w:val="18"/>
          <w:color w:val="auto"/>
        </w:rPr>
        <w:t>. Charles W. Ergen serves as the Chairman of our and DISH’s board of directors,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employed by both companies and has fiduciary duties to our and DISH’s shareholders. Mr. Ergen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some of our directors and officers, including Mr. Ergen, own DISH stock and options to purchase DISH stock. These ownership interests could create actual, apparent or potential conflicts of interest when these individuals are faced with decisions that could have different implications for our company and DISH Network.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52"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Intercompany agreements with DISH Network</w:t>
      </w:r>
      <w:r>
        <w:rPr>
          <w:rFonts w:ascii="Arial" w:cs="Arial" w:eastAsia="Arial" w:hAnsi="Arial"/>
          <w:sz w:val="18"/>
          <w:szCs w:val="18"/>
          <w:color w:val="auto"/>
        </w:rPr>
        <w:t>. We have entered into various agreements with DISH Network.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agreements, we obtain certain products, services and rights from DISH Network; DISH Network obtains certain products, services and rights from us; and we and DISH Network indemnify each other against certain liabilities 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and were not the result of arm’s length negotiations. The allocation of assets, liabilities, rights, indemnifications and other obligations between DISH Network and us under certain agreements with DISH Network may not necessarily reflect what two unaffiliated parties might have agreed to. Had these agreements been negotiated with unaffiliated third parties, their terms may have been more or less favorable to us. In addition, DISH Network or its affiliates will likely continue to enter into transactions, including joint ventures, acquisitions, dispositions and other strategic initiatives and transactions, with us or other affiliates. Although the terms of any such transactions will be established based upon negotiations between us and DISH Network and, when appropriate, subject to approval by a committee of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59"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Competition for business opportunities</w:t>
      </w:r>
      <w:r>
        <w:rPr>
          <w:rFonts w:ascii="Arial" w:cs="Arial" w:eastAsia="Arial" w:hAnsi="Arial"/>
          <w:sz w:val="18"/>
          <w:szCs w:val="18"/>
          <w:color w:val="auto"/>
        </w:rPr>
        <w:t>. DISH Network may have interests in various companies that have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affiliates that own or operate domestic or foreign services that may compete with services offered by our businesses. From time to time we may pursue the same business opportunities as DISH Network, such as when we participate in auctions for spectrum or orbital slots for our satellites or other business opportunities. In certain auctions, we and DISH Network may be prohibited from participating separately, and cooperating with DISH Network may result in a less favorable outcome for us.</w:t>
      </w:r>
    </w:p>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 may be difficult for a third party to acquire us, even if doing so may be beneficial to our shareholders, because of our capital structure.</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provisions of our articles of incorporation and bylaws may discourage, delay or prevent a change in control of our company that a shareholder may consider favorable. These provisions include the following:</w:t>
      </w:r>
    </w:p>
    <w:p>
      <w:pPr>
        <w:spacing w:after="0" w:line="198" w:lineRule="exact"/>
        <w:rPr>
          <w:sz w:val="20"/>
          <w:szCs w:val="20"/>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6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that authorizes the issuance of “blank check” preferred stock, which could be issued by our board of directors to increase the number of outstanding shares and thwart a takeover attempt;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limiting who may call special meetings of shareholders; and</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above, Mr. Ergen beneficially owns approximately 60% of our total equity securities and approximately 93% of the total voting power of all classes of shares and such ownership may make it impractical for any third party to obtain control of us.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Our operations, and those of our customers, suppliers, vendors, and other third parties with whom we conduct business, including regulatory agencies,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effects of the COVID-19 pandemic have disrupted our and our customers’, suppliers’, vendors’ and other business partners’ and investees’ businesses, and have delayed the manufacture and deployment of our satellites, specifically our EchoStar XXIV satellite. Additionally, some regulatory bodies may still have reduced activities which may materially delay the review and/or approval of licenses or authorizations we need to operate our business. We cannot currently estimate or determine the final magnitude of these impacts.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many of our subscribers continue to work remotely or engage in distance learning. These activities have increased the usage on our HughesNet service so that there is little or no capacity remaining for subscriber growth in our most popular geographic areas. This limitation on capacity has resulted in our subscribers experiencing slower speeds, which, in turn, has resulted in higher churn.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or increase costs with respect to such claims.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00" w:lineRule="exact"/>
        <w:rPr>
          <w:sz w:val="20"/>
          <w:szCs w:val="20"/>
          <w:color w:val="auto"/>
        </w:rPr>
      </w:pP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100 Inverness Terrace East, Englewood, Colorado 80112-5308 and our telephone number is</w:t>
      </w:r>
    </w:p>
    <w:p>
      <w:pPr>
        <w:spacing w:after="0" w:line="9" w:lineRule="exact"/>
        <w:rPr>
          <w:sz w:val="20"/>
          <w:szCs w:val="20"/>
          <w:color w:val="auto"/>
        </w:rPr>
      </w:pPr>
    </w:p>
    <w:p>
      <w:pPr>
        <w:jc w:val="both"/>
        <w:ind w:firstLine="8"/>
        <w:spacing w:after="0" w:line="256" w:lineRule="auto"/>
        <w:tabs>
          <w:tab w:leader="none" w:pos="4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706-4000. We operate various facilities in the United States and abroad. We believe that our facilities are well maintained and are sufficient to meet our current and projected needs. The following table sets forth certain information concerning our principal properties related to our Hughes segment, our ESS segment, and our Corporate and Other segment as of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Segment(s)</w:t>
            </w:r>
          </w:p>
        </w:tc>
        <w:tc>
          <w:tcPr>
            <w:tcW w:w="5520" w:type="dxa"/>
            <w:vAlign w:val="bottom"/>
          </w:tcPr>
          <w:p>
            <w:pPr>
              <w:ind w:left="2380"/>
              <w:spacing w:after="0"/>
              <w:rPr>
                <w:sz w:val="20"/>
                <w:szCs w:val="20"/>
                <w:color w:val="auto"/>
              </w:rPr>
            </w:pPr>
            <w:r>
              <w:rPr>
                <w:rFonts w:ascii="Arial" w:cs="Arial" w:eastAsia="Arial" w:hAnsi="Arial"/>
                <w:sz w:val="18"/>
                <w:szCs w:val="18"/>
                <w:b w:val="1"/>
                <w:bCs w:val="1"/>
                <w:color w:val="auto"/>
              </w:rPr>
              <w:t>Function</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auto"/>
            </w:tcBorders>
            <w:shd w:val="clear" w:color="auto" w:fill="CCEEFF"/>
          </w:tcPr>
          <w:p>
            <w:pPr>
              <w:spacing w:after="0"/>
              <w:rPr>
                <w:sz w:val="19"/>
                <w:szCs w:val="19"/>
                <w:color w:val="auto"/>
              </w:rPr>
            </w:pP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ESS/Corporate and Other</w:t>
            </w:r>
          </w:p>
        </w:tc>
        <w:tc>
          <w:tcPr>
            <w:tcW w:w="5520" w:type="dxa"/>
            <w:vAlign w:val="bottom"/>
          </w:tcPr>
          <w:p>
            <w:pPr>
              <w:ind w:left="20"/>
              <w:spacing w:after="0"/>
              <w:rPr>
                <w:sz w:val="20"/>
                <w:szCs w:val="20"/>
                <w:color w:val="auto"/>
              </w:rPr>
            </w:pPr>
            <w:r>
              <w:rPr>
                <w:rFonts w:ascii="Arial" w:cs="Arial" w:eastAsia="Arial" w:hAnsi="Arial"/>
                <w:sz w:val="18"/>
                <w:szCs w:val="18"/>
                <w:color w:val="auto"/>
              </w:rPr>
              <w:t>Corporate headquarters and ESS operations</w:t>
            </w:r>
          </w:p>
        </w:tc>
      </w:tr>
      <w:tr>
        <w:trPr>
          <w:trHeight w:val="188"/>
        </w:trPr>
        <w:tc>
          <w:tcPr>
            <w:tcW w:w="3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Germantown, Maryland</w:t>
            </w:r>
          </w:p>
        </w:tc>
        <w:tc>
          <w:tcPr>
            <w:tcW w:w="23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Hughes corporate headquarters, engineering offices, network</w:t>
            </w:r>
          </w:p>
        </w:tc>
      </w:tr>
      <w:tr>
        <w:trPr>
          <w:trHeight w:val="230"/>
        </w:trPr>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shared hubs</w:t>
            </w:r>
          </w:p>
        </w:tc>
      </w:tr>
      <w:tr>
        <w:trPr>
          <w:trHeight w:val="188"/>
        </w:trPr>
        <w:tc>
          <w:tcPr>
            <w:tcW w:w="3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Griesheim, Germany</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Hughes/Corporate and</w:t>
            </w:r>
          </w:p>
        </w:tc>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Shared hub, operations, administrative offices and warehouse</w:t>
            </w:r>
          </w:p>
        </w:tc>
      </w:tr>
      <w:tr>
        <w:trPr>
          <w:trHeight w:val="224"/>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Other</w:t>
            </w:r>
          </w:p>
        </w:tc>
        <w:tc>
          <w:tcPr>
            <w:tcW w:w="5520" w:type="dxa"/>
            <w:vAlign w:val="bottom"/>
          </w:tcPr>
          <w:p>
            <w:pPr>
              <w:spacing w:after="0"/>
              <w:rPr>
                <w:sz w:val="19"/>
                <w:szCs w:val="19"/>
                <w:color w:val="auto"/>
              </w:rPr>
            </w:pPr>
          </w:p>
        </w:tc>
      </w:tr>
      <w:tr>
        <w:trPr>
          <w:trHeight w:val="277"/>
        </w:trPr>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Gilbert, Arizona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San Diego, California</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 and equipment</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Manufacturing and testing facilities and logistics offices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Southfield, Michigan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Shared hub and regional network management center</w:t>
            </w:r>
          </w:p>
        </w:tc>
      </w:tr>
      <w:tr>
        <w:trPr>
          <w:trHeight w:val="188"/>
        </w:trPr>
        <w:tc>
          <w:tcPr>
            <w:tcW w:w="3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Las Vegas, Nevada</w:t>
            </w:r>
          </w:p>
        </w:tc>
        <w:tc>
          <w:tcPr>
            <w:tcW w:w="23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Shared hub, antennae yards, gateway, backup network operation</w:t>
            </w:r>
          </w:p>
        </w:tc>
      </w:tr>
      <w:tr>
        <w:trPr>
          <w:trHeight w:val="230"/>
        </w:trPr>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control center for Hughes corporate headquarters</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Cheyenne, Wyoming</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rPr>
              <w:t>Hughes/ESS</w:t>
            </w:r>
          </w:p>
        </w:tc>
        <w:tc>
          <w:tcPr>
            <w:tcW w:w="5520" w:type="dxa"/>
            <w:vAlign w:val="bottom"/>
          </w:tcPr>
          <w:p>
            <w:pPr>
              <w:ind w:left="20"/>
              <w:spacing w:after="0"/>
              <w:rPr>
                <w:sz w:val="20"/>
                <w:szCs w:val="20"/>
                <w:color w:val="auto"/>
              </w:rPr>
            </w:pPr>
            <w:r>
              <w:rPr>
                <w:rFonts w:ascii="Arial" w:cs="Arial" w:eastAsia="Arial" w:hAnsi="Arial"/>
                <w:sz w:val="18"/>
                <w:szCs w:val="18"/>
                <w:color w:val="auto"/>
              </w:rPr>
              <w:t>Gateways, equipment and ESS operations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Barueri, Brazil</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hub</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Sao Paulo, Brazil</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Brazil corporate headquarters, sales offices and warehouse</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office and office space</w:t>
            </w:r>
          </w:p>
        </w:tc>
      </w:tr>
      <w:tr>
        <w:trPr>
          <w:trHeight w:val="188"/>
        </w:trPr>
        <w:tc>
          <w:tcPr>
            <w:tcW w:w="3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Gurgaon, India</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Administrative offices, shared hub, operations, warehouse, and</w:t>
            </w:r>
          </w:p>
        </w:tc>
      </w:tr>
      <w:tr>
        <w:trPr>
          <w:trHeight w:val="224"/>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development center</w:t>
            </w:r>
          </w:p>
        </w:tc>
      </w:tr>
      <w:tr>
        <w:trPr>
          <w:trHeight w:val="236"/>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Delhi,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Milton Keynes, United Kingdom</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bl>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21 in our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r>
        <w:rPr>
          <w:rFonts w:ascii="Arial" w:cs="Arial" w:eastAsia="Arial" w:hAnsi="Arial"/>
          <w:sz w:val="18"/>
          <w:szCs w:val="18"/>
          <w:color w:val="auto"/>
        </w:rPr>
        <w:t>. Our Class A common stock is publicly traded on the NASDAQ Global Select Market under the symbol “SATS.”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Holders. </w:t>
      </w:r>
      <w:r>
        <w:rPr>
          <w:rFonts w:ascii="Arial" w:cs="Arial" w:eastAsia="Arial" w:hAnsi="Arial"/>
          <w:sz w:val="18"/>
          <w:szCs w:val="18"/>
          <w:color w:val="auto"/>
        </w:rPr>
        <w:t>As of February 6, 2023, there were 35,594,333 shares of our Class A common stock outstanding held by 7,316 holders of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Class A common stock, not including stockholders who beneficially own Class A common stock held in nominee or street name. As of February 6, 2023, there were 47,687,039 shares of our Class B common stock outstanding, of which 25,066 shares were held by Charles W. Ergen, our Chairman and 47,661,973 shares were held in trusts and entities established for the benefit of Mr. Ergen’s family. There is currently no established trading market for our Class B common stock.</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We currently do not intend to declare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on our common stock. Payment of any future dividends will depend upon our earnings, capital requirements, contractual restrictions and other factors the board of directors considers appropriate. We currently intend to retain our earnings, if any, to support operations, future growth and expansion, although we have repurchased and may, in the future, repurchase shares of our common stock from time to time. Our ability to declare dividends is affected by the covenants in our subsidiary HSSC’s indentures. See further discussion under Item 7. Management’s Discussion and Analysis of Financial Condition and Results of Operations — Liquidity and Capital Resources of this Form 10-K.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r>
        <w:rPr>
          <w:rFonts w:ascii="Arial" w:cs="Arial" w:eastAsia="Arial" w:hAnsi="Arial"/>
          <w:sz w:val="18"/>
          <w:szCs w:val="18"/>
          <w:color w:val="auto"/>
        </w:rPr>
        <w:t>. See Item 12. Security Ownership of Certain Beneficial Owners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Management and Related Stockholder Matters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year ended December 31, 2022, we repurchased 3,980,612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December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2"/>
                <w:szCs w:val="12"/>
                <w:color w:val="auto"/>
              </w:rPr>
            </w:pPr>
          </w:p>
        </w:tc>
        <w:tc>
          <w:tcPr>
            <w:tcW w:w="15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Per Share (or Unit)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Plans or Program (1)</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6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November 1 - 30</w:t>
            </w:r>
          </w:p>
        </w:tc>
        <w:tc>
          <w:tcPr>
            <w:tcW w:w="1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9"/>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80" w:firstLine="9"/>
        <w:spacing w:after="0" w:line="277" w:lineRule="auto"/>
        <w:tabs>
          <w:tab w:leader="none" w:pos="22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All shares repurchased have been converted to treasury shares.</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Management’s Discussion and Analysis of our Financial Condition and Results of Operations (“Management’s Discussion and Analysis”) should be read in conjunction with our Consolidated Financial Statements.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of this Form 10-K for further discussion. For a discussion of additional risks, uncertainties and other factors that could impact our results of operations or financial condition, see Item 1A. Risk Factors of this Form 10-K. Further, such forward-looking statements speak only as of the date of this Form 10-K and we undertake no obligation to update them.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currently operate in two business segments: our Hughes segment and our ESS segment. Our operations include various corporate functions that have not been assigned to our business segments. These activities, costs and income, as well as eliminations of intersegment transactions, are accounted for in our Corporate and Other segment in our segment reporting.</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amounts presented in this Management’s Discussion and Analysis are expressed in thousands of U.S. dollars, except share and per share amounts and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continues to focus its efforts on optimizing financial returns of our existing satellites while planning for new satellite capacity to be launched, leased or acquired.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experienced a material adverse impact from the Russia-Ukraine conflict and the associated sanctions.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4, 2022, our India JV was formed, which allows us to offer flexible and scalable enterprise networking solutions using satellite connectivity for primary transport, back-up and hybrid implementation in India.</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launch the EchoStar XXIV satellite in the second quarter of 2023. The EchoStar XXIV satellite is primarily intended to provide additional capacity for our HughesNet service in North, Central and South America as well as enterprise broadband services. Following delays of over two years, in November 2022 we negotiated an amendment to our contract with the manufacturer to provide for additional compensation for past delays and a realignment of remedies. See Item 1 Business – Hughes Segment of this Form 10-K for further information. Delay in the availability of the EchoStar XXIV satellite could have a material adverse impact on our business operations, future revenues, financial position and prospects, and our planned expansion of satellite broadband services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throughout North, South and Central America. Capital expenditures associated with the construction and launch of the EchoStar XXIV satellite are included in our Corporate and Other segment in our segment reporting.</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approximate number of broadband subscribers: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 of December 31,</w:t>
            </w:r>
          </w:p>
        </w:tc>
        <w:tc>
          <w:tcPr>
            <w:tcW w:w="184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1,189,000</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297,000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r>
      <w:tr>
        <w:trPr>
          <w:trHeight w:val="248"/>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1,228,000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1,462,000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number of net subscriber additions for each quarter in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For the Three Months Ended</w:t>
            </w:r>
          </w:p>
        </w:tc>
        <w:tc>
          <w:tcPr>
            <w:tcW w:w="154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940" w:type="dxa"/>
            <w:vAlign w:val="bottom"/>
            <w:gridSpan w:val="2"/>
          </w:tcPr>
          <w:p>
            <w:pPr>
              <w:ind w:left="30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r>
      <w:tr>
        <w:trPr>
          <w:trHeight w:val="248"/>
        </w:trPr>
        <w:tc>
          <w:tcPr>
            <w:tcW w:w="4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ability to gain new customers and retain existing customers in the U.S. is being impacted by our capacity limitations as well as competitive pressure from satellite-based competitors and other technologies. For the three months ended December 31, 2022, these factors resulted in lower total subscribers as compared to the three months ended September 30, 2022.</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gain new customers and retain existing customers in Latin America is also being impacted by adverse economic conditions. In addition, capacity constraints in certain areas limit our ability to add new subscribers. For the three months ended December 31, 2022, the decline in net subscribers was primarily due to more selective customer screening and improved churn as compared to the three months ended September 30, 2022.</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continued to execute our strategy of maximizing financial returns by utilizing capacity for higher economic value enterprise and government applications in Latin America. Continued success of this strategy will further reduce the available capacity for consumer subscribers.</w:t>
      </w:r>
    </w:p>
    <w:p>
      <w:pPr>
        <w:spacing w:after="0" w:line="23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of December 31, 2022 and 2021, our Hughes segment had $1.5 billion and $1.4 billion of contracted revenue backlog, respectively, an increase of 7.1% during that period, primarily due to an increase in contracts from our domestic and international customers. Of the total</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Hughes segment contracted revenue backlog as of December 31, 2022, we expect to recognize $461.0 million of revenue in 2023. We define Hughes segment contracted revenue backlog as our expected future revenue under enterprise customer contracts that are non-cancelable, including lease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Assessment</w:t>
      </w:r>
    </w:p>
    <w:p>
      <w:pPr>
        <w:spacing w:after="0" w:line="3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test goodwill for impairment annually in our second fiscal quarter, or more frequently if indicators of impairment exist. Goodwill is assessed for impairment at the reporting unit level. Reporting units are identified based on how segment management evaluates the results of segment operations and makes resource allocation decisions to such reporting units. All of our goodwill is assigned to our Hughes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segment. We conducted our annual impairment test of goodwill during our second fiscal quarter on a qualitative basis and determined that no adjustment to the carrying value of goodwill was then necessary because the fair value exceeded carrying value for our Hughes reporting unit.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5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During the quarter ended December 31, 2022, we conducted a quantitative interim test of goodwill for all of our reporting units due to the decline of our stock price since our interim test in the third quarter of 2022. As a result of this interim test, no goodwill impairment was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identified. The fair value of the Hughes reporting unit exceeded the carrying value by more than 20%. We concluded that there were no other indicators of impairment for the quarter ended December 31, 2022. Given the decline in our stock price during the year ended December 31,</w:t>
      </w:r>
    </w:p>
    <w:p>
      <w:pPr>
        <w:spacing w:after="0" w:line="2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2022, we believe it is reasonably possible that a further sustained decline in our stock price and market capitalization would result in all or a significant portion of our goodwill becoming impaired. The impairment of goodwill has no effect on liquidity or capital resources. However, it would result in a material non-cash charge and would materially adversely affect our financial results in the period recognized.</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estimating the fair value of our Hughes reporting unit, we used a combination of the discounted cash flow and market multiple methodologies. We weighted 50% of the fair value using a discounted cash flow methodology and 50% using a market multiple approach. Although we concluded that recent transactions further supported our estimate of fair value, we gave them no such weight as the discounted cash flow and market multiple methodologies were considered more relevant and more reliable to be used in our fair value estimate.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discounted cash flow methodology, we developed and utilized a range of inputs that we believe to be reasonable and appropriately conservative. These inputs included, but were not limited to, revenue growth, EBITDA margins, capital expenditures, a terminal growth rate and a discount rate. In our market multiple approach, we also utilized what we believe to be a reasonable and appropriately conservative range of revenue and EBITDA multiples.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and 2021, our ESS segment had contracted revenue backlog of $22.3 million and $10.4 million, respectively, an increase of 114.4% during that period, primarily due to an increase in satellite service contracts with existing and new customers. Of the total ESS segment contracted revenue backlog as of December 31, 2022, we expect to recognize $16.5 million of revenue in 2023. We define contracted revenue backlog for our ESS segment as contracted future satellite lease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Segment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first quarter of 2023, we lost contact with our third nano-satellite (“EG-3”), which was launched in the second quarter of 2021 and brought into use our Sirion-1 ITU filing in the third quarter of 2021. We are continuing attempts to reestablish contact with EG-3, and in the event we are unable to do so, we will have three years to place a new S-band spacecraft at the altitude prescribed in our Australian ITU filing. We expect the first group of S-band satellites recently ordered from Astro Digital to be launched well in advance of the three year replacement timeline. We are not aware of any other anomalies with respect to our owned or leased satellites as of the date of these Consolidated Financial Statements. There can be no assurance, however, that anomalies will not have a significant adverse effect in the future. In addition, there can be no assurance that we can recover critical transmission capacity in the event one or more of our satellites were to fail.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2022 and through February 22, 2023. There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can be no assurance, however, that any such incident can be detected or thwarted or will not have such a material adverse effect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Consolidated Financial Statements.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generally accepted accounting principles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our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2022:</w:t>
      </w:r>
    </w:p>
    <w:p>
      <w:pPr>
        <w:spacing w:after="0" w:line="27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of $2.0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income of $189.6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$166.5 million</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$177.1 million and basic and diluted earnings per share of common stock of $2.10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of $707.6 million (see reconciliation of this non-GAAP measure in Results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2022:</w:t>
      </w:r>
    </w:p>
    <w:p>
      <w:pPr>
        <w:spacing w:after="0" w:line="27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assets of $6.2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2022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year ended December 31,</w:t>
            </w:r>
          </w:p>
        </w:tc>
        <w:tc>
          <w:tcPr>
            <w:tcW w:w="240" w:type="dxa"/>
            <w:vAlign w:val="bottom"/>
          </w:tcPr>
          <w:p>
            <w:pPr>
              <w:spacing w:after="0"/>
              <w:rPr>
                <w:sz w:val="20"/>
                <w:szCs w:val="20"/>
                <w:color w:val="auto"/>
              </w:rPr>
            </w:pPr>
          </w:p>
        </w:tc>
        <w:tc>
          <w:tcPr>
            <w:tcW w:w="1720" w:type="dxa"/>
            <w:vAlign w:val="bottom"/>
            <w:gridSpan w:val="3"/>
          </w:tcPr>
          <w:p>
            <w:pPr>
              <w:ind w:left="880"/>
              <w:spacing w:after="0"/>
              <w:rPr>
                <w:sz w:val="20"/>
                <w:szCs w:val="20"/>
                <w:color w:val="auto"/>
              </w:rPr>
            </w:pPr>
            <w:r>
              <w:rPr>
                <w:rFonts w:ascii="Arial" w:cs="Arial" w:eastAsia="Arial" w:hAnsi="Arial"/>
                <w:sz w:val="16"/>
                <w:szCs w:val="16"/>
                <w:b w:val="1"/>
                <w:bCs w:val="1"/>
                <w:color w:val="auto"/>
              </w:rPr>
              <w:t>Variance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1,623,931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1,715,287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(91,356)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374,162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270,433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1,998,093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1,985,720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6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569,755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551,679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6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292,318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231,975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455,234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461,705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32,810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457,621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06"/>
        </w:trPr>
        <w:tc>
          <w:tcPr>
            <w:tcW w:w="49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1,808,449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1,768,710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189,644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217,010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2"/>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1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(57,170)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(95,512)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69,531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77"/>
        </w:trPr>
        <w:tc>
          <w:tcPr>
            <w:tcW w:w="494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Equity in earnings (losses) of unconsolidated affiliates,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(5,703)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177"/>
        </w:trPr>
        <w:tc>
          <w:tcPr>
            <w:tcW w:w="494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Other-than-temporary impairment losses on equity</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method investments</w:t>
            </w:r>
          </w:p>
        </w:tc>
        <w:tc>
          <w:tcPr>
            <w:tcW w:w="160" w:type="dxa"/>
            <w:vAlign w:val="bottom"/>
          </w:tcPr>
          <w:p>
            <w:pPr>
              <w:spacing w:after="0"/>
              <w:rPr>
                <w:sz w:val="17"/>
                <w:szCs w:val="17"/>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43,579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(88,663)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132,242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2"/>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233,223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166,548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177"/>
        </w:trPr>
        <w:tc>
          <w:tcPr>
            <w:tcW w:w="494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10,503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10,154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0"/>
        </w:trPr>
        <w:tc>
          <w:tcPr>
            <w:tcW w:w="49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income (loss) attributable to EchoStar Corporation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177,051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72,875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104,176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940" w:type="dxa"/>
            <w:vAlign w:val="bottom"/>
            <w:tcBorders>
              <w:bottom w:val="single" w:sz="8" w:color="CCEEFF"/>
            </w:tcBorders>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common stock</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707,617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702,541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40" w:type="dxa"/>
            <w:vAlign w:val="bottom"/>
            <w:tcBorders>
              <w:bottom w:val="single" w:sz="8" w:color="CCEEFF"/>
            </w:tcBorders>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Subscribers, end of period</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1,228,000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1,462,000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4" w:lineRule="exact"/>
        <w:rPr>
          <w:rFonts w:ascii="Arial" w:cs="Arial" w:eastAsia="Arial" w:hAnsi="Arial"/>
          <w:sz w:val="14"/>
          <w:szCs w:val="14"/>
          <w:color w:val="auto"/>
        </w:rPr>
      </w:pPr>
    </w:p>
    <w:p>
      <w:pPr>
        <w:ind w:left="340" w:hanging="332"/>
        <w:spacing w:after="0" w:line="278" w:lineRule="auto"/>
        <w:tabs>
          <w:tab w:leader="none" w:pos="444"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relates to our results of operations for the year ended December 31, 2022 compared to the year ended December 31, 2021:</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$1.6 billion for the year ended December 31, 2022, a decrease of $91.4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5.3%, as compared to 2021. The decrease was primarily attributable to our Hughes segment related to lower sales of broadband services to our consumer customers of $103.1 million, partially offset by higher sales of broadband services to our enterprise customers of $5.3 million and to our mobile satellite system and other customers of $4.5 million. Our ESS segment increased by $2.9 million. These variances reflect an estimated negative impact of exchange rate fluctuations of $5.9 million, primarily attributable to our enterprise customers.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$374.2 million for the year ended December 31, 2022, an increase of $103.7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38.4%, as compared to 2021. The increase was primarily attributable to: i) increases in hardware sales to our enterprise customers of $102.6 million mainly associated with a certain customer in North America and to international customers, and ii) increases on our hardware sales to our mobile satellite system customers of $6.6 million, partially offset by decreases in hardware sales of $5.5 million to our consumer customers.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$569.8 million for the year ended December 31, 2022,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$18.1 million, or 3.3%, as compared to 2021. The increase was attributable to a non-recurring decrease in a certain international regulatory fee of $4.5 million in 2021 and increases in cost of services provided to our consumer and enterprise customers, mainly related to service delivery expenses, such as field services and customer care.</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$292.3 million for the year ended December 31, 2022, an increase of $ 60.3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26.0%, as compared to 2021. The increase was primarily attributable to the corresponding increase in equipment revenue and change in product mix.</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color w:val="auto"/>
        </w:rPr>
        <w:t>. Selling, general and administrative expenses totaled $455.2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a decrease of $6.5 million, or 1.4%, as compared to 2021. The decrease was primarily attributable to decreases in: i)</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sales and marketing expenses of $18.5 million and ii) legal expenses of $2.3 million, offset by increases in: i) bad debt expense of $7.4 million primarily due to the recovery of bad debt reserves in 2021 and ii) other general and administrative expenses of $6.9 million.</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$457.6 million for the year ended December 31,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$33.7 million, or 6.9%, as compared to 2021. The decrease was primarily attributable to: i) decreases in other property and equipment depreciation expense of $27.7 million, ii) decreases in our satellite depreciation of $8.9 million, mainly related to our SPACEWAY 3 satellite which was fully depreciated at the end of the first quarter of 2021, and iii) decreases in amortization of intangibles of $2.1 million. These decreases were partially offset by increases in amortization of our capitalized software of $5.7 million.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$50.9 million for the year ended December 31, 2022, an increase of $ 28.1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123.2%, as compared to 2021, primarily attributable to increases in the yield on our marketable investment securities and an increase in our marketable investment securities average balance.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$57.2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a decrease of $38.3 million, or 40.1%, as compared to 2021. The decrease was primarily attributable to a decrease of $30.8 million in interest expense and the amortization of deferred financing cost as a result of the repurchases and maturity of our 7 5/8% Senior Unsecured Notes due 2021 and an increase of $6.8 million in capitalized interest relating to the EchoStar XXIV satellite program.</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$47.1 million in gains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$69.5 million in gains for the year ended December 31, 2021, a negative change of $22.4 million. The change was primarily attributable to a net loss of $28.3 million related to the exit of our investment in Dish Mexico in 2022.</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$5.2 million in gains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2022, as compared to $12.6 million in losses for the year ended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December 31, 2021, a positive change of $17.8 million. The change was due to the net impact of foreign exchange rate fluctuations of certain foreign currencies during the period, primarily related to the Brazilian Real, Indian Rupee, and the European Euro.</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Other-than-temporary impairment losses on equity method investments. </w:t>
      </w:r>
      <w:r>
        <w:rPr>
          <w:rFonts w:ascii="Arial" w:cs="Arial" w:eastAsia="Arial" w:hAnsi="Arial"/>
          <w:sz w:val="18"/>
          <w:szCs w:val="18"/>
          <w:color w:val="auto"/>
        </w:rPr>
        <w:t>Other-than-temporary impairment losses on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was $55.3 million for the year ended December 31, 2021, related to the impairment of our investment in Dish Mexico. Given changing market trends, conditions, and company-specific events, we concluded that our investment in Dish Mexico was not recoverable.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$3.2 million in gains for the year ended December 31, 2022, as compared to $12.4 million in losses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2021, a positive change of $15.6 million. The change was primarily attributable to a litigation expense of $16.8 million in 2021.</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$(66.7) million for the year ended December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(65.6) million for the year ended December 31, 2021. Our effective income tax rate was 28.6% and 51.1% for the year ended December 31, 2022 and 2021, respectively. The variations in our effective tax rate from the U.S. federal statutory rate for the year ended December 31, 2022 were primarily due to excluded foreign losses where the Company carries a full valuation allowance, and the impact of state and local taxes. The variations in our current year effective tax rate from the U.S. federal statutory rate for the year ended December 31, 2021 were primarily due to excluded foreign losses where the Company carries a full valuation allowance and the impact of state and local taxes.</w:t>
      </w:r>
    </w:p>
    <w:p>
      <w:pPr>
        <w:spacing w:after="0" w:line="21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On August 16, 2022, the Inflation Reduction Act (“IRA”) was signed into law.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55,266</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28,099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15,644</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(22,424)</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(27,366)</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177,051</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EBITDA is a non-GAAP financial measure and is described under Explanation of Key Metrics and Other Items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 reconciles EBITDA to Net income (loss), the most directly comparable GAAP measure in our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year ended December 31,</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gridSpan w:val="4"/>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103,827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(28,099)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Income tax provision (benefit),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(33,708)</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reconciles the change in EBITDA: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7"/>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55,266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5"/>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2022</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year ended December 31, 2022, as compared to the year ended December 31,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2022</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1,966,587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1,998,093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325,891</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732,929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707,617</w:t>
            </w:r>
          </w:p>
        </w:tc>
        <w:tc>
          <w:tcPr>
            <w:tcW w:w="0" w:type="dxa"/>
            <w:vAlign w:val="bottom"/>
          </w:tcPr>
          <w:p>
            <w:pPr>
              <w:spacing w:after="0"/>
              <w:rPr>
                <w:sz w:val="1"/>
                <w:szCs w:val="1"/>
                <w:color w:val="auto"/>
              </w:rPr>
            </w:pPr>
          </w:p>
        </w:tc>
      </w:tr>
      <w:tr>
        <w:trPr>
          <w:trHeight w:val="273"/>
        </w:trPr>
        <w:tc>
          <w:tcPr>
            <w:tcW w:w="4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438,430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year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1,966,587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10,361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left="430"/>
              <w:spacing w:after="0"/>
              <w:rPr>
                <w:sz w:val="20"/>
                <w:szCs w:val="20"/>
                <w:color w:val="auto"/>
              </w:rPr>
            </w:pPr>
            <w:r>
              <w:rPr>
                <w:rFonts w:ascii="Arial" w:cs="Arial" w:eastAsia="Arial" w:hAnsi="Arial"/>
                <w:sz w:val="18"/>
                <w:szCs w:val="18"/>
                <w:color w:val="auto"/>
              </w:rPr>
              <w:t>(56,900)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(48,895)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$2.0 billion for the year ended December 31, 2022, an increase of $ 10.4 million, or 0.5%, as compared to 2021. Services and other revenue decreased primarily due to lower sales of broadband services to our consumer customers of $103.1 million, partially offset by higher sales of broadband services to our enterprise customers of $5.3 million and to our mobile satellite system and other customers of $4.5 million. Equipment revenue increased primarily due to: i) increases in hardware sales to our enterprise customers of $102.6 million mainly associated with a certain customer in North America and to international customers, and ii) increases on our hardware sales to our mobile satellite system customers of $6.6 million, partially offset by decreases in hardware sales of $ 5.5 million to our consumer customers. These variances reflect an estimated negative impact of exchange rate fluctuations of $6.7 million, primarily attributable to our enterprise customers.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$239.4 million for the year ended December 31, 2022, a decrease of $56.9 million, or 19.2%, as compared to 2021, primarily due to decreases in expenditures associated with our consumer business, and decreases in expenditures related to the construction of our satellite-related ground infrastructure.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year ended December 31, 2021</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for the year ended December 31, 2022</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732,929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the year ended December 31,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5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20,533</w:t>
            </w:r>
          </w:p>
        </w:tc>
        <w:tc>
          <w:tcPr>
            <w:tcW w:w="5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14,416</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revenue was $20.5 million for the year ended December 31, 2022, an increase of $2.9 million, or 16.1%, compared to 2021, primarily due to an increase in transponder services provided to third parties.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EBITDA was $14.4 million for the year ended December 31, 2022, an increase of $5.2 million, or 57.0%, as compared to 2021,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year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8"/>
              </w:rPr>
              <w:t>10,973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380" w:type="dxa"/>
            <w:vAlign w:val="bottom"/>
          </w:tcPr>
          <w:p>
            <w:pPr>
              <w:jc w:val="center"/>
              <w:ind w:left="590"/>
              <w:spacing w:after="0"/>
              <w:rPr>
                <w:sz w:val="20"/>
                <w:szCs w:val="20"/>
                <w:color w:val="auto"/>
              </w:rPr>
            </w:pPr>
            <w:r>
              <w:rPr>
                <w:rFonts w:ascii="Arial" w:cs="Arial" w:eastAsia="Arial" w:hAnsi="Arial"/>
                <w:sz w:val="18"/>
                <w:szCs w:val="18"/>
                <w:color w:val="auto"/>
                <w:w w:val="98"/>
              </w:rPr>
              <w:t>86,488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rPr>
              <w:t>(39,728)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$11.0 million for the year ended December 31, 2022, which is primarily flat compared to 2021.</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$86.5 million for the year ended December 31, 2022, a decrease of $55.6 million, as compared to 2021, primarily due to decreases in expenditures related to the EchoStar XXIV satellite program.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December 31, 2021</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December 31, 2022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98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37</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560"/>
              <w:spacing w:after="0"/>
              <w:rPr>
                <w:sz w:val="20"/>
                <w:szCs w:val="20"/>
                <w:color w:val="auto"/>
              </w:rPr>
            </w:pPr>
            <w:r>
              <w:rPr>
                <w:rFonts w:ascii="Arial" w:cs="Arial" w:eastAsia="Arial" w:hAnsi="Arial"/>
                <w:sz w:val="16"/>
                <w:szCs w:val="16"/>
                <w:b w:val="1"/>
                <w:bCs w:val="1"/>
                <w:color w:val="auto"/>
              </w:rPr>
              <w:t>For the years ended</w:t>
            </w:r>
          </w:p>
        </w:tc>
        <w:tc>
          <w:tcPr>
            <w:tcW w:w="260" w:type="dxa"/>
            <w:vAlign w:val="bottom"/>
          </w:tcPr>
          <w:p>
            <w:pPr>
              <w:spacing w:after="0"/>
              <w:rPr>
                <w:sz w:val="16"/>
                <w:szCs w:val="16"/>
                <w:color w:val="auto"/>
              </w:rPr>
            </w:pPr>
          </w:p>
        </w:tc>
        <w:tc>
          <w:tcPr>
            <w:tcW w:w="1800" w:type="dxa"/>
            <w:vAlign w:val="bottom"/>
            <w:gridSpan w:val="3"/>
            <w:vMerge w:val="restart"/>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20"/>
              <w:spacing w:after="0" w:line="225"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51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51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1,715,287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32,983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270,433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205,603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1,985,720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1,887,907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551,679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231,975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65,540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85.8 %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461,705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1,768,710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1,775,434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217,010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112,473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(95,512)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69,531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Other-than-temporary impairment losses on equity method</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investments</w:t>
            </w: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(55,266)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(12,434)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(88,663)</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(140,308)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Income tax benefit (provision), net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(65,626)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62,721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(51,904)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Less: Net loss (income) attributable to non-controlling</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interests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10,154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11,754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60"/>
        </w:trPr>
        <w:tc>
          <w:tcPr>
            <w:tcW w:w="470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income (loss) attributable to EchoStar Corporation</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72,875</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(40,150)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113,025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00" w:type="dxa"/>
            <w:vAlign w:val="bottom"/>
            <w:tcBorders>
              <w:bottom w:val="single" w:sz="8" w:color="CCEEFF"/>
            </w:tcBorders>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common stock</w:t>
            </w: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702,541</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616,875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Subscribers, end of period</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1,462,000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1,564,000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4" w:lineRule="exact"/>
        <w:rPr>
          <w:rFonts w:ascii="Arial" w:cs="Arial" w:eastAsia="Arial" w:hAnsi="Arial"/>
          <w:sz w:val="14"/>
          <w:szCs w:val="14"/>
          <w:color w:val="auto"/>
        </w:rPr>
      </w:pPr>
    </w:p>
    <w:p>
      <w:pPr>
        <w:ind w:left="340" w:hanging="332"/>
        <w:spacing w:after="0" w:line="278" w:lineRule="auto"/>
        <w:tabs>
          <w:tab w:leader="none" w:pos="444"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years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$1.7 billion for the year ended December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$33.0 million, or 2.0%, as compared to 2020. The increase was primarily attributable to our Hughes segment related to higher sales of broadband services to our consumer customers of $27.8 million and to our mobile satellite system customers of $1.4 million. Sales of broadband services to our enterprise customers remained flat compared to 2020. Our Corporate and Other segment increased by $2.1 million. These variances reflect the negative impact of exchange rate fluctuations of $4.6 million, primarily attributable to our consumer customers.</w:t>
      </w:r>
    </w:p>
    <w:p>
      <w:pPr>
        <w:spacing w:after="0" w:line="200" w:lineRule="exact"/>
        <w:rPr>
          <w:sz w:val="20"/>
          <w:szCs w:val="20"/>
          <w:color w:val="auto"/>
        </w:rPr>
      </w:pP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$270.4 million for the year ended December 31, 2021, an increase of $ 64.8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31.5%, as compared to 2020. The increase was primarily attributable to increases in hardware sales of $76.7 million to our enterprise customers, partially offset by decreases in hardware sales to our mobile satellite system customers of $8.0 million and to our consumer customers of $3.9 million.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$551.7 million for the year ended December 31,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$26.3 million, or 4.5%, as compared to 2020. The decrease was attributable to lower costs of services provided to our consumer customers associated with customer care and field services as well as a non-recurring decrease in a certain international regulatory fee of $4.5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$232.0 million for the year ended December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$65.5 million, or 39.4%, as compared to 2020. The increase was primarily attributable to the corresponding increase in equipment revenue and product mix.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$461.7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 decrease of $13.2 million, or 2.8%, as compared to 2020. The decrease was primarily attributable to decreases in bad debt expense of $4.7 million and decreases in other selling, general and administrative expenses of $7.1 million.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$491.3 million for the year ended December 31,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$33.7 million, or 6.4%, as compared to 2020. The decrease was primarily attributable to (i) decreases in our satellite depreciation of $27.1 million, mainly related to our SPACEWAY 3 satellite which was fully depreciated at the end of the first quarter of 2021, (ii) decreases in amortization of intangibles of $6.5 million, and (iii) decreases in other property and equipment depreciation expense of $2.9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Impairment of long-lived assets totaled $ 0.2 million for the year ended December 31, 2021,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million, or 85.5%, as compared to 2020. The decrease was primarily attributable to an impairment loss related to our nano-satellites which experienced technical anomalies following launch in 2020.</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$22.8 million for the year ended December 31, 2021, a decrease of $17.2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43.0%, as compared to 2020, primarily attributable to decreases in the yield on our marketable investment securities and a decrease in our marketable investment securities average balance.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$95.5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 decrease of $52.4 million, or 35.4%, as compared to 2020. The decrease was primarily attributable to a decrease of $41.4 million in interest expense and the amortization of deferred financing cost as a result of the repurchases and maturity of our 7 5/8% Senior Unsecured Notes due 2021 and an increase of $9.8 million in capitalized interest relating to the EchoStar XXIV satellite program.</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$69.5 million in gains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 increase of $ 100.8 million, as compared to 2020. The change was primarily attributable to increased gains on marketable investment securities of $ 63.7 million in 2021 as compared to 2020, gains on other equity securities of $7.1 million in 2021 and a $29.8 million impairment loss in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 million in losses for the year ended December 31, 2021, a decrease in losses of $ 2.1 million, or 28.9%, as compared to 2020. The decrease was related to net increased earnings from our investments in our equity method investees.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$12.6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2021, as compared to $6.0 million in gains for the year ended December 31, 2020, a negative change of $18.6 million. The change was due to the net impact of foreign exchange rate fluctuations of certain foreign currencies during the year.</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Other-than-temporary impairment losses on equity method investments. </w:t>
      </w:r>
      <w:r>
        <w:rPr>
          <w:rFonts w:ascii="Arial" w:cs="Arial" w:eastAsia="Arial" w:hAnsi="Arial"/>
          <w:sz w:val="18"/>
          <w:szCs w:val="18"/>
          <w:color w:val="auto"/>
        </w:rPr>
        <w:t>Other-than-temporary impairment losses on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was $55.3 million for the year ended December 31, 2021, related to the impairment of our investment in Dish Mexico. Given changing market trends, conditions, and company-specific events, we concluded that our investment in Dish Mexico was not recoverable.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$12.4 million in losses for the year ended December 31, 2021, as compared to $0.2 million in gains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an increase in losses of $12.6 million. The increase was primarily attributable to a litigation expense of $16.8 million and losses from debt repurchases on our 7 5/8% Senior Unsecured Notes due 2021 of $1.9 million, partially offset by dividends received from certain marketable equity securities of $2.5 million..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$(65.6) million for the year ended December 31,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$(24.1) million for the year ended December 31, 2020. Our effective income tax rate was 51.1% and (86.5)% for the years ended December 31, 2021 and 2020, respectively. The variations in our effective tax rate from the U.S. federal statutory rate for the year ended December 31, 2021 were primarily due to certain foreign losses and impairments where the Company carries a full valuation allowance, and the impact of state and local taxes. The variations in our current year effective tax rate from the U.S. federal statutory rate for the year ended December 31, 2020 were primarily due to the increase in our valuation allowance associated with certain foreign losses, permanent book tax differences, and by the impact of state and local taxes, partially offset by the change in net losses that are capital in nature and research and experimentation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(55,266)</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(18,628)</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(12,629)</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100,837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104,537</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72,875</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EBITDA is a non-GAAP financial measure and is described under Explanation of Key Metrics and Other Items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 reconciles EBITDA to Net income (loss), the most directly comparable GAAP measure in our Consolidated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5"/>
          </w:tcPr>
          <w:p>
            <w:pPr>
              <w:ind w:left="380"/>
              <w:spacing w:after="0"/>
              <w:rPr>
                <w:sz w:val="20"/>
                <w:szCs w:val="20"/>
                <w:color w:val="auto"/>
              </w:rPr>
            </w:pPr>
            <w:r>
              <w:rPr>
                <w:rFonts w:ascii="Arial" w:cs="Arial" w:eastAsia="Arial" w:hAnsi="Arial"/>
                <w:sz w:val="18"/>
                <w:szCs w:val="18"/>
                <w:b w:val="1"/>
                <w:bCs w:val="1"/>
                <w:color w:val="auto"/>
              </w:rPr>
              <w:t>For the years ended</w:t>
            </w:r>
          </w:p>
        </w:tc>
        <w:tc>
          <w:tcPr>
            <w:tcW w:w="280" w:type="dxa"/>
            <w:vAlign w:val="bottom"/>
          </w:tcPr>
          <w:p>
            <w:pPr>
              <w:spacing w:after="0"/>
              <w:rPr>
                <w:sz w:val="17"/>
                <w:szCs w:val="17"/>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vMerge w:val="continue"/>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100,837</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(12,629)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w:t>
            </w:r>
          </w:p>
        </w:tc>
      </w:tr>
      <w:tr>
        <w:trPr>
          <w:trHeight w:val="230"/>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702,541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year ended December 31, 2021, as compared to the year ended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438,430</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781,824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702,541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408,798</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years ended</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vMerge w:val="continue"/>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1,956,226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95,392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296,303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left="430"/>
              <w:spacing w:after="0"/>
              <w:rPr>
                <w:sz w:val="20"/>
                <w:szCs w:val="20"/>
                <w:color w:val="auto"/>
              </w:rPr>
            </w:pPr>
            <w:r>
              <w:rPr>
                <w:rFonts w:ascii="Arial" w:cs="Arial" w:eastAsia="Arial" w:hAnsi="Arial"/>
                <w:sz w:val="18"/>
                <w:szCs w:val="18"/>
                <w:color w:val="auto"/>
              </w:rPr>
              <w:t>(58,894)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8"/>
              </w:rPr>
              <w:t>54,216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$2.0 billion for the year ended December 31, 2021, an increase of $95.4 million, or 5.1%, as compared to 2020. Services and other revenue increased primarily due to increases in sales of broadband services to our consumer customers of $27.8 million and to our mobile satellite system customers of $1.4 million. Sales of broadband services to our enterprise customers remained flat compared to 2020. Equipment revenue increased primarily due to increases in hardware sales of $76.7 million to our enterprise customers, partially offset by decreases in hardware sales to our mobile satellite system customers of $8.0 million and to our consumer customers of $ 3.9 million. These variances reflect the negative impact of exchange rate fluctuations of $4.7 million.</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$296.3 million for the year ended December 31, 2021, a decrease of $58.9 million, or 16.6%, as compared to 2020, primarily due to decreases in expenditures associated with our consumer business, partially offset by increased expenditures related to our enterprise business and construction of our satellite-related ground infrastructure in preparation of the launch of EchoStar XXIV.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65,216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5"/>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2021</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781,824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years ended</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gridSpan w:val="4"/>
            <w:vMerge w:val="restart"/>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$17.7 million for the year ended December 31, 2021, which is primarily flat compared to 2020.</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$9.2 million for the year ended December 31, 2021, an increase of $1.3 million, or 16.7%, as compared to 2020, primarily due to the recovery of a bad debt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years ended</w:t>
            </w:r>
          </w:p>
        </w:tc>
        <w:tc>
          <w:tcPr>
            <w:tcW w:w="240" w:type="dxa"/>
            <w:vAlign w:val="bottom"/>
          </w:tcPr>
          <w:p>
            <w:pPr>
              <w:spacing w:after="0"/>
              <w:rPr>
                <w:sz w:val="24"/>
                <w:szCs w:val="24"/>
                <w:color w:val="auto"/>
              </w:rPr>
            </w:pPr>
          </w:p>
        </w:tc>
        <w:tc>
          <w:tcPr>
            <w:tcW w:w="1900" w:type="dxa"/>
            <w:vAlign w:val="bottom"/>
            <w:gridSpan w:val="3"/>
            <w:vMerge w:val="restart"/>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vMerge w:val="continue"/>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142,127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88,567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was $11.8 million for the year ended December 31, 2021, an increase of $2.1 million, or 22.1%, as compared to 2020, primarily due to increased services and other revenue from DISH Network.</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Capital expenditures were $142.1 million for the year ended December 31, 2021, an increase of $88.6 million, as compared to 2020, primarily due to increases in expenditures related to the EchoStar XXIV satellite program.</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(118,606)</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98,588</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2,326</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(16,191)</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(55,266)</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(88,468)</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Item 7A. Quantitative and Qualitative Disclosures about Market Risk of this Form 10-K for further discussion regarding our marketable investment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and 2021, our cash, cash equivalents and marketable investment securities totaled $1.7 billion and $1.5 billion, respectively, of which $1.0 billion and $1.0 billion, respectively, we held as marketable investment securities, consisting of various debt and equity instruments including corporate bonds, corporate equity securities, government bonds and mutual funds.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years ended December 31, 2022, 2021 and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420"/>
              <w:spacing w:after="0"/>
              <w:rPr>
                <w:sz w:val="20"/>
                <w:szCs w:val="20"/>
                <w:color w:val="auto"/>
              </w:rPr>
            </w:pPr>
            <w:r>
              <w:rPr>
                <w:rFonts w:ascii="Arial" w:cs="Arial" w:eastAsia="Arial" w:hAnsi="Arial"/>
                <w:sz w:val="18"/>
                <w:szCs w:val="18"/>
                <w:b w:val="1"/>
                <w:bCs w:val="1"/>
                <w:color w:val="auto"/>
              </w:rPr>
              <w:t>For the years ended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1"/>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2"/>
        </w:trPr>
        <w:tc>
          <w:tcPr>
            <w:tcW w:w="6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(275,185)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158,930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(434,115)</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1,064,240</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528,947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(used for) operating activities decreased by $102.6 million primarily attributable to changes in assets and liabilities, net of $(85.6) million, other-than-temporary impairment losses on equity method investments of $(55.3) million, depreciation and amortization of $(33.7) million, other, net of $(23.5) million, foreign currency translation losses (gains), net of $(17.8) million, deferred tax provision (benefit), net of $(16.2) million, losses (gains) on investments, net of $22.4 million and changes in net income (loss) of $103.8 million.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provided by (used for) investing activities decreased by $434.1 million primarily attributable to our marketable investment securities net activity, other investments net activity, a decrease in expenditures for property and equipment, a decrease in expenditures in externally marketed software, and the India JV formation.</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flows provided by (used for) financing activities improved by $1.1 billion primarily attributable to the repurchase and maturity of our 7 5/8% Senior Unsecured Notes due 2021 of $901.8 million and decreases in treasury share repurchases of $172.1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420"/>
              <w:spacing w:after="0"/>
              <w:rPr>
                <w:sz w:val="20"/>
                <w:szCs w:val="20"/>
                <w:color w:val="auto"/>
              </w:rPr>
            </w:pPr>
            <w:r>
              <w:rPr>
                <w:rFonts w:ascii="Arial" w:cs="Arial" w:eastAsia="Arial" w:hAnsi="Arial"/>
                <w:sz w:val="18"/>
                <w:szCs w:val="18"/>
                <w:b w:val="1"/>
                <w:bCs w:val="1"/>
                <w:color w:val="auto"/>
              </w:rPr>
              <w:t>For the years ended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1"/>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2"/>
        </w:trPr>
        <w:tc>
          <w:tcPr>
            <w:tcW w:w="6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97,838</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(1,142,455)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1,301,385</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(1,131,725)</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Cash flows provided by (used for) operating activities increased by $97.8 million primarily attributable to changes in net income (loss) of $114.6 million, gains (losses) on investments, net of $(100.8) million, foreign currency translation losses (gains), net of $18.6 million, deferred tax provision (benefit), net of $19.5 million, other-than-temporary impairment losses on equity method investments of $55.3 million, and changes in assets and liabilities, net of $(1.3) million.</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investing activities increased by $1.3 billion primarily attributable to our marketable investment securities net activity, other investments net activity and an increase in expenditures for property and equipment.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financing activities decreased by $1.1 billion primarily attributable to the repurchase and maturity of our 7 5/8% Senior Unsecured Notes due 2021 of $(901.8) million and treasury share repurchases of $(261.4)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2"/>
          </w:tcPr>
          <w:p>
            <w:pPr>
              <w:ind w:left="20"/>
              <w:spacing w:after="0"/>
              <w:rPr>
                <w:sz w:val="20"/>
                <w:szCs w:val="20"/>
                <w:color w:val="auto"/>
              </w:rPr>
            </w:pPr>
            <w:r>
              <w:rPr>
                <w:rFonts w:ascii="Arial" w:cs="Arial" w:eastAsia="Arial" w:hAnsi="Arial"/>
                <w:sz w:val="16"/>
                <w:szCs w:val="16"/>
                <w:b w:val="1"/>
                <w:bCs w:val="1"/>
                <w:color w:val="auto"/>
              </w:rPr>
              <w:t>Payments Due in the Years Ending December 31,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2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5"/>
              <w:spacing w:after="0" w:line="212" w:lineRule="exact"/>
              <w:rPr>
                <w:sz w:val="20"/>
                <w:szCs w:val="20"/>
                <w:color w:val="auto"/>
              </w:rPr>
            </w:pPr>
            <w:r>
              <w:rPr>
                <w:rFonts w:ascii="Arial" w:cs="Arial" w:eastAsia="Arial" w:hAnsi="Arial"/>
                <w:sz w:val="24"/>
                <w:szCs w:val="24"/>
                <w:b w:val="1"/>
                <w:bCs w:val="1"/>
                <w:color w:val="auto"/>
                <w:vertAlign w:val="subscript"/>
              </w:rPr>
              <w:t>Total</w:t>
            </w:r>
            <w:r>
              <w:rPr>
                <w:rFonts w:ascii="Arial" w:cs="Arial" w:eastAsia="Arial" w:hAnsi="Arial"/>
                <w:sz w:val="9"/>
                <w:szCs w:val="9"/>
                <w:b w:val="1"/>
                <w:bCs w:val="1"/>
                <w:color w:val="auto"/>
              </w:rPr>
              <w:t xml:space="preserve"> (4)(5)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10"/>
        </w:trPr>
        <w:tc>
          <w:tcPr>
            <w:tcW w:w="2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1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356,252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9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Satellite-related commitments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38,091</w:t>
            </w:r>
          </w:p>
        </w:tc>
      </w:tr>
      <w:tr>
        <w:trPr>
          <w:trHeight w:val="216"/>
        </w:trPr>
        <w:tc>
          <w:tcPr>
            <w:tcW w:w="2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201,625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23,180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97,740</w:t>
            </w:r>
          </w:p>
        </w:tc>
      </w:tr>
      <w:tr>
        <w:trPr>
          <w:trHeight w:val="227"/>
        </w:trPr>
        <w:tc>
          <w:tcPr>
            <w:tcW w:w="2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2,227,129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174,986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1,624,989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135,831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all long-term debt is outstanding until scheduled maturity.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payments pursuant to: i) the EchoStar XXIV launch contract, ii) regulatory authorizations, iii) non-lease costs associated with our finance lease satellites, iv) in-orbit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incentives relating to certain satellites and v) commitments for satellite service arrangements.</w:t>
      </w:r>
    </w:p>
    <w:p>
      <w:pPr>
        <w:spacing w:after="0" w:line="1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Operating leases consist primarily of leases for office space, data centers and satellite-related ground infrastructure.</w:t>
      </w:r>
    </w:p>
    <w:p>
      <w:pPr>
        <w:spacing w:after="0" w:line="14" w:lineRule="exact"/>
        <w:rPr>
          <w:rFonts w:ascii="Arial" w:cs="Arial" w:eastAsia="Arial" w:hAnsi="Arial"/>
          <w:sz w:val="14"/>
          <w:szCs w:val="14"/>
          <w:color w:val="auto"/>
        </w:rPr>
      </w:pPr>
    </w:p>
    <w:p>
      <w:pPr>
        <w:ind w:left="340" w:hanging="332"/>
        <w:spacing w:after="0" w:line="251" w:lineRule="auto"/>
        <w:tabs>
          <w:tab w:leader="none" w:pos="2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table excludes amounts related to deferred tax liabilities, unrecognized tax positions and certain other amounts recorded in our non-current liabilities as the timing of any payments is uncertain.</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table excludes long-term deferred revenue and other long-term liabilities that do not require future cash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had foreign currency forward contracts with a notional value of $8.3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letters of credit and surety bonds as of December 31, 2022</w:t>
      </w:r>
      <w:r>
        <w:rPr>
          <w:rFonts w:ascii="Arial" w:cs="Arial" w:eastAsia="Arial" w:hAnsi="Arial"/>
          <w:sz w:val="18"/>
          <w:szCs w:val="18"/>
          <w:b w:val="1"/>
          <w:bCs w:val="1"/>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 secured by 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Surety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16,153</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r>
      <w:tr>
        <w:trPr>
          <w:trHeight w:val="223"/>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 and surety bonds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54,240</w:t>
            </w:r>
          </w:p>
        </w:tc>
      </w:tr>
      <w:tr>
        <w:trPr>
          <w:trHeight w:val="21"/>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satellite fleet ages, we will evaluate whether and to what extent to utilize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to improve the quality of our satellite services or to provide new satellites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Furthermore, if we experience negative cash flows, our existing cash and marketable investment securities balances may be reduced.</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December 31, 2022, our total indebtedness was $1.5 billion. Our liquidity requirements will continue to be significant, primarily due to our remaining debt service requirements. We may from time to time seek to purchase amounts of our outstanding debt in open market purchases, privately negotiated transactions or otherwise, depending on market conditions, our liquidity needs and other factors. The amounts we may repurchase may be material. In the future, we may require material capital expenditures to make significant acquisitions or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year ended December 31, 2022, we repurchased 3,980,612 shares of our Class A common stock for $89.3 million under this program. The remaining authorization under this program, which expired on December 31, 2022, was $410.7 million.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our significant accounting policies, including those discussed below, see Note 2 in our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certain estimates, judgments and assumptions that affect the reported amounts of assets and liabilities at the date of the balance sheets, the reported amounts of revenue and expenses for each reporting period, and certain information disclosed in our Consolidated Financial Statements.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legal proceedings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market value or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The estimated fair value is determined primarily using market value or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22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evaluate goodwill and intangible assets with indefinite lives for impairment on an annual basis or whenever events and changes in circumstances indicate the reporting unit’s fair value is more likely than not less than carrying value. Impairments may result from, among other things, deterioration in financial and operational performance, declines in stock price, increased attrition, adverse market conditions, adverse changes in applicable laws and/or regulations, deterioration of general macroeconomic conditions, fluctuations in foreign exchange rates, increased competitive markets in which we operate in, declining financial performance over a sustained period, changes in key personnel and/or strategy, and a variety of other factors. Our impairment assessment typically begins with a qualitative assessment to</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determine whether it is more likely than not the fair value of the reporting unit is less than its carrying amount. The qualitative assessment includes comparing the overall financial performance against the planned results. In the performance of the qualitative assessment, we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analyze a variety of events or factors that may influence the fair value of the reporting unit, that could include, but are not limited to: macroeconomic conditions, industry and market considerations, cost factors, and other relevant entity-specific events which requires significant judgment. If we determine in the qualitative assessment that it is more likely than not that the fair value is less than its carrying value, then we perform a quantitative assessment to determine the estimated fair value of the indefinite lived asset or reporting unit. We could also choose the option to bypass the qualitative assessment for any reporting unit in any period and proceed directly to the quantitative impairment test. In the quantitative assessment, fair value is usually estimated using two valuation approaches: the discounted cash flows method and the market comparable method. In the performance of the quantitative assessment, we use a variety of inputs, some of which may require significant judgment, that influence the fair value of the reporting unit, that could include, but are not limited to: discount rate, revenue growth rate, amount and timing of future cash flows, control premium, guideline public company metrics, and comparable market transactions. In addition, we also perform a market capitalization reconciliation to compare the estimated fair value, determined using the discounted cash flows method and the market comparable method, to the Company’s market capitalization as of the date of the test. If the carrying value exceeds the estimated fair value, then an impairment is recognized for the difference.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evaluate all of our investments to determine whether events or changes in circumstances have occurred that may have a significant adverse effect on the fair value of the investment and/or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Additionally, when there has been an observable price change to a cost method investment, we adjust the carrying amount of the investment to its then estimated fair value and recognize the investment gain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Our income tax policy is to record the estimated future tax effects of temporary differences between the tax bases of assets and liabilities and amounts reported in the accompanying consolidated balance sheets, as well as operating loss and tax credit carryforwards. Determining necessary valuation allowances requires us to make assessments about the timing of future events, including the probability of expected future taxable income and available tax planning opportunities. We periodically evaluate our need for a valuation allowance based on both historical evidence, including trends, and future expectations in each reporting period. Any such valuation allowance is recorded in either </w:t>
      </w:r>
      <w:r>
        <w:rPr>
          <w:rFonts w:ascii="Arial" w:cs="Arial" w:eastAsia="Arial" w:hAnsi="Arial"/>
          <w:sz w:val="18"/>
          <w:szCs w:val="18"/>
          <w:i w:val="1"/>
          <w:iCs w:val="1"/>
          <w:color w:val="auto"/>
        </w:rPr>
        <w:t xml:space="preserve">Income tax benefit (provision), net </w:t>
      </w:r>
      <w:r>
        <w:rPr>
          <w:rFonts w:ascii="Arial" w:cs="Arial" w:eastAsia="Arial" w:hAnsi="Arial"/>
          <w:sz w:val="18"/>
          <w:szCs w:val="18"/>
          <w:color w:val="auto"/>
        </w:rPr>
        <w:t>on our Consolidated Statements of Operations and Consolidated Statements of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 or Accumulated other comprehensive income (loss) within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on our Consolidated Balance Sheets. Future performance could have a significant effect on the realization of tax benefits, or reversals of valuation allowances, as reported in our consolidated results of operations.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changes in our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(provision), net, </w:t>
      </w:r>
      <w:r>
        <w:rPr>
          <w:rFonts w:ascii="Arial" w:cs="Arial" w:eastAsia="Arial" w:hAnsi="Arial"/>
          <w:sz w:val="18"/>
          <w:szCs w:val="18"/>
          <w:color w:val="auto"/>
        </w:rPr>
        <w:t>which could be material to our consolidated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new accounting pronouncements, refer to Note 2. Summary of Significant Accounting Policies in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with any certainty whether these trends will continue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started to impact our operations in 2021 as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will depend primarily on competitive pressures or contractual terms.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worldwide interruptions and delays in the supply of components, materials and parts, although not materially impacting our operations during 2022, may impact our ability to timely provide equipment deliveries in the future. These interruptions and delays could also increase the cost of our equipment which we may not be able to pass onto our customers.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2022, our cash, cash equivalents and marketable investment securities had a fair value of $1.7 billion. Of this amount, a total of $1.6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$1.6 billion as of December 31, 2022, a hypothetical 10% change in average interest rates during 2022 would not have had a material impact on the fair value of our cash, cash equivalents and debt securities portfolio due to the limited duration of our investments.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2022 of 2.21%. A change in interest rates would affect our future annual interest income from this portfolio, since funds would be re-invested at different rates as the instruments mature. A hypothetical 10% decrease in average interest rates during 2022 would have resulted in a decrease of $2.8 million in annual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Marketable Investment Securities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we held investments in the publicly traded securities of several companies with a fair value of $118.8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2022 would have resulted in a decrease of $11.9 million in the fair value of these investments.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we had $273.2 million of other equity investments and other debt investments of privately held companies that we hold for strategic business purposes. The fair value of these investments is not readily determinable. We periodically review these investments and may adjust the carrying amount to their estimated fair value when there are indications of impairment, observable prices changes for the investments or observable transactions of the same investments. A hypothetical adverse change equal to 10% of the carrying amount of these investments during 2022 would have resulted in a decrease of $27.3 million in the value of these investments.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2022, we had foreign currency forward contracts with a notional amount of $8.3 million in place to partially mitigate foreign currency exchange risk. The estimated fair values of the foreign currency contracts were not material as of December 31, 2022. The impact of a hypothetical 10% adverse change in exchange rates on the carrying amount of the net assets and liabilities of our foreign subsidiaries during 2022 would have resulted in an estimated loss to the cumulative translation adjustment of $42.5 million as of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included in Item 15 of this Form 10-K.</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10-K. Based upon that evaluation, our Chief Executive Officer and Chief Financial Officer concluded that our disclosure controls and procedures were effective as of the end of the period covered by this Form 10-K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three months ended December 31, 2022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GAAP.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line="261"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2" w:lineRule="exact"/>
        <w:rPr>
          <w:rFonts w:ascii="Arial" w:cs="Arial" w:eastAsia="Arial" w:hAnsi="Arial"/>
          <w:sz w:val="18"/>
          <w:szCs w:val="18"/>
          <w:color w:val="auto"/>
        </w:rPr>
      </w:pPr>
    </w:p>
    <w:p>
      <w:pPr>
        <w:jc w:val="both"/>
        <w:ind w:left="660" w:right="20" w:hanging="409"/>
        <w:spacing w:after="0" w:line="256" w:lineRule="auto"/>
        <w:tabs>
          <w:tab w:leader="none" w:pos="7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GAAP, and that our receipts and expenditures are being made only in accordance with authorizations of our management and our directors; and</w:t>
      </w:r>
    </w:p>
    <w:p>
      <w:pPr>
        <w:spacing w:after="0" w:line="66" w:lineRule="exact"/>
        <w:rPr>
          <w:rFonts w:ascii="Arial" w:cs="Arial" w:eastAsia="Arial" w:hAnsi="Arial"/>
          <w:sz w:val="18"/>
          <w:szCs w:val="18"/>
          <w:color w:val="auto"/>
        </w:rPr>
      </w:pPr>
    </w:p>
    <w:p>
      <w:pPr>
        <w:ind w:left="660" w:right="20" w:hanging="409"/>
        <w:spacing w:after="0" w:line="261" w:lineRule="auto"/>
        <w:tabs>
          <w:tab w:leader="none" w:pos="7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Control—Integrated Framework (2013) issued by the Committee of Sponsoring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Organizations of the Treadway Commission. Based on this evaluation, our management has concluded that our internal control over financial reporting was effective as of December 31, 2022.</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which appears in Item 15(a) of this Form 10-K.</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22, 2023, we issued a press release (the “Press Release”) announcing our financial results for the quarter and year ended December 31, 2022.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with respect to the identity and business experience of our directors and corporate governance will be set forth in our Proxy Statement for the 2023 Annual Meeting of Shareholders, which will be filed no later than 120 days after December 31, 2022, under the caption “Election of Directors,” which information is hereby incorporated herein by reference.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with respect to the identity and business experience of our executive officers is set forth in Part I of this Form 10-K under the caption Item 1. Business — Information about our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with respect to our code of ethics is contained in Part I of this Form 10-K under the caption 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 Website Access.</w:t>
      </w:r>
    </w:p>
    <w:p>
      <w:pPr>
        <w:spacing w:after="0" w:line="23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which will be filed no later than 120 days after December 31, 2022, under the caption “Executive Compensation and Other Information,” which information is hereby incorporated herein by reference.</w:t>
      </w:r>
    </w:p>
    <w:p>
      <w:pPr>
        <w:spacing w:after="0" w:line="207" w:lineRule="exact"/>
        <w:rPr>
          <w:sz w:val="20"/>
          <w:szCs w:val="20"/>
          <w:color w:val="auto"/>
        </w:rPr>
      </w:pPr>
    </w:p>
    <w:p>
      <w:pPr>
        <w:ind w:left="940" w:right="540" w:hanging="971"/>
        <w:spacing w:after="0" w:line="287"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which will be filed no later than 120 days after December 31, 2022, under the captions “Election of Directors,” “Equity Security Ownership” and “Equity Compensation Plan Information,” which information is hereby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which will be filed no later than 120 days after December 31, 2022, under the caption “Certain Relationships and Related Party Transactions,” which information is hereby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which will be filed no later than 120 days after December 31, 2022, under the caption “Principal Accountant Fees and Services,” which information is hereby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4"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following documents are filed as part of this report:</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8200" w:type="dxa"/>
            <w:vAlign w:val="bottom"/>
            <w:gridSpan w:val="9"/>
          </w:tcPr>
          <w:p>
            <w:pPr>
              <w:spacing w:after="0"/>
              <w:rPr>
                <w:sz w:val="20"/>
                <w:szCs w:val="20"/>
                <w:color w:val="auto"/>
              </w:rPr>
            </w:pPr>
            <w:r>
              <w:rPr>
                <w:rFonts w:ascii="Arial" w:cs="Arial" w:eastAsia="Arial" w:hAnsi="Arial"/>
                <w:sz w:val="18"/>
                <w:szCs w:val="18"/>
                <w:color w:val="auto"/>
              </w:rPr>
              <w:t>(1) Consolidated Financial Statements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FF"/>
              </w:rPr>
              <w:t>Index to Consolidated Financial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3320" w:type="dxa"/>
            <w:vAlign w:val="bottom"/>
            <w:gridSpan w:val="4"/>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6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7</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32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2022, 2021 and 2020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7920" w:type="dxa"/>
            <w:vAlign w:val="bottom"/>
            <w:gridSpan w:val="8"/>
          </w:tcPr>
          <w:p>
            <w:pPr>
              <w:spacing w:after="0" w:line="203" w:lineRule="exact"/>
              <w:rPr>
                <w:sz w:val="20"/>
                <w:szCs w:val="20"/>
                <w:color w:val="auto"/>
              </w:rPr>
            </w:pPr>
            <w:r>
              <w:rPr>
                <w:rFonts w:ascii="Arial" w:cs="Arial" w:eastAsia="Arial" w:hAnsi="Arial"/>
                <w:sz w:val="18"/>
                <w:szCs w:val="18"/>
                <w:color w:val="0000FF"/>
              </w:rPr>
              <w:t>Consolidated Statements of Changes in Stockholders' Equity for the years ended December 31,</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8</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2022, 2021 and 2022</w:t>
            </w:r>
          </w:p>
        </w:tc>
        <w:tc>
          <w:tcPr>
            <w:tcW w:w="1600" w:type="dxa"/>
            <w:vAlign w:val="bottom"/>
            <w:tcBorders>
              <w:top w:val="single" w:sz="8" w:color="0000FF"/>
            </w:tcBorders>
          </w:tcPr>
          <w:p>
            <w:pPr>
              <w:spacing w:after="0"/>
              <w:rPr>
                <w:sz w:val="13"/>
                <w:szCs w:val="13"/>
                <w:color w:val="auto"/>
              </w:rPr>
            </w:pPr>
          </w:p>
        </w:tc>
        <w:tc>
          <w:tcPr>
            <w:tcW w:w="4200" w:type="dxa"/>
            <w:vAlign w:val="bottom"/>
            <w:tcBorders>
              <w:top w:val="single" w:sz="8" w:color="0000FF"/>
            </w:tcBorders>
            <w:gridSpan w:val="4"/>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460" w:type="dxa"/>
            <w:vAlign w:val="bottom"/>
            <w:gridSpan w:val="3"/>
          </w:tcPr>
          <w:p>
            <w:pPr>
              <w:spacing w:after="0"/>
              <w:rPr>
                <w:sz w:val="2"/>
                <w:szCs w:val="2"/>
                <w:color w:val="auto"/>
              </w:rPr>
            </w:pPr>
          </w:p>
        </w:tc>
        <w:tc>
          <w:tcPr>
            <w:tcW w:w="420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0000FF"/>
                <w:w w:val="97"/>
              </w:rPr>
              <w:t>Notes to Consolidated Financial Statements</w:t>
            </w:r>
          </w:p>
        </w:tc>
        <w:tc>
          <w:tcPr>
            <w:tcW w:w="420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5"/>
          </w:tcPr>
          <w:p>
            <w:pPr>
              <w:jc w:val="right"/>
              <w:ind w:right="20"/>
              <w:spacing w:after="0"/>
              <w:rPr>
                <w:sz w:val="20"/>
                <w:szCs w:val="20"/>
                <w:color w:val="auto"/>
              </w:rPr>
            </w:pPr>
            <w:r>
              <w:rPr>
                <w:rFonts w:ascii="Arial" w:cs="Arial" w:eastAsia="Arial" w:hAnsi="Arial"/>
                <w:sz w:val="18"/>
                <w:szCs w:val="18"/>
                <w:color w:val="auto"/>
                <w:w w:val="97"/>
              </w:rPr>
              <w:t>F-</w:t>
            </w:r>
            <w:r>
              <w:rPr>
                <w:rFonts w:ascii="Arial" w:cs="Arial" w:eastAsia="Arial" w:hAnsi="Arial"/>
                <w:sz w:val="18"/>
                <w:szCs w:val="18"/>
                <w:color w:val="0000FF"/>
                <w:w w:val="97"/>
              </w:rPr>
              <w:t>11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880" w:type="dxa"/>
            <w:vAlign w:val="bottom"/>
            <w:gridSpan w:val="19"/>
          </w:tcPr>
          <w:p>
            <w:pPr>
              <w:ind w:left="80"/>
              <w:spacing w:after="0"/>
              <w:rPr>
                <w:sz w:val="20"/>
                <w:szCs w:val="20"/>
                <w:color w:val="auto"/>
              </w:rPr>
            </w:pPr>
            <w:r>
              <w:rPr>
                <w:rFonts w:ascii="Arial" w:cs="Arial" w:eastAsia="Arial" w:hAnsi="Arial"/>
                <w:sz w:val="18"/>
                <w:szCs w:val="18"/>
                <w:color w:val="auto"/>
              </w:rPr>
              <w:t>Exhibits</w:t>
            </w:r>
          </w:p>
        </w:tc>
      </w:tr>
      <w:tr>
        <w:trPr>
          <w:trHeight w:val="310"/>
        </w:trPr>
        <w:tc>
          <w:tcPr>
            <w:tcW w:w="500" w:type="dxa"/>
            <w:vAlign w:val="bottom"/>
            <w:gridSpan w:val="2"/>
          </w:tcPr>
          <w:p>
            <w:pPr>
              <w:jc w:val="right"/>
              <w:ind w:right="180"/>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Separation Agreement between EchoStar Corporation and DISH Network Corporation (incorporated by reference to</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Exhibit 2.1 to Amendment No. 1 of EchoStar Corporation’s Form 10 filed December 12, 2007, Commission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bottom w:val="single" w:sz="8" w:color="0000FF"/>
            </w:tcBorders>
            <w:gridSpan w:val="2"/>
          </w:tcPr>
          <w:p>
            <w:pPr>
              <w:spacing w:after="0" w:line="169"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33807).</w:t>
              </w:r>
            </w:hyperlink>
          </w:p>
        </w:tc>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2.</w:t>
              </w:r>
              <w:r>
                <w:rPr>
                  <w:rFonts w:ascii="Arial" w:cs="Arial" w:eastAsia="Arial" w:hAnsi="Arial"/>
                  <w:sz w:val="18"/>
                  <w:szCs w:val="18"/>
                  <w:u w:val="single" w:color="auto"/>
                  <w:color w:val="0000FF"/>
                  <w:w w:val="93"/>
                </w:rPr>
                <w:t>2*</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0">
              <w:r>
                <w:rPr>
                  <w:rFonts w:ascii="Arial" w:cs="Arial" w:eastAsia="Arial" w:hAnsi="Arial"/>
                  <w:sz w:val="18"/>
                  <w:szCs w:val="18"/>
                  <w:color w:val="0000FF"/>
                </w:rPr>
                <w:t>Agreement and Plan of Merger between EchoStar Corporation, EchoStar Satellite Services L.L.C., Broadband Acquisition</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Corporation and Hughes Communications, Inc. dated as of February 13, 2011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20" w:type="dxa"/>
            <w:vAlign w:val="bottom"/>
            <w:tcBorders>
              <w:bottom w:val="single" w:sz="8" w:color="0000FF"/>
            </w:tcBorders>
            <w:gridSpan w:val="7"/>
          </w:tcPr>
          <w:p>
            <w:pPr>
              <w:spacing w:after="0" w:line="169"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Hughes Communications Inc.’s Current Report on Form 8-K, filed February 15, 2011, Commission File No. 1-33040). ****</w:t>
              </w:r>
            </w:hyperlink>
          </w:p>
        </w:tc>
        <w:tc>
          <w:tcPr>
            <w:tcW w:w="3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2.</w:t>
              </w:r>
              <w:r>
                <w:rPr>
                  <w:rFonts w:ascii="Arial" w:cs="Arial" w:eastAsia="Arial" w:hAnsi="Arial"/>
                  <w:sz w:val="18"/>
                  <w:szCs w:val="18"/>
                  <w:u w:val="single" w:color="auto"/>
                  <w:color w:val="0000FF"/>
                  <w:w w:val="93"/>
                </w:rPr>
                <w:t>3*</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1">
              <w:r>
                <w:rPr>
                  <w:rFonts w:ascii="Arial" w:cs="Arial" w:eastAsia="Arial" w:hAnsi="Arial"/>
                  <w:sz w:val="18"/>
                  <w:szCs w:val="18"/>
                  <w:color w:val="0000FF"/>
                </w:rPr>
                <w:t>Master Transaction Agreement by and among DISH Network Corporation, BSS Merger Sub Inc., EchoStar Corporation, and</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EchoStar BSS Corporation, dated as of May 19, 2019 (incorporated by reference to Exhibit 2.1 to EchoStar Corporation’s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Quarterly Report on Form 10-Q for the quarter ended June 30, 2019, filed August 8, 2019, Commission File No. 001-33807).</w:t>
              </w:r>
            </w:hyperlink>
          </w:p>
        </w:tc>
        <w:tc>
          <w:tcPr>
            <w:tcW w:w="20" w:type="dxa"/>
            <w:vAlign w:val="bottom"/>
          </w:tcPr>
          <w:p>
            <w:pPr>
              <w:spacing w:after="0"/>
              <w:rPr>
                <w:sz w:val="14"/>
                <w:szCs w:val="14"/>
                <w:color w:val="auto"/>
              </w:rPr>
            </w:pPr>
          </w:p>
        </w:tc>
      </w:tr>
      <w:tr>
        <w:trPr>
          <w:trHeight w:val="156"/>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71">
              <w:r>
                <w:rPr>
                  <w:rFonts w:ascii="Arial" w:cs="Arial" w:eastAsia="Arial" w:hAnsi="Arial"/>
                  <w:sz w:val="18"/>
                  <w:szCs w:val="18"/>
                  <w:color w:val="0000FF"/>
                  <w:w w:val="85"/>
                </w:rPr>
                <w:t>****</w:t>
              </w:r>
            </w:hyperlink>
          </w:p>
        </w:tc>
        <w:tc>
          <w:tcPr>
            <w:tcW w:w="34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3.</w:t>
              </w:r>
              <w:r>
                <w:rPr>
                  <w:rFonts w:ascii="Arial" w:cs="Arial" w:eastAsia="Arial" w:hAnsi="Arial"/>
                  <w:sz w:val="18"/>
                  <w:szCs w:val="18"/>
                  <w:u w:val="single" w:color="auto"/>
                  <w:color w:val="0000FF"/>
                  <w:w w:val="93"/>
                </w:rPr>
                <w:t>1*</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2">
              <w:r>
                <w:rPr>
                  <w:rFonts w:ascii="Arial" w:cs="Arial" w:eastAsia="Arial" w:hAnsi="Arial"/>
                  <w:sz w:val="18"/>
                  <w:szCs w:val="18"/>
                  <w:color w:val="0000FF"/>
                </w:rPr>
                <w:t>Articles of Incorporation of EchoStar Corporation (incorporated by reference to Exhibit 3.1 to Amendment No. 1 of EchoStar</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Corporation’s Form 10 filed December 12, 2007, Commission File No. 001-33807).</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66"/>
        </w:trPr>
        <w:tc>
          <w:tcPr>
            <w:tcW w:w="500" w:type="dxa"/>
            <w:vAlign w:val="bottom"/>
            <w:gridSpan w:val="2"/>
          </w:tcPr>
          <w:p>
            <w:pPr>
              <w:jc w:val="right"/>
              <w:ind w:right="180"/>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3.</w:t>
              </w:r>
              <w:r>
                <w:rPr>
                  <w:rFonts w:ascii="Arial" w:cs="Arial" w:eastAsia="Arial" w:hAnsi="Arial"/>
                  <w:sz w:val="18"/>
                  <w:szCs w:val="18"/>
                  <w:u w:val="single" w:color="auto"/>
                  <w:color w:val="0000FF"/>
                  <w:w w:val="93"/>
                </w:rPr>
                <w:t>2*</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3">
              <w:r>
                <w:rPr>
                  <w:rFonts w:ascii="Arial" w:cs="Arial" w:eastAsia="Arial" w:hAnsi="Arial"/>
                  <w:sz w:val="18"/>
                  <w:szCs w:val="18"/>
                  <w:color w:val="0000FF"/>
                </w:rPr>
                <w:t>Amendment to the Articles of Incorporation of EchoStar Corporation (incorporated by reference to Exhibit 3.1 to EchoStar</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Corporation’s Current Report on Form 8-K filed January 25, 2008, Commission File No. 001-33807).</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66"/>
        </w:trPr>
        <w:tc>
          <w:tcPr>
            <w:tcW w:w="500" w:type="dxa"/>
            <w:vAlign w:val="bottom"/>
            <w:gridSpan w:val="2"/>
          </w:tcPr>
          <w:p>
            <w:pPr>
              <w:jc w:val="right"/>
              <w:ind w:right="180"/>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3.</w:t>
              </w:r>
              <w:r>
                <w:rPr>
                  <w:rFonts w:ascii="Arial" w:cs="Arial" w:eastAsia="Arial" w:hAnsi="Arial"/>
                  <w:sz w:val="18"/>
                  <w:szCs w:val="18"/>
                  <w:u w:val="single" w:color="auto"/>
                  <w:color w:val="0000FF"/>
                  <w:w w:val="93"/>
                </w:rPr>
                <w:t>3*</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4">
              <w:r>
                <w:rPr>
                  <w:rFonts w:ascii="Arial" w:cs="Arial" w:eastAsia="Arial" w:hAnsi="Arial"/>
                  <w:sz w:val="18"/>
                  <w:szCs w:val="18"/>
                  <w:color w:val="0000FF"/>
                </w:rPr>
                <w:t>Certificate of Amendment to Articles of Incorporation of EchoStar Corporation, dated as of May 4, 2016 (incorporated by</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reference to Exhibit 3.1 to EchoStar Corporation’s Current Report on Form 8-K, filed May 5, 2016, Commission File No. 001-</w:t>
              </w:r>
            </w:hyperlink>
          </w:p>
        </w:tc>
        <w:tc>
          <w:tcPr>
            <w:tcW w:w="60" w:type="dxa"/>
            <w:vAlign w:val="bottom"/>
            <w:gridSpan w:val="3"/>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33807).</w:t>
              </w:r>
            </w:hyperlink>
          </w:p>
        </w:tc>
        <w:tc>
          <w:tcPr>
            <w:tcW w:w="48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3.</w:t>
              </w:r>
              <w:r>
                <w:rPr>
                  <w:rFonts w:ascii="Arial" w:cs="Arial" w:eastAsia="Arial" w:hAnsi="Arial"/>
                  <w:sz w:val="18"/>
                  <w:szCs w:val="18"/>
                  <w:u w:val="single" w:color="auto"/>
                  <w:color w:val="0000FF"/>
                  <w:w w:val="93"/>
                </w:rPr>
                <w:t>4*</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5">
              <w:r>
                <w:rPr>
                  <w:rFonts w:ascii="Arial" w:cs="Arial" w:eastAsia="Arial" w:hAnsi="Arial"/>
                  <w:sz w:val="18"/>
                  <w:szCs w:val="18"/>
                  <w:color w:val="0000FF"/>
                </w:rPr>
                <w:t>Certificate of Withdrawal of Certificate of Designation of EchoStar Corporation (incorporated by reference to Exhibit 31 to</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EchoStar Corporation’s Current Report on Form 8-K, filed March 6, 2017, Commission File No. 001-33807).</w:t>
              </w:r>
            </w:hyperlink>
          </w:p>
        </w:tc>
        <w:tc>
          <w:tcPr>
            <w:tcW w:w="160" w:type="dxa"/>
            <w:vAlign w:val="bottom"/>
            <w:gridSpan w:val="8"/>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r>
      <w:tr>
        <w:trPr>
          <w:trHeight w:val="466"/>
        </w:trPr>
        <w:tc>
          <w:tcPr>
            <w:tcW w:w="500" w:type="dxa"/>
            <w:vAlign w:val="bottom"/>
            <w:gridSpan w:val="2"/>
          </w:tcPr>
          <w:p>
            <w:pPr>
              <w:jc w:val="right"/>
              <w:ind w:right="180"/>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3.</w:t>
              </w:r>
              <w:r>
                <w:rPr>
                  <w:rFonts w:ascii="Arial" w:cs="Arial" w:eastAsia="Arial" w:hAnsi="Arial"/>
                  <w:sz w:val="18"/>
                  <w:szCs w:val="18"/>
                  <w:u w:val="single" w:color="auto"/>
                  <w:color w:val="0000FF"/>
                  <w:w w:val="93"/>
                </w:rPr>
                <w:t>5*</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6">
              <w:r>
                <w:rPr>
                  <w:rFonts w:ascii="Arial" w:cs="Arial" w:eastAsia="Arial" w:hAnsi="Arial"/>
                  <w:sz w:val="18"/>
                  <w:szCs w:val="18"/>
                  <w:color w:val="0000FF"/>
                </w:rPr>
                <w:t>Bylaws of EchoStar Corporation (incorporated by reference to Exhibit 3.2 to Amendment No. 1 of EchoStar Corporation’s</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Form 10 filed December 12, 2007, Commission File No. 001-33807).</w:t>
              </w:r>
            </w:hyperlink>
          </w:p>
        </w:tc>
        <w:tc>
          <w:tcPr>
            <w:tcW w:w="140" w:type="dxa"/>
            <w:vAlign w:val="bottom"/>
            <w:gridSpan w:val="7"/>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4.</w:t>
              </w:r>
              <w:r>
                <w:rPr>
                  <w:rFonts w:ascii="Arial" w:cs="Arial" w:eastAsia="Arial" w:hAnsi="Arial"/>
                  <w:sz w:val="18"/>
                  <w:szCs w:val="18"/>
                  <w:u w:val="single" w:color="auto"/>
                  <w:color w:val="0000FF"/>
                  <w:w w:val="93"/>
                </w:rPr>
                <w:t>1*</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320" w:type="dxa"/>
            <w:vAlign w:val="bottom"/>
            <w:gridSpan w:val="34"/>
          </w:tcPr>
          <w:p>
            <w:pPr>
              <w:spacing w:after="0"/>
              <w:rPr>
                <w:rFonts w:ascii="Arial" w:cs="Arial" w:eastAsia="Arial" w:hAnsi="Arial"/>
                <w:sz w:val="18"/>
                <w:szCs w:val="18"/>
                <w:color w:val="0000FF"/>
              </w:rPr>
            </w:pPr>
            <w:hyperlink r:id="rId78">
              <w:r>
                <w:rPr>
                  <w:rFonts w:ascii="Arial" w:cs="Arial" w:eastAsia="Arial" w:hAnsi="Arial"/>
                  <w:sz w:val="18"/>
                  <w:szCs w:val="18"/>
                  <w:color w:val="0000FF"/>
                </w:rPr>
                <w:t>Specimen Class A Common Stock Certificate of EchoStar Corporation (incorporated by reference to Exhibit 4.1 to</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Amendment No. 1 of EchoStar Corporation’s Form 10 filed December 12, 2007, Commission File No. 001-33807).</w:t>
              </w:r>
            </w:hyperlink>
          </w:p>
        </w:tc>
        <w:tc>
          <w:tcPr>
            <w:tcW w:w="10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320" w:type="dxa"/>
            <w:vAlign w:val="bottom"/>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4.</w:t>
              </w:r>
              <w:r>
                <w:rPr>
                  <w:rFonts w:ascii="Arial" w:cs="Arial" w:eastAsia="Arial" w:hAnsi="Arial"/>
                  <w:sz w:val="18"/>
                  <w:szCs w:val="18"/>
                  <w:u w:val="single" w:color="auto"/>
                  <w:color w:val="0000FF"/>
                  <w:w w:val="93"/>
                </w:rPr>
                <w:t>2*</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79">
              <w:r>
                <w:rPr>
                  <w:rFonts w:ascii="Arial" w:cs="Arial" w:eastAsia="Arial" w:hAnsi="Arial"/>
                  <w:sz w:val="18"/>
                  <w:szCs w:val="18"/>
                  <w:color w:val="0000FF"/>
                </w:rPr>
                <w:t>Security Agreement, dated as of June 8, 2011, among EH Holding Corporation (currently known as Hughes Satellite</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Systems Corporation), the guarantors listed on the signature pages thereto, and U.S. Bank National Association,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80" w:type="dxa"/>
            <w:vAlign w:val="bottom"/>
            <w:gridSpan w:val="22"/>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successor collateral agent (incorporated by reference to Exhibit 4.1 to EchoStar Corporation’s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filed June 9, 2011, Commission File No. 001-33807).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20" w:type="dxa"/>
            <w:vAlign w:val="bottom"/>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4.</w:t>
              </w:r>
              <w:r>
                <w:rPr>
                  <w:rFonts w:ascii="Arial" w:cs="Arial" w:eastAsia="Arial" w:hAnsi="Arial"/>
                  <w:sz w:val="18"/>
                  <w:szCs w:val="18"/>
                  <w:u w:val="single" w:color="auto"/>
                  <w:color w:val="0000FF"/>
                  <w:w w:val="93"/>
                </w:rPr>
                <w:t>3*</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0">
              <w:r>
                <w:rPr>
                  <w:rFonts w:ascii="Arial" w:cs="Arial" w:eastAsia="Arial" w:hAnsi="Arial"/>
                  <w:sz w:val="18"/>
                  <w:szCs w:val="18"/>
                  <w:color w:val="0000FF"/>
                </w:rPr>
                <w:t>Indenture, relating to the 5.250% Senior Secured Notes, dated as of July 27, 2016, among Hughes Satellite Systems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Corporation, the guarantors party thereto, U.S. Bank National Association, as trustee and successor collateral agent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0" w:type="dxa"/>
            <w:vAlign w:val="bottom"/>
            <w:tcBorders>
              <w:bottom w:val="single" w:sz="8" w:color="0000FF"/>
            </w:tcBorders>
            <w:gridSpan w:val="28"/>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(incorporated by reference to Exhibit 4.1 to EchoStar Corporation’s Current Report on Form 8-K filed on July 27, 2016,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40" w:type="dxa"/>
            <w:vAlign w:val="bottom"/>
            <w:gridSpan w:val="30"/>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Commission File No. 001-33807).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4.</w:t>
              </w:r>
              <w:r>
                <w:rPr>
                  <w:rFonts w:ascii="Arial" w:cs="Arial" w:eastAsia="Arial" w:hAnsi="Arial"/>
                  <w:sz w:val="18"/>
                  <w:szCs w:val="18"/>
                  <w:u w:val="single" w:color="auto"/>
                  <w:color w:val="0000FF"/>
                  <w:w w:val="93"/>
                </w:rPr>
                <w:t>4*</w:t>
              </w:r>
            </w:hyperlink>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gridSpan w:val="34"/>
          </w:tcPr>
          <w:p>
            <w:pPr>
              <w:spacing w:after="0"/>
              <w:rPr>
                <w:rFonts w:ascii="Arial" w:cs="Arial" w:eastAsia="Arial" w:hAnsi="Arial"/>
                <w:sz w:val="18"/>
                <w:szCs w:val="18"/>
                <w:color w:val="0000FF"/>
              </w:rPr>
            </w:pPr>
            <w:hyperlink r:id="rId81">
              <w:r>
                <w:rPr>
                  <w:rFonts w:ascii="Arial" w:cs="Arial" w:eastAsia="Arial" w:hAnsi="Arial"/>
                  <w:sz w:val="18"/>
                  <w:szCs w:val="18"/>
                  <w:color w:val="0000FF"/>
                </w:rPr>
                <w:t>Indenture, relating to the 6.625% Senior Unsecured Notes, dated as of July 27, 2016, among Hughes Satellite Systems</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Corporation, the guarantors party thereto and U.S. Bank National Association,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78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Exhibit 4.2 to EchoStar Corporation’s Current Report on Form 8-K filed on July 27, 2016, Commission File No. 001-33807).</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320" w:type="dxa"/>
            <w:vAlign w:val="bottom"/>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4.</w:t>
              </w:r>
              <w:r>
                <w:rPr>
                  <w:rFonts w:ascii="Arial" w:cs="Arial" w:eastAsia="Arial" w:hAnsi="Arial"/>
                  <w:sz w:val="18"/>
                  <w:szCs w:val="18"/>
                  <w:u w:val="single" w:color="auto"/>
                  <w:color w:val="0000FF"/>
                  <w:w w:val="93"/>
                </w:rPr>
                <w:t>5*</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2">
              <w:r>
                <w:rPr>
                  <w:rFonts w:ascii="Arial" w:cs="Arial" w:eastAsia="Arial" w:hAnsi="Arial"/>
                  <w:sz w:val="18"/>
                  <w:szCs w:val="18"/>
                  <w:color w:val="0000FF"/>
                </w:rPr>
                <w:t>Registration Rights Agreement, dated as of July 27, 2016, among Hughes Satellite Systems Corporation, the guarantors</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party thereto and Deutsche Bank Securities Inc. (incorporated by reference to Exhibit 4.3 to EchoStar Corporation’s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Report on Form 8-K filed on July 27, 2016,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320" w:type="dxa"/>
            <w:vAlign w:val="bottom"/>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4.</w:t>
              </w:r>
              <w:r>
                <w:rPr>
                  <w:rFonts w:ascii="Arial" w:cs="Arial" w:eastAsia="Arial" w:hAnsi="Arial"/>
                  <w:sz w:val="18"/>
                  <w:szCs w:val="18"/>
                  <w:u w:val="single" w:color="auto"/>
                  <w:color w:val="0000FF"/>
                  <w:w w:val="93"/>
                </w:rPr>
                <w:t>6*</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3">
              <w:r>
                <w:rPr>
                  <w:rFonts w:ascii="Arial" w:cs="Arial" w:eastAsia="Arial" w:hAnsi="Arial"/>
                  <w:sz w:val="18"/>
                  <w:szCs w:val="18"/>
                  <w:color w:val="0000FF"/>
                </w:rPr>
                <w:t>Additional Secured Party Joinder, dated as of July 27, 2016, among U.S. Bank National Association, as trustee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successor collateral agent, and Hughes Satellite Systems Corporation (incorporated by reference to Exhibit 4.4 to EchoStar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Corporation’s Current Report on Form 8-K filed on July 27, 2016, Commission File No. 001-33807).</w:t>
              </w:r>
            </w:hyperlink>
          </w:p>
        </w:tc>
        <w:tc>
          <w:tcPr>
            <w:tcW w:w="214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320" w:type="dxa"/>
            <w:vAlign w:val="bottom"/>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4.</w:t>
              </w:r>
              <w:r>
                <w:rPr>
                  <w:rFonts w:ascii="Arial" w:cs="Arial" w:eastAsia="Arial" w:hAnsi="Arial"/>
                  <w:sz w:val="18"/>
                  <w:szCs w:val="18"/>
                  <w:u w:val="single" w:color="auto"/>
                  <w:color w:val="0000FF"/>
                  <w:w w:val="93"/>
                </w:rPr>
                <w:t>7*</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5.250% Senior Secured Note due 2026 (included as part of Exhibit 4.3).</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20" w:type="dxa"/>
            <w:vAlign w:val="bottom"/>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4.</w:t>
              </w:r>
              <w:r>
                <w:rPr>
                  <w:rFonts w:ascii="Arial" w:cs="Arial" w:eastAsia="Arial" w:hAnsi="Arial"/>
                  <w:sz w:val="18"/>
                  <w:szCs w:val="18"/>
                  <w:u w:val="single" w:color="auto"/>
                  <w:color w:val="0000FF"/>
                  <w:w w:val="93"/>
                </w:rPr>
                <w:t>8*</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6.625% Senior Unsecured Note due 2026 (included as part of Exhibit 4.4).</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20" w:type="dxa"/>
            <w:vAlign w:val="bottom"/>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4.</w:t>
              </w:r>
              <w:r>
                <w:rPr>
                  <w:rFonts w:ascii="Arial" w:cs="Arial" w:eastAsia="Arial" w:hAnsi="Arial"/>
                  <w:sz w:val="18"/>
                  <w:szCs w:val="18"/>
                  <w:u w:val="single" w:color="auto"/>
                  <w:color w:val="0000FF"/>
                  <w:w w:val="93"/>
                </w:rPr>
                <w:t>9*</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gridSpan w:val="34"/>
          </w:tcPr>
          <w:p>
            <w:pPr>
              <w:spacing w:after="0"/>
              <w:rPr>
                <w:rFonts w:ascii="Arial" w:cs="Arial" w:eastAsia="Arial" w:hAnsi="Arial"/>
                <w:sz w:val="18"/>
                <w:szCs w:val="18"/>
                <w:color w:val="0000FF"/>
              </w:rPr>
            </w:pPr>
            <w:hyperlink r:id="rId84">
              <w:r>
                <w:rPr>
                  <w:rFonts w:ascii="Arial" w:cs="Arial" w:eastAsia="Arial" w:hAnsi="Arial"/>
                  <w:sz w:val="18"/>
                  <w:szCs w:val="18"/>
                  <w:color w:val="0000FF"/>
                </w:rPr>
                <w:t>Supplemental Indenture relating to Hughes Satellite Systems Corporation’s 5.250% Senior Secured Notes due 2026, dated</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March 23, 2017, by and among Hughes Satellite Systems Corporation, the guarantors and the supplemental guarantor listed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on the signature pages thereto, U.S. Bank National Association, as trustee and successor collateral agent (incorporated by</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300" w:type="dxa"/>
            <w:vAlign w:val="bottom"/>
            <w:gridSpan w:val="33"/>
          </w:tcPr>
          <w:p>
            <w:pPr>
              <w:spacing w:after="0" w:line="169" w:lineRule="exact"/>
              <w:rPr>
                <w:rFonts w:ascii="Arial" w:cs="Arial" w:eastAsia="Arial" w:hAnsi="Arial"/>
                <w:sz w:val="18"/>
                <w:szCs w:val="18"/>
                <w:color w:val="0000FF"/>
              </w:rPr>
            </w:pPr>
            <w:hyperlink r:id="rId84">
              <w:r>
                <w:rPr>
                  <w:rFonts w:ascii="Arial" w:cs="Arial" w:eastAsia="Arial" w:hAnsi="Arial"/>
                  <w:sz w:val="18"/>
                  <w:szCs w:val="18"/>
                  <w:color w:val="0000FF"/>
                </w:rPr>
                <w:t>reference to Exhibit 4.19 to Hughes Satellite Systems Corporation’s Registration Statement on Form S-4, filed April 6, 2017,</w:t>
              </w:r>
            </w:hyperlink>
          </w:p>
        </w:tc>
        <w:tc>
          <w:tcPr>
            <w:tcW w:w="20" w:type="dxa"/>
            <w:vAlign w:val="bottom"/>
          </w:tcPr>
          <w:p>
            <w:pPr>
              <w:spacing w:after="0"/>
              <w:rPr>
                <w:sz w:val="14"/>
                <w:szCs w:val="14"/>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Commission File No. 333-179121).</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66"/>
        </w:trPr>
        <w:tc>
          <w:tcPr>
            <w:tcW w:w="1280" w:type="dxa"/>
            <w:vAlign w:val="bottom"/>
            <w:gridSpan w:val="3"/>
          </w:tcPr>
          <w:p>
            <w:pPr>
              <w:spacing w:after="0"/>
              <w:rPr>
                <w:rFonts w:ascii="Arial" w:cs="Arial" w:eastAsia="Arial" w:hAnsi="Arial"/>
                <w:sz w:val="18"/>
                <w:szCs w:val="18"/>
                <w:color w:val="0000FF"/>
              </w:rPr>
            </w:pPr>
            <w:hyperlink r:id="rId85">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320" w:type="dxa"/>
            <w:vAlign w:val="bottom"/>
            <w:gridSpan w:val="34"/>
          </w:tcPr>
          <w:p>
            <w:pPr>
              <w:spacing w:after="0"/>
              <w:rPr>
                <w:rFonts w:ascii="Arial" w:cs="Arial" w:eastAsia="Arial" w:hAnsi="Arial"/>
                <w:sz w:val="18"/>
                <w:szCs w:val="18"/>
                <w:color w:val="0000FF"/>
              </w:rPr>
            </w:pPr>
            <w:hyperlink r:id="rId85">
              <w:r>
                <w:rPr>
                  <w:rFonts w:ascii="Arial" w:cs="Arial" w:eastAsia="Arial" w:hAnsi="Arial"/>
                  <w:sz w:val="18"/>
                  <w:szCs w:val="18"/>
                  <w:color w:val="0000FF"/>
                </w:rPr>
                <w:t>Supplemental Indenture relating to Hughes Satellite Systems Corporation’s 6.625% Senior Notes due 2026, dated as of</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March 23, 2017, by and among Hughes Satellite Systems Corporation, the guarantors and the supplemental guarantor listed</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on the signature pages thereto and U.S. Bank National Association, as trustee (incorporated by reference to Exhibit 4.20 to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85">
              <w:r>
                <w:rPr>
                  <w:rFonts w:ascii="Arial" w:cs="Arial" w:eastAsia="Arial" w:hAnsi="Arial"/>
                  <w:sz w:val="18"/>
                  <w:szCs w:val="18"/>
                  <w:color w:val="0000FF"/>
                </w:rPr>
                <w:t>Hughes Satellite Systems Corporation’s Registration Statement on Form S-4, filed April 6, 2017, Commission File No. 333-</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85">
              <w:r>
                <w:rPr>
                  <w:rFonts w:ascii="Arial" w:cs="Arial" w:eastAsia="Arial" w:hAnsi="Arial"/>
                  <w:sz w:val="18"/>
                  <w:szCs w:val="18"/>
                  <w:color w:val="0000FF"/>
                  <w:w w:val="98"/>
                </w:rPr>
                <w:t>179121).</w:t>
              </w:r>
            </w:hyperlink>
          </w:p>
        </w:tc>
        <w:tc>
          <w:tcPr>
            <w:tcW w:w="19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280" w:type="dxa"/>
            <w:vAlign w:val="bottom"/>
            <w:gridSpan w:val="3"/>
          </w:tcPr>
          <w:p>
            <w:pPr>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11*</w:t>
              </w:r>
            </w:hyperlink>
          </w:p>
        </w:tc>
        <w:tc>
          <w:tcPr>
            <w:tcW w:w="10320" w:type="dxa"/>
            <w:vAlign w:val="bottom"/>
            <w:gridSpan w:val="34"/>
          </w:tcPr>
          <w:p>
            <w:pPr>
              <w:spacing w:after="0"/>
              <w:rPr>
                <w:rFonts w:ascii="Arial" w:cs="Arial" w:eastAsia="Arial" w:hAnsi="Arial"/>
                <w:sz w:val="18"/>
                <w:szCs w:val="18"/>
                <w:color w:val="0000FF"/>
              </w:rPr>
            </w:pPr>
            <w:hyperlink r:id="rId86">
              <w:r>
                <w:rPr>
                  <w:rFonts w:ascii="Arial" w:cs="Arial" w:eastAsia="Arial" w:hAnsi="Arial"/>
                  <w:sz w:val="18"/>
                  <w:szCs w:val="18"/>
                  <w:color w:val="0000FF"/>
                </w:rPr>
                <w:t>Joinder Agreement, dated as of August 10, 2017, to the Security Agreement dated as of June 8, 2011, by and between HNS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101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Americas, L.L.C., HNS Americas II, L.L.C. and U.S. Bank National Association, as successor collateral agent (incorporated</w:t>
              </w:r>
            </w:hyperlink>
          </w:p>
        </w:tc>
        <w:tc>
          <w:tcPr>
            <w:tcW w:w="140" w:type="dxa"/>
            <w:vAlign w:val="bottom"/>
            <w:gridSpan w:val="7"/>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by reference to Exhibit 4.24 to EchoStar Corporation’s Annual Report on Form 10-K for the year ended December 31, 2017,</w:t>
              </w:r>
            </w:hyperlink>
          </w:p>
        </w:tc>
        <w:tc>
          <w:tcPr>
            <w:tcW w:w="160" w:type="dxa"/>
            <w:vAlign w:val="bottom"/>
            <w:gridSpan w:val="8"/>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filed February 22, 2018, Commission File No. 001-33807).</w:t>
              </w:r>
            </w:hyperlink>
          </w:p>
        </w:tc>
        <w:tc>
          <w:tcPr>
            <w:tcW w:w="5400" w:type="dxa"/>
            <w:vAlign w:val="bottom"/>
            <w:tcBorders>
              <w:top w:val="single" w:sz="8" w:color="0000FF"/>
            </w:tcBorders>
            <w:gridSpan w:val="14"/>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11"/>
          </w:tcPr>
          <w:p>
            <w:pPr>
              <w:spacing w:after="0"/>
              <w:rPr>
                <w:sz w:val="14"/>
                <w:szCs w:val="14"/>
                <w:color w:val="auto"/>
              </w:rPr>
            </w:pPr>
          </w:p>
        </w:tc>
      </w:tr>
      <w:tr>
        <w:trPr>
          <w:trHeight w:val="210"/>
        </w:trPr>
        <w:tc>
          <w:tcPr>
            <w:tcW w:w="1280" w:type="dxa"/>
            <w:vAlign w:val="bottom"/>
            <w:gridSpan w:val="3"/>
          </w:tcPr>
          <w:p>
            <w:pPr>
              <w:spacing w:after="0"/>
              <w:rPr>
                <w:rFonts w:ascii="Arial" w:cs="Arial" w:eastAsia="Arial" w:hAnsi="Arial"/>
                <w:sz w:val="18"/>
                <w:szCs w:val="18"/>
                <w:color w:val="0000FF"/>
              </w:rPr>
            </w:pPr>
            <w:hyperlink r:id="rId87">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10320" w:type="dxa"/>
            <w:vAlign w:val="bottom"/>
            <w:gridSpan w:val="34"/>
          </w:tcPr>
          <w:p>
            <w:pPr>
              <w:spacing w:after="0"/>
              <w:rPr>
                <w:rFonts w:ascii="Arial" w:cs="Arial" w:eastAsia="Arial" w:hAnsi="Arial"/>
                <w:sz w:val="18"/>
                <w:szCs w:val="18"/>
                <w:color w:val="0000FF"/>
              </w:rPr>
            </w:pPr>
            <w:hyperlink r:id="rId87">
              <w:r>
                <w:rPr>
                  <w:rFonts w:ascii="Arial" w:cs="Arial" w:eastAsia="Arial" w:hAnsi="Arial"/>
                  <w:sz w:val="18"/>
                  <w:szCs w:val="18"/>
                  <w:color w:val="0000FF"/>
                </w:rPr>
                <w:t>Second Supplemental Indenture relating to Hughes Satellite Systems Corporation’s 5.250% Senior Secured Notes due</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2026, dated August 10, 2017, by and among Hughes Satellite Systems Corporation, the guarantors and the supplemental</w:t>
              </w:r>
            </w:hyperlink>
          </w:p>
        </w:tc>
        <w:tc>
          <w:tcPr>
            <w:tcW w:w="220" w:type="dxa"/>
            <w:vAlign w:val="bottom"/>
            <w:gridSpan w:val="11"/>
          </w:tcPr>
          <w:p>
            <w:pPr>
              <w:spacing w:after="0"/>
              <w:rPr>
                <w:sz w:val="13"/>
                <w:szCs w:val="13"/>
                <w:color w:val="auto"/>
              </w:rPr>
            </w:pPr>
          </w:p>
        </w:tc>
      </w:tr>
      <w:tr>
        <w:trPr>
          <w:trHeight w:val="168"/>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960" w:type="dxa"/>
            <w:vAlign w:val="bottom"/>
            <w:tcBorders>
              <w:top w:val="single" w:sz="8" w:color="0000FF"/>
            </w:tcBorders>
            <w:gridSpan w:val="16"/>
          </w:tcPr>
          <w:p>
            <w:pPr>
              <w:spacing w:after="0" w:line="168" w:lineRule="exact"/>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guarantor listed on the signature pages thereto, U.S. Bank National Association, as trustee and successor collateral agent</w:t>
              </w:r>
            </w:hyperlink>
          </w:p>
        </w:tc>
        <w:tc>
          <w:tcPr>
            <w:tcW w:w="360" w:type="dxa"/>
            <w:vAlign w:val="bottom"/>
            <w:gridSpan w:val="18"/>
          </w:tcPr>
          <w:p>
            <w:pPr>
              <w:spacing w:after="0"/>
              <w:rPr>
                <w:sz w:val="14"/>
                <w:szCs w:val="14"/>
                <w:color w:val="auto"/>
              </w:rPr>
            </w:pPr>
          </w:p>
        </w:tc>
      </w:tr>
    </w:tbl>
    <w:p>
      <w:pPr>
        <w:ind w:left="1300"/>
        <w:spacing w:after="0" w:line="227"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(incorporated by reference to Exhibit 4.25 to EchoStar Corporation’s Annual Report on Form 10-K for the year ended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December 31, 2017, filed February 22, 2018, Commission File No. 001-33807).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gridSpan w:val="2"/>
          </w:tcPr>
          <w:p>
            <w:pPr>
              <w:jc w:val="right"/>
              <w:ind w:right="880"/>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13*</w:t>
              </w:r>
            </w:hyperlink>
          </w:p>
        </w:tc>
        <w:tc>
          <w:tcPr>
            <w:tcW w:w="10340" w:type="dxa"/>
            <w:vAlign w:val="bottom"/>
            <w:gridSpan w:val="34"/>
          </w:tcPr>
          <w:p>
            <w:pPr>
              <w:spacing w:after="0"/>
              <w:rPr>
                <w:rFonts w:ascii="Arial" w:cs="Arial" w:eastAsia="Arial" w:hAnsi="Arial"/>
                <w:sz w:val="18"/>
                <w:szCs w:val="18"/>
                <w:color w:val="0000FF"/>
              </w:rPr>
            </w:pPr>
            <w:hyperlink r:id="rId89">
              <w:r>
                <w:rPr>
                  <w:rFonts w:ascii="Arial" w:cs="Arial" w:eastAsia="Arial" w:hAnsi="Arial"/>
                  <w:sz w:val="18"/>
                  <w:szCs w:val="18"/>
                  <w:color w:val="0000FF"/>
                </w:rPr>
                <w:t>Second Supplemental Indenture relating to Hughes Satellite Systems Corporation’s 6.625% Senior Notes due 2026, dated</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as of August 10, 2017, by and among Hughes Satellite Systems Corporation, the guarantors and the supplemental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60" w:type="dxa"/>
            <w:vAlign w:val="bottom"/>
            <w:tcBorders>
              <w:bottom w:val="single" w:sz="8" w:color="0000FF"/>
            </w:tcBorders>
            <w:gridSpan w:val="20"/>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guarantor listed on the signature pages thereto and U.S. Bank National Association,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60" w:type="dxa"/>
            <w:vAlign w:val="bottom"/>
            <w:tcBorders>
              <w:bottom w:val="single" w:sz="8" w:color="0000FF"/>
            </w:tcBorders>
            <w:gridSpan w:val="30"/>
          </w:tcPr>
          <w:p>
            <w:pPr>
              <w:spacing w:after="0" w:line="169" w:lineRule="exact"/>
              <w:rPr>
                <w:rFonts w:ascii="Arial" w:cs="Arial" w:eastAsia="Arial" w:hAnsi="Arial"/>
                <w:sz w:val="18"/>
                <w:szCs w:val="18"/>
                <w:color w:val="0000FF"/>
              </w:rPr>
            </w:pPr>
            <w:hyperlink r:id="rId89">
              <w:r>
                <w:rPr>
                  <w:rFonts w:ascii="Arial" w:cs="Arial" w:eastAsia="Arial" w:hAnsi="Arial"/>
                  <w:sz w:val="18"/>
                  <w:szCs w:val="18"/>
                  <w:color w:val="0000FF"/>
                </w:rPr>
                <w:t>Exhibit 4.26 to EchoStar Corporation’s Annual Report on Form 10-K for the year ended December 31, 2017, filed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320" w:type="dxa"/>
            <w:vAlign w:val="bottom"/>
            <w:gridSpan w:val="33"/>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22, 2018, Commission File No. 001-33807).</w:t>
              </w:r>
            </w:hyperlink>
          </w:p>
        </w:tc>
        <w:tc>
          <w:tcPr>
            <w:tcW w:w="20" w:type="dxa"/>
            <w:vAlign w:val="bottom"/>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14*</w:t>
              </w:r>
            </w:hyperlink>
          </w:p>
        </w:tc>
        <w:tc>
          <w:tcPr>
            <w:tcW w:w="10340" w:type="dxa"/>
            <w:vAlign w:val="bottom"/>
            <w:gridSpan w:val="34"/>
          </w:tcPr>
          <w:p>
            <w:pPr>
              <w:spacing w:after="0"/>
              <w:rPr>
                <w:rFonts w:ascii="Arial" w:cs="Arial" w:eastAsia="Arial" w:hAnsi="Arial"/>
                <w:sz w:val="18"/>
                <w:szCs w:val="18"/>
                <w:color w:val="0000FF"/>
              </w:rPr>
            </w:pPr>
            <w:hyperlink r:id="rId90">
              <w:r>
                <w:rPr>
                  <w:rFonts w:ascii="Arial" w:cs="Arial" w:eastAsia="Arial" w:hAnsi="Arial"/>
                  <w:sz w:val="18"/>
                  <w:szCs w:val="18"/>
                  <w:color w:val="0000FF"/>
                </w:rPr>
                <w:t>Joinder Agreement, dated as of June 12, 2019, to the Security Agreement dated as of June 8, 2011, by and between</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EchoStar BSS Corporation, EchoStar FSS L.L.C. and U.S. Bank National Association, as successor collateral agent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100" w:type="dxa"/>
            <w:vAlign w:val="bottom"/>
            <w:tcBorders>
              <w:bottom w:val="single" w:sz="8" w:color="0000FF"/>
            </w:tcBorders>
            <w:gridSpan w:val="22"/>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(incorporated by reference to Exhibit 4.1 to EchoStar Corporation’s Quarterly Report on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0" w:type="dxa"/>
            <w:vAlign w:val="bottom"/>
            <w:tcBorders>
              <w:bottom w:val="single" w:sz="8" w:color="0000FF"/>
            </w:tcBorders>
            <w:gridSpan w:val="7"/>
          </w:tcPr>
          <w:p>
            <w:pPr>
              <w:spacing w:after="0" w:line="169"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June 30, 2019, filed August 8, 2019, Commission File No. 001-33807).</w:t>
              </w:r>
            </w:hyperlink>
          </w:p>
        </w:tc>
        <w:tc>
          <w:tcPr>
            <w:tcW w:w="4640" w:type="dxa"/>
            <w:vAlign w:val="bottom"/>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15*</w:t>
              </w:r>
            </w:hyperlink>
          </w:p>
        </w:tc>
        <w:tc>
          <w:tcPr>
            <w:tcW w:w="10340" w:type="dxa"/>
            <w:vAlign w:val="bottom"/>
            <w:gridSpan w:val="34"/>
          </w:tcPr>
          <w:p>
            <w:pPr>
              <w:spacing w:after="0"/>
              <w:rPr>
                <w:rFonts w:ascii="Arial" w:cs="Arial" w:eastAsia="Arial" w:hAnsi="Arial"/>
                <w:sz w:val="18"/>
                <w:szCs w:val="18"/>
                <w:color w:val="0000FF"/>
              </w:rPr>
            </w:pPr>
            <w:hyperlink r:id="rId91">
              <w:r>
                <w:rPr>
                  <w:rFonts w:ascii="Arial" w:cs="Arial" w:eastAsia="Arial" w:hAnsi="Arial"/>
                  <w:sz w:val="18"/>
                  <w:szCs w:val="18"/>
                  <w:color w:val="0000FF"/>
                </w:rPr>
                <w:t>Third Supplemental Indenture relating to Hughes Satellite Systems Corporation’s 5.250% Senior Secured Notes due 2026,</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dated June 12, 2019, by and among Hughes Satellite Systems Corporation, the guarantors and the supplemental guarantors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listed on the signature pages thereto, U.S. Bank National Association, as trustee and successor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91">
              <w:r>
                <w:rPr>
                  <w:rFonts w:ascii="Arial" w:cs="Arial" w:eastAsia="Arial" w:hAnsi="Arial"/>
                  <w:sz w:val="18"/>
                  <w:szCs w:val="18"/>
                  <w:color w:val="0000FF"/>
                </w:rPr>
                <w:t>(incorporated by reference to Exhibit 4.2 to EchoStar Corporation’s Quarterly Report on Form 10-Q for the quarter ended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June 30, 2019, filed August 8, 2019, Commission File No. 001-33807).</w:t>
              </w:r>
            </w:hyperlink>
          </w:p>
        </w:tc>
        <w:tc>
          <w:tcPr>
            <w:tcW w:w="46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16*</w:t>
              </w:r>
            </w:hyperlink>
          </w:p>
        </w:tc>
        <w:tc>
          <w:tcPr>
            <w:tcW w:w="10340" w:type="dxa"/>
            <w:vAlign w:val="bottom"/>
            <w:gridSpan w:val="34"/>
          </w:tcPr>
          <w:p>
            <w:pPr>
              <w:spacing w:after="0"/>
              <w:rPr>
                <w:rFonts w:ascii="Arial" w:cs="Arial" w:eastAsia="Arial" w:hAnsi="Arial"/>
                <w:sz w:val="18"/>
                <w:szCs w:val="18"/>
                <w:color w:val="0000FF"/>
              </w:rPr>
            </w:pPr>
            <w:hyperlink r:id="rId92">
              <w:r>
                <w:rPr>
                  <w:rFonts w:ascii="Arial" w:cs="Arial" w:eastAsia="Arial" w:hAnsi="Arial"/>
                  <w:sz w:val="18"/>
                  <w:szCs w:val="18"/>
                  <w:color w:val="0000FF"/>
                </w:rPr>
                <w:t>Third Supplemental Indenture relating to Hughes Satellite Systems Corporation’s 6.625% Senior Notes due 2026, dated as</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of June 12, 2019, by and among Hughes Satellite Systems Corporation, the guarantors and the supplemental guarantors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80" w:type="dxa"/>
            <w:vAlign w:val="bottom"/>
            <w:gridSpan w:val="21"/>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listed on the signature pages thereto and U.S. Bank National Association, as trustee (incorporated by reference to Exhibit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4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92">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EchoStar Corporation’s Quarterly Report on Form 10-Q for the quarter ended June 30, 2019, filed August 8,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17*</w:t>
              </w:r>
            </w:hyperlink>
          </w:p>
        </w:tc>
        <w:tc>
          <w:tcPr>
            <w:tcW w:w="10340" w:type="dxa"/>
            <w:vAlign w:val="bottom"/>
            <w:gridSpan w:val="34"/>
          </w:tcPr>
          <w:p>
            <w:pPr>
              <w:spacing w:after="0"/>
              <w:rPr>
                <w:rFonts w:ascii="Arial" w:cs="Arial" w:eastAsia="Arial" w:hAnsi="Arial"/>
                <w:sz w:val="18"/>
                <w:szCs w:val="18"/>
                <w:color w:val="0000FF"/>
              </w:rPr>
            </w:pPr>
            <w:hyperlink r:id="rId93">
              <w:r>
                <w:rPr>
                  <w:rFonts w:ascii="Arial" w:cs="Arial" w:eastAsia="Arial" w:hAnsi="Arial"/>
                  <w:sz w:val="18"/>
                  <w:szCs w:val="18"/>
                  <w:color w:val="0000FF"/>
                </w:rPr>
                <w:t>Description of our Capital Stock ((incorporated by reference to Exhibit 4.25 to EchoStar Corporations’ Annual Report on</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Form 10-K for the year ended December 31, 2019, filed February 20, 2020,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10340" w:type="dxa"/>
            <w:vAlign w:val="bottom"/>
            <w:gridSpan w:val="34"/>
          </w:tcPr>
          <w:p>
            <w:pPr>
              <w:spacing w:after="0"/>
              <w:rPr>
                <w:rFonts w:ascii="Arial" w:cs="Arial" w:eastAsia="Arial" w:hAnsi="Arial"/>
                <w:sz w:val="18"/>
                <w:szCs w:val="18"/>
                <w:color w:val="0000FF"/>
              </w:rPr>
            </w:pPr>
            <w:hyperlink r:id="rId94">
              <w:r>
                <w:rPr>
                  <w:rFonts w:ascii="Arial" w:cs="Arial" w:eastAsia="Arial" w:hAnsi="Arial"/>
                  <w:sz w:val="18"/>
                  <w:szCs w:val="18"/>
                  <w:color w:val="0000FF"/>
                </w:rPr>
                <w:t>Form of Tax Sharing Agreement between EchoStar Corporation and DISH Network Corporation (incorporated by reference</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to Exhibit 10.2 to Amendment No. 1 of EchoStar Corporation’s Form 10 filed December 12, 2007, Commission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33807).</w:t>
              </w:r>
            </w:hyperlink>
          </w:p>
        </w:tc>
        <w:tc>
          <w:tcPr>
            <w:tcW w:w="8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10340" w:type="dxa"/>
            <w:vAlign w:val="bottom"/>
            <w:gridSpan w:val="34"/>
          </w:tcPr>
          <w:p>
            <w:pPr>
              <w:spacing w:after="0"/>
              <w:rPr>
                <w:rFonts w:ascii="Arial" w:cs="Arial" w:eastAsia="Arial" w:hAnsi="Arial"/>
                <w:sz w:val="18"/>
                <w:szCs w:val="18"/>
                <w:color w:val="0000FF"/>
              </w:rPr>
            </w:pPr>
            <w:hyperlink r:id="rId95">
              <w:r>
                <w:rPr>
                  <w:rFonts w:ascii="Arial" w:cs="Arial" w:eastAsia="Arial" w:hAnsi="Arial"/>
                  <w:sz w:val="18"/>
                  <w:szCs w:val="18"/>
                  <w:color w:val="0000FF"/>
                </w:rPr>
                <w:t>Form of EchoStar Corporation 2008 Class B CEO Stock Option Plan (incorporated by reference to Exhibit 10.25 to</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Amendment No. 1 of EchoStar Corporation’s Form 10 filed December 12, 2007, Commission File No. 001-33807).**</w:t>
              </w:r>
            </w:hyperlink>
          </w:p>
        </w:tc>
        <w:tc>
          <w:tcPr>
            <w:tcW w:w="9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10340" w:type="dxa"/>
            <w:vAlign w:val="bottom"/>
            <w:gridSpan w:val="34"/>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Amended and Restated EchoStar Corporation 2008 Stock Incentive Plan (the “2008 Stock Incentive Plan”)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reference to EchoStar Corporation’s Definitive Proxy Statement on Form 14, filed September 18, 2014, Commission File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No. 001-33807).**</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10340" w:type="dxa"/>
            <w:vAlign w:val="bottom"/>
            <w:gridSpan w:val="34"/>
          </w:tcPr>
          <w:p>
            <w:pPr>
              <w:spacing w:after="0"/>
              <w:rPr>
                <w:rFonts w:ascii="Arial" w:cs="Arial" w:eastAsia="Arial" w:hAnsi="Arial"/>
                <w:sz w:val="18"/>
                <w:szCs w:val="18"/>
                <w:color w:val="0000FF"/>
              </w:rPr>
            </w:pPr>
            <w:hyperlink r:id="rId97">
              <w:r>
                <w:rPr>
                  <w:rFonts w:ascii="Arial" w:cs="Arial" w:eastAsia="Arial" w:hAnsi="Arial"/>
                  <w:sz w:val="18"/>
                  <w:szCs w:val="18"/>
                  <w:color w:val="0000FF"/>
                </w:rPr>
                <w:t>Amended and Restated EchoStar Corporation 2008 Non-Employee Director Stock Option Plan (the “2008 Non-Employee</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Director Stock Option Plan”) (incorporated by reference to EchoStar Corporation’s Definitive Proxy Statement on Form 14,</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4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filed March 31, 2009, Commission File No. 001-33807).**</w:t>
              </w:r>
            </w:hyperlink>
          </w:p>
        </w:tc>
        <w:tc>
          <w:tcPr>
            <w:tcW w:w="576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5*</w:t>
              </w:r>
            </w:hyperlink>
          </w:p>
        </w:tc>
        <w:tc>
          <w:tcPr>
            <w:tcW w:w="10340" w:type="dxa"/>
            <w:vAlign w:val="bottom"/>
            <w:gridSpan w:val="34"/>
          </w:tcPr>
          <w:p>
            <w:pPr>
              <w:spacing w:after="0"/>
              <w:rPr>
                <w:rFonts w:ascii="Arial" w:cs="Arial" w:eastAsia="Arial" w:hAnsi="Arial"/>
                <w:sz w:val="18"/>
                <w:szCs w:val="18"/>
                <w:color w:val="0000FF"/>
              </w:rPr>
            </w:pPr>
            <w:hyperlink r:id="rId98">
              <w:r>
                <w:rPr>
                  <w:rFonts w:ascii="Arial" w:cs="Arial" w:eastAsia="Arial" w:hAnsi="Arial"/>
                  <w:sz w:val="18"/>
                  <w:szCs w:val="18"/>
                  <w:color w:val="0000FF"/>
                </w:rPr>
                <w:t>Allocation Agreement, dated August 4, 2009, between EchoStar Corporation and DISH Network Corporation (incorporated</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by  reference  from  Exhibit  10.4  to  EchoStar  Corporation’s  Quarterly  Report  on  Form  10-Q  for  the  quarter  ended</w:t>
              </w:r>
            </w:hyperlink>
          </w:p>
        </w:tc>
        <w:tc>
          <w:tcPr>
            <w:tcW w:w="180" w:type="dxa"/>
            <w:vAlign w:val="bottom"/>
            <w:gridSpan w:val="9"/>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September 30, 2009, filed November 9, 2009, Commission File No. 001-33807).</w:t>
              </w:r>
            </w:hyperlink>
          </w:p>
        </w:tc>
        <w:tc>
          <w:tcPr>
            <w:tcW w:w="36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466"/>
        </w:trPr>
        <w:tc>
          <w:tcPr>
            <w:tcW w:w="1300" w:type="dxa"/>
            <w:vAlign w:val="bottom"/>
            <w:gridSpan w:val="2"/>
          </w:tcPr>
          <w:p>
            <w:pPr>
              <w:jc w:val="right"/>
              <w:ind w:right="880"/>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6*</w:t>
              </w:r>
            </w:hyperlink>
          </w:p>
        </w:tc>
        <w:tc>
          <w:tcPr>
            <w:tcW w:w="10340" w:type="dxa"/>
            <w:vAlign w:val="bottom"/>
            <w:gridSpan w:val="34"/>
          </w:tcPr>
          <w:p>
            <w:pPr>
              <w:spacing w:after="0"/>
              <w:rPr>
                <w:rFonts w:ascii="Arial" w:cs="Arial" w:eastAsia="Arial" w:hAnsi="Arial"/>
                <w:sz w:val="18"/>
                <w:szCs w:val="18"/>
                <w:color w:val="0000FF"/>
              </w:rPr>
            </w:pPr>
            <w:hyperlink r:id="rId99">
              <w:r>
                <w:rPr>
                  <w:rFonts w:ascii="Arial" w:cs="Arial" w:eastAsia="Arial" w:hAnsi="Arial"/>
                  <w:sz w:val="18"/>
                  <w:szCs w:val="18"/>
                  <w:color w:val="0000FF"/>
                </w:rPr>
                <w:t>Form of Restricted Stock Unit Agreement for 2008 Stock Incentive Plan — Executive or Director (incorporated by reference</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to Exhibit 10.1 to EchoStar Corporation’s Quarterly Report on Form 10-Q for the quarter ended September 30, 2015, filed</w:t>
              </w:r>
            </w:hyperlink>
          </w:p>
        </w:tc>
        <w:tc>
          <w:tcPr>
            <w:tcW w:w="140" w:type="dxa"/>
            <w:vAlign w:val="bottom"/>
            <w:tcBorders>
              <w:bottom w:val="single" w:sz="8" w:color="0000FF"/>
            </w:tcBorders>
            <w:gridSpan w:val="7"/>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40" w:type="dxa"/>
            <w:vAlign w:val="bottom"/>
            <w:gridSpan w:val="19"/>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November 6, 2015, Commission File No. 001-33807).**</w:t>
              </w:r>
            </w:hyperlink>
          </w:p>
        </w:tc>
        <w:tc>
          <w:tcPr>
            <w:tcW w:w="300" w:type="dxa"/>
            <w:vAlign w:val="bottom"/>
            <w:gridSpan w:val="15"/>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gridSpan w:val="2"/>
          </w:tcPr>
          <w:p>
            <w:pPr>
              <w:spacing w:after="0"/>
              <w:rPr>
                <w:rFonts w:ascii="Arial" w:cs="Arial" w:eastAsia="Arial" w:hAnsi="Arial"/>
                <w:sz w:val="18"/>
                <w:szCs w:val="18"/>
                <w:color w:val="0000FF"/>
              </w:rPr>
            </w:pPr>
            <w:hyperlink r:id="rId10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780" w:type="dxa"/>
            <w:vAlign w:val="bottom"/>
          </w:tcPr>
          <w:p>
            <w:pPr>
              <w:spacing w:after="0"/>
              <w:rPr>
                <w:sz w:val="17"/>
                <w:szCs w:val="17"/>
                <w:color w:val="auto"/>
              </w:rPr>
            </w:pPr>
          </w:p>
        </w:tc>
        <w:tc>
          <w:tcPr>
            <w:tcW w:w="10260" w:type="dxa"/>
            <w:vAlign w:val="bottom"/>
            <w:gridSpan w:val="28"/>
          </w:tcPr>
          <w:p>
            <w:pPr>
              <w:spacing w:after="0"/>
              <w:rPr>
                <w:rFonts w:ascii="Arial" w:cs="Arial" w:eastAsia="Arial" w:hAnsi="Arial"/>
                <w:sz w:val="18"/>
                <w:szCs w:val="18"/>
                <w:color w:val="0000FF"/>
              </w:rPr>
            </w:pPr>
            <w:hyperlink r:id="rId101">
              <w:r>
                <w:rPr>
                  <w:rFonts w:ascii="Arial" w:cs="Arial" w:eastAsia="Arial" w:hAnsi="Arial"/>
                  <w:sz w:val="18"/>
                  <w:szCs w:val="18"/>
                  <w:color w:val="0000FF"/>
                </w:rPr>
                <w:t>Form of Stock Option Agreement for 2008 Stock Incentive Plan (1999) (incorporated by reference to Exhibit 10.39 to</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EchoStar Corporation’s Annual Report on Form 10-K for the year ended December 31, 2015, filed February 24,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780" w:type="dxa"/>
            <w:vAlign w:val="bottom"/>
          </w:tcPr>
          <w:p>
            <w:pPr>
              <w:spacing w:after="0"/>
              <w:rPr>
                <w:sz w:val="24"/>
                <w:szCs w:val="24"/>
                <w:color w:val="auto"/>
              </w:rPr>
            </w:pPr>
          </w:p>
        </w:tc>
        <w:tc>
          <w:tcPr>
            <w:tcW w:w="10260" w:type="dxa"/>
            <w:vAlign w:val="bottom"/>
            <w:gridSpan w:val="28"/>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Stock Option Agreement for 2008 Stock Incentive Plan — Employee (2008)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10.</w:t>
              </w:r>
              <w:r>
                <w:rPr>
                  <w:rFonts w:ascii="Arial" w:cs="Arial" w:eastAsia="Arial" w:hAnsi="Arial"/>
                  <w:sz w:val="18"/>
                  <w:szCs w:val="18"/>
                  <w:u w:val="single" w:color="auto"/>
                  <w:color w:val="0000FF"/>
                </w:rPr>
                <w:t>40</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20" w:type="dxa"/>
            <w:vAlign w:val="bottom"/>
            <w:gridSpan w:val="26"/>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rFonts w:ascii="Arial" w:cs="Arial" w:eastAsia="Arial" w:hAnsi="Arial"/>
                <w:sz w:val="18"/>
                <w:szCs w:val="18"/>
                <w:color w:val="0000FF"/>
              </w:rPr>
            </w:pPr>
            <w:hyperlink r:id="rId10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780" w:type="dxa"/>
            <w:vAlign w:val="bottom"/>
          </w:tcPr>
          <w:p>
            <w:pPr>
              <w:spacing w:after="0"/>
              <w:rPr>
                <w:sz w:val="24"/>
                <w:szCs w:val="24"/>
                <w:color w:val="auto"/>
              </w:rPr>
            </w:pPr>
          </w:p>
        </w:tc>
        <w:tc>
          <w:tcPr>
            <w:tcW w:w="10260" w:type="dxa"/>
            <w:vAlign w:val="bottom"/>
            <w:gridSpan w:val="28"/>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Stock Option Agreement for 2008 Stock Incentive Plan — Executive (2008)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10.</w:t>
              </w:r>
              <w:r>
                <w:rPr>
                  <w:rFonts w:ascii="Arial" w:cs="Arial" w:eastAsia="Arial" w:hAnsi="Arial"/>
                  <w:sz w:val="18"/>
                  <w:szCs w:val="18"/>
                  <w:u w:val="single" w:color="auto"/>
                  <w:color w:val="0000FF"/>
                </w:rPr>
                <w:t>41</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260" w:type="dxa"/>
            <w:vAlign w:val="bottom"/>
            <w:gridSpan w:val="28"/>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Stock Option Agreement for 2008 Stock Incentive Plan — Employee (2014)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0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42</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260" w:type="dxa"/>
            <w:vAlign w:val="bottom"/>
            <w:gridSpan w:val="28"/>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Stock Option Agreement for 2008 Stock Incentive Plan — Executive (2014)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43</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2016, Commission File No. 001-33807). **</w:t>
              </w:r>
            </w:hyperlink>
          </w:p>
        </w:tc>
        <w:tc>
          <w:tcPr>
            <w:tcW w:w="68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260" w:type="dxa"/>
            <w:vAlign w:val="bottom"/>
            <w:gridSpan w:val="28"/>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Non-Employee Director Stock Option Agreement for 2008 Non-Employee Director Stock Option Plan (incorporated</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by reference to Exhibit 10.44 to EchoStar Corporation’s Annual Report on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60" w:type="dxa"/>
            <w:vAlign w:val="bottom"/>
            <w:gridSpan w:val="2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2015, filed February 24, 2016, Commission File No. 001-33807). **</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260" w:type="dxa"/>
            <w:vAlign w:val="bottom"/>
            <w:gridSpan w:val="28"/>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Restricted Stock Unit Agreement for 2008 Stock Incentive Plan — Executive or Director (2011)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reference to Exhibit 10.45 to EchoStar Corporation’s Annual Report on Form 10-K for the year ended December 31,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filed February 24, 2016, Commission File No. 001-33807).**</w:t>
              </w:r>
            </w:hyperlink>
          </w:p>
        </w:tc>
        <w:tc>
          <w:tcPr>
            <w:tcW w:w="51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gridSpan w:val="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260" w:type="dxa"/>
            <w:vAlign w:val="bottom"/>
            <w:gridSpan w:val="28"/>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Share Exchange Agreement among DISH Network Corporation, DISH Network L.L.C., DISH Operating L.L.C., EchoStar</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Corporation,  EchoStar  Broadcasting  Holding  Parent  L.L.C.,  EchoStar  Broadcasting  Holding  Corporation,  EchoStar</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80" w:type="dxa"/>
            <w:vAlign w:val="bottom"/>
            <w:tcBorders>
              <w:bottom w:val="single" w:sz="8" w:color="0000FF"/>
            </w:tcBorders>
            <w:gridSpan w:val="19"/>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Technologies Holding Corporation, and EchoStar Technologies L.L.C., dated as of January 31, 2017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140" w:type="dxa"/>
            <w:vAlign w:val="bottom"/>
            <w:gridSpan w:val="22"/>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reference to Exhibit 10.1 to EchoStar Corporation’s Quarterly Report on Form 10-Q for the quarter ended March 31, 2017,</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filed May 10, 2017, Commission File No. 001-33807. ***/****</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260" w:type="dxa"/>
            <w:vAlign w:val="bottom"/>
            <w:gridSpan w:val="28"/>
          </w:tcPr>
          <w:p>
            <w:pPr>
              <w:spacing w:after="0"/>
              <w:rPr>
                <w:rFonts w:ascii="Arial" w:cs="Arial" w:eastAsia="Arial" w:hAnsi="Arial"/>
                <w:sz w:val="18"/>
                <w:szCs w:val="18"/>
                <w:color w:val="0000FF"/>
              </w:rPr>
            </w:pPr>
            <w:hyperlink r:id="rId109">
              <w:r>
                <w:rPr>
                  <w:rFonts w:ascii="Arial" w:cs="Arial" w:eastAsia="Arial" w:hAnsi="Arial"/>
                  <w:sz w:val="18"/>
                  <w:szCs w:val="18"/>
                  <w:color w:val="0000FF"/>
                </w:rPr>
                <w:t>EchoStar Corporation 2017 Stock Incentive Plan (incorporated by reference to EchoStar Corporation’s Definitive Proxy</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8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Statement on Form 14, filed March 23, 2017, Commission File No. 001-33807).**</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6420" w:type="dxa"/>
            <w:vAlign w:val="bottom"/>
            <w:gridSpan w:val="6"/>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gridSpan w:val="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260" w:type="dxa"/>
            <w:vAlign w:val="bottom"/>
            <w:gridSpan w:val="28"/>
          </w:tcPr>
          <w:p>
            <w:pPr>
              <w:spacing w:after="0"/>
              <w:rPr>
                <w:rFonts w:ascii="Arial" w:cs="Arial" w:eastAsia="Arial" w:hAnsi="Arial"/>
                <w:sz w:val="18"/>
                <w:szCs w:val="18"/>
                <w:color w:val="0000FF"/>
              </w:rPr>
            </w:pPr>
            <w:hyperlink r:id="rId109">
              <w:r>
                <w:rPr>
                  <w:rFonts w:ascii="Arial" w:cs="Arial" w:eastAsia="Arial" w:hAnsi="Arial"/>
                  <w:sz w:val="18"/>
                  <w:szCs w:val="18"/>
                  <w:color w:val="0000FF"/>
                </w:rPr>
                <w:t>EchoStar  Corporation  2017  Non-Employee  Director  Stock  Incentive  Plan  (incorporated  by  reference  to  EchoStar</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Corporation’s Definitive Proxy Statement on Form 14, filed March 23, 2017, Commission File No. 001-33807).**</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7000" w:type="dxa"/>
            <w:vAlign w:val="bottom"/>
            <w:gridSpan w:val="7"/>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260" w:type="dxa"/>
            <w:vAlign w:val="bottom"/>
            <w:gridSpan w:val="28"/>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EchoStar Corporation 2017 Employee Stock Purchase Plan (incorporated by reference to EchoStar</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Corporation’s Definitive Proxy Statement on Form 14, filed March 23, 2017, Commission File No. 001-33807).**</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7000" w:type="dxa"/>
            <w:vAlign w:val="bottom"/>
            <w:gridSpan w:val="7"/>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gridSpan w:val="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260" w:type="dxa"/>
            <w:vAlign w:val="bottom"/>
            <w:gridSpan w:val="28"/>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Amendment No. 1 to EchoStar Corporation 2017 Amended and Restated Employee Stock Purchase Plan dated October 20,</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2022 (incorporated by reference to Exhibit 10.5 to EchoStar Corporation’s Quarterly Report on Form 10-Q for the quarter</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ended September 30, 2022, filed November 3, 2022, Commission File No. 001-33807)**</w:t>
              </w:r>
            </w:hyperlink>
          </w:p>
        </w:tc>
        <w:tc>
          <w:tcPr>
            <w:tcW w:w="318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gridSpan w:val="2"/>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10.</w:t>
              </w:r>
            </w:hyperlink>
            <w:r>
              <w:rPr>
                <w:rFonts w:ascii="Arial" w:cs="Arial" w:eastAsia="Arial" w:hAnsi="Arial"/>
                <w:sz w:val="18"/>
                <w:szCs w:val="18"/>
                <w:u w:val="single" w:color="auto"/>
                <w:color w:val="0000FF"/>
                <w:w w:val="95"/>
              </w:rPr>
              <w:t>19*</w:t>
            </w:r>
          </w:p>
        </w:tc>
        <w:tc>
          <w:tcPr>
            <w:tcW w:w="780" w:type="dxa"/>
            <w:vAlign w:val="bottom"/>
          </w:tcPr>
          <w:p>
            <w:pPr>
              <w:spacing w:after="0"/>
              <w:rPr>
                <w:sz w:val="19"/>
                <w:szCs w:val="19"/>
                <w:color w:val="auto"/>
              </w:rPr>
            </w:pPr>
          </w:p>
        </w:tc>
        <w:tc>
          <w:tcPr>
            <w:tcW w:w="10260" w:type="dxa"/>
            <w:vAlign w:val="bottom"/>
            <w:gridSpan w:val="28"/>
          </w:tcPr>
          <w:p>
            <w:pPr>
              <w:spacing w:after="0"/>
              <w:rPr>
                <w:rFonts w:ascii="Arial" w:cs="Arial" w:eastAsia="Arial" w:hAnsi="Arial"/>
                <w:sz w:val="18"/>
                <w:szCs w:val="18"/>
                <w:color w:val="0000FF"/>
              </w:rPr>
            </w:pPr>
            <w:hyperlink r:id="rId111">
              <w:r>
                <w:rPr>
                  <w:rFonts w:ascii="Arial" w:cs="Arial" w:eastAsia="Arial" w:hAnsi="Arial"/>
                  <w:sz w:val="18"/>
                  <w:szCs w:val="18"/>
                  <w:color w:val="0000FF"/>
                </w:rPr>
                <w:t>EchoStar Non-Qualified Plan -- Executive Plan and Adoption Agreement, as amended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2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EchoStar Corporation’s Quarterly Report on Form 10-Q for the quarter ended June 30, 2017, filed August 9, 2017,</w:t>
              </w:r>
            </w:hyperlink>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Commission File No. 001-33807).**</w:t>
              </w:r>
            </w:hyperlink>
          </w:p>
        </w:tc>
        <w:tc>
          <w:tcPr>
            <w:tcW w:w="80" w:type="dxa"/>
            <w:vAlign w:val="bottom"/>
            <w:gridSpan w:val="4"/>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jc w:val="right"/>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20*</w:t>
              </w:r>
            </w:hyperlink>
          </w:p>
        </w:tc>
        <w:tc>
          <w:tcPr>
            <w:tcW w:w="760" w:type="dxa"/>
            <w:vAlign w:val="bottom"/>
          </w:tcPr>
          <w:p>
            <w:pPr>
              <w:spacing w:after="0"/>
              <w:rPr>
                <w:sz w:val="17"/>
                <w:szCs w:val="17"/>
                <w:color w:val="auto"/>
              </w:rPr>
            </w:pPr>
          </w:p>
        </w:tc>
        <w:tc>
          <w:tcPr>
            <w:tcW w:w="10280" w:type="dxa"/>
            <w:vAlign w:val="bottom"/>
            <w:gridSpan w:val="35"/>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Stock Option Agreement for the EchoStar Corporation 2017 Stock Incentive Plan - Employee (2017) (incorporated</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by reference to Exhibit 10.2 to EchoStar Corporation’s Quarterly Report on Form 10-Q for the quarter ended June 30,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520" w:type="dxa"/>
            <w:vAlign w:val="bottom"/>
            <w:tcBorders>
              <w:bottom w:val="single" w:sz="8" w:color="0000FF"/>
            </w:tcBorders>
            <w:gridSpan w:val="5"/>
          </w:tcPr>
          <w:p>
            <w:pPr>
              <w:spacing w:after="0" w:line="156"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filed August 9, 2017, Commission File No. 001-33807).**</w:t>
              </w:r>
            </w:hyperlink>
          </w:p>
        </w:tc>
        <w:tc>
          <w:tcPr>
            <w:tcW w:w="572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540" w:type="dxa"/>
            <w:vAlign w:val="bottom"/>
            <w:gridSpan w:val="2"/>
          </w:tcPr>
          <w:p>
            <w:pPr>
              <w:jc w:val="right"/>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10.</w:t>
              </w:r>
            </w:hyperlink>
            <w:r>
              <w:rPr>
                <w:rFonts w:ascii="Arial" w:cs="Arial" w:eastAsia="Arial" w:hAnsi="Arial"/>
                <w:sz w:val="18"/>
                <w:szCs w:val="18"/>
                <w:u w:val="single" w:color="auto"/>
                <w:color w:val="0000FF"/>
                <w:w w:val="99"/>
              </w:rPr>
              <w:t>21*</w:t>
            </w:r>
          </w:p>
        </w:tc>
        <w:tc>
          <w:tcPr>
            <w:tcW w:w="760" w:type="dxa"/>
            <w:vAlign w:val="bottom"/>
          </w:tcPr>
          <w:p>
            <w:pPr>
              <w:spacing w:after="0"/>
              <w:rPr>
                <w:sz w:val="24"/>
                <w:szCs w:val="24"/>
                <w:color w:val="auto"/>
              </w:rPr>
            </w:pPr>
          </w:p>
        </w:tc>
        <w:tc>
          <w:tcPr>
            <w:tcW w:w="10280" w:type="dxa"/>
            <w:vAlign w:val="bottom"/>
            <w:gridSpan w:val="3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Stock Option Agreement for the EchoStar Corporation 2017 Stock Incentive Plan - Executive (2017) (incorporated</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by reference to Exhibit 10.3 to EchoStar Corporation’s Quarterly Report on Form 10-Q for the quarter ended June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filed August 9, 2017, Commission File No. 001-33807).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540" w:type="dxa"/>
            <w:vAlign w:val="bottom"/>
            <w:gridSpan w:val="2"/>
          </w:tcPr>
          <w:p>
            <w:pPr>
              <w:jc w:val="right"/>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10.</w:t>
              </w:r>
            </w:hyperlink>
            <w:r>
              <w:rPr>
                <w:rFonts w:ascii="Arial" w:cs="Arial" w:eastAsia="Arial" w:hAnsi="Arial"/>
                <w:sz w:val="18"/>
                <w:szCs w:val="18"/>
                <w:u w:val="single" w:color="auto"/>
                <w:color w:val="0000FF"/>
                <w:w w:val="99"/>
              </w:rPr>
              <w:t>22*</w:t>
            </w:r>
          </w:p>
        </w:tc>
        <w:tc>
          <w:tcPr>
            <w:tcW w:w="760" w:type="dxa"/>
            <w:vAlign w:val="bottom"/>
          </w:tcPr>
          <w:p>
            <w:pPr>
              <w:spacing w:after="0"/>
              <w:rPr>
                <w:sz w:val="24"/>
                <w:szCs w:val="24"/>
                <w:color w:val="auto"/>
              </w:rPr>
            </w:pPr>
          </w:p>
        </w:tc>
        <w:tc>
          <w:tcPr>
            <w:tcW w:w="10280" w:type="dxa"/>
            <w:vAlign w:val="bottom"/>
            <w:gridSpan w:val="35"/>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Form of Non-Employee Director Stock Option Agreement for the EchoStar Corporation 2017 Non-Employee Director Stock</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Incentive Plan (incorporated by reference to Exhibit 10.4 to EchoStar Corporation’s Quarterly Report on Form 10-Q for the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940" w:type="dxa"/>
            <w:vAlign w:val="bottom"/>
            <w:tcBorders>
              <w:bottom w:val="single" w:sz="8" w:color="0000FF"/>
            </w:tcBorders>
            <w:gridSpan w:val="13"/>
          </w:tcPr>
          <w:p>
            <w:pPr>
              <w:spacing w:after="0" w:line="156"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quarter ended June 30, 2017, filed August 9, 2017, Commission File No. 001-33807).**</w:t>
              </w:r>
            </w:hyperlink>
          </w:p>
        </w:tc>
        <w:tc>
          <w:tcPr>
            <w:tcW w:w="332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540" w:type="dxa"/>
            <w:vAlign w:val="bottom"/>
            <w:gridSpan w:val="2"/>
          </w:tcPr>
          <w:p>
            <w:pPr>
              <w:jc w:val="right"/>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10.</w:t>
              </w:r>
            </w:hyperlink>
            <w:r>
              <w:rPr>
                <w:rFonts w:ascii="Arial" w:cs="Arial" w:eastAsia="Arial" w:hAnsi="Arial"/>
                <w:sz w:val="18"/>
                <w:szCs w:val="18"/>
                <w:u w:val="single" w:color="auto"/>
                <w:color w:val="0000FF"/>
                <w:w w:val="99"/>
              </w:rPr>
              <w:t>23*</w:t>
            </w:r>
          </w:p>
        </w:tc>
        <w:tc>
          <w:tcPr>
            <w:tcW w:w="760" w:type="dxa"/>
            <w:vAlign w:val="bottom"/>
          </w:tcPr>
          <w:p>
            <w:pPr>
              <w:spacing w:after="0"/>
              <w:rPr>
                <w:sz w:val="24"/>
                <w:szCs w:val="24"/>
                <w:color w:val="auto"/>
              </w:rPr>
            </w:pPr>
          </w:p>
        </w:tc>
        <w:tc>
          <w:tcPr>
            <w:tcW w:w="10280" w:type="dxa"/>
            <w:vAlign w:val="bottom"/>
            <w:gridSpan w:val="35"/>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Restricted Stock Unit Agreement for the EchoStar Corporation 2017 Stock Incentive Plan - Executive (2017)</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(incorporated by reference to Exhibit 10.5 to EchoStar Corporation’s Quarterly Report on Form 10-Q for the quarter ended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June 30, 2017, filed August 9, 2017, Commission File No. 001-33807).**</w:t>
              </w:r>
            </w:hyperlink>
          </w:p>
        </w:tc>
        <w:tc>
          <w:tcPr>
            <w:tcW w:w="42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66"/>
        </w:trPr>
        <w:tc>
          <w:tcPr>
            <w:tcW w:w="1300" w:type="dxa"/>
            <w:vAlign w:val="bottom"/>
            <w:gridSpan w:val="3"/>
          </w:tcPr>
          <w:p>
            <w:pPr>
              <w:jc w:val="right"/>
              <w:ind w:right="760"/>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24*</w:t>
              </w:r>
            </w:hyperlink>
          </w:p>
        </w:tc>
        <w:tc>
          <w:tcPr>
            <w:tcW w:w="10280" w:type="dxa"/>
            <w:vAlign w:val="bottom"/>
            <w:gridSpan w:val="3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Form of Stock Option Agreement for the EchoStar Corporation 2017 Stock Incentive Plan — Employee (2022) (incorporated</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by reference to Exhibit 10.1 to EchoStar Corporation’s Quarterly Report on Form 10-Q for the quarter ended September 30,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40" w:type="dxa"/>
            <w:vAlign w:val="bottom"/>
            <w:tcBorders>
              <w:bottom w:val="single" w:sz="8" w:color="0000FF"/>
            </w:tcBorders>
            <w:gridSpan w:val="8"/>
          </w:tcPr>
          <w:p>
            <w:pPr>
              <w:spacing w:after="0" w:line="156"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2022, filed November 3, 2022, Commission File No. 001-33807)**</w:t>
              </w:r>
            </w:hyperlink>
          </w:p>
        </w:tc>
        <w:tc>
          <w:tcPr>
            <w:tcW w:w="47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25*</w:t>
              </w:r>
            </w:hyperlink>
          </w:p>
        </w:tc>
        <w:tc>
          <w:tcPr>
            <w:tcW w:w="10280" w:type="dxa"/>
            <w:vAlign w:val="bottom"/>
            <w:gridSpan w:val="3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Stock Option Agreement for the EchoStar Corporation 2017 Stock Incentive Plan — Executive (2022) (incorporated</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by reference to Exhibit 10.2 to EchoStar Corporation’s Quarterly Report on Form 10-Q for the quarter ended September 30,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2022, filed November 3, 2022, Commission File No. 001-33807) **</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00" w:type="dxa"/>
            <w:vAlign w:val="bottom"/>
            <w:gridSpan w:val="3"/>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26*</w:t>
              </w:r>
            </w:hyperlink>
          </w:p>
        </w:tc>
        <w:tc>
          <w:tcPr>
            <w:tcW w:w="10280" w:type="dxa"/>
            <w:vAlign w:val="bottom"/>
            <w:gridSpan w:val="35"/>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Non-Employee Director Stock Option Agreement for the EchoStar Corporation 2017 Non-Employee Director Stock</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Incentive Plan (2022) (incorporated by reference to Exhibit 10.3 to EchoStar Corporation’s Quarterly Report on Form 10-Q</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0" w:type="dxa"/>
            <w:vAlign w:val="bottom"/>
            <w:tcBorders>
              <w:bottom w:val="single" w:sz="8" w:color="0000FF"/>
            </w:tcBorders>
            <w:gridSpan w:val="14"/>
          </w:tcPr>
          <w:p>
            <w:pPr>
              <w:spacing w:after="0" w:line="156"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for the quarter ended September 30, 2022, filed November 3, 2022, Commission File No. 001-33807)**</w:t>
              </w:r>
            </w:hyperlink>
          </w:p>
        </w:tc>
        <w:tc>
          <w:tcPr>
            <w:tcW w:w="19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27*</w:t>
              </w:r>
            </w:hyperlink>
          </w:p>
        </w:tc>
        <w:tc>
          <w:tcPr>
            <w:tcW w:w="10280" w:type="dxa"/>
            <w:vAlign w:val="bottom"/>
            <w:gridSpan w:val="35"/>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Restricted Stock Unit Agreement for the EchoStar Corporation 2017 Stock Incentive Plan — Executive (2022)</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(incorporated by reference to Exhibit 10.4 to EchoStar Corporation’s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September 30, 2022, filed November 3, 2022, Commission File No. 001-33807) **</w:t>
              </w:r>
            </w:hyperlink>
          </w:p>
        </w:tc>
        <w:tc>
          <w:tcPr>
            <w:tcW w:w="35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2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28*</w:t>
              </w:r>
            </w:hyperlink>
          </w:p>
        </w:tc>
        <w:tc>
          <w:tcPr>
            <w:tcW w:w="10280" w:type="dxa"/>
            <w:vAlign w:val="bottom"/>
            <w:gridSpan w:val="3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Offer Letter to Hamid Akhavan (incorporated by reference to Exhibit 10.1 to EchoStar Corporation’s Current Report on Form</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8-K filed February 22, 2022, Commission File No. 001-33807)**</w:t>
              </w:r>
            </w:hyperlink>
          </w:p>
        </w:tc>
        <w:tc>
          <w:tcPr>
            <w:tcW w:w="516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29*</w:t>
              </w:r>
            </w:hyperlink>
          </w:p>
        </w:tc>
        <w:tc>
          <w:tcPr>
            <w:tcW w:w="10280" w:type="dxa"/>
            <w:vAlign w:val="bottom"/>
            <w:gridSpan w:val="35"/>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Stock Option Agreement for Hamid Akhavan (incorporated by reference to Exhibit 10.2 to EchoStar Corporation’s</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Quarterly Report on Form 10-Q for the quarter ended March 31, 2022, filed May 5, 2022, Commission File No. 001-33807)**</w:t>
              </w:r>
            </w:hyperlink>
          </w:p>
        </w:tc>
        <w:tc>
          <w:tcPr>
            <w:tcW w:w="32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30*</w:t>
              </w:r>
            </w:hyperlink>
          </w:p>
        </w:tc>
        <w:tc>
          <w:tcPr>
            <w:tcW w:w="10280" w:type="dxa"/>
            <w:vAlign w:val="bottom"/>
            <w:gridSpan w:val="35"/>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Restricted Stock Unit Agreement for Hamid Akhavan (incorporated by reference to Exhibit 10.3 to EchoStar</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Corporation’s Quarterly Report on Form 10-Q for the quarter ended March 31, 2022, filed May 5, 2022, Commission File No.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23">
              <w:r>
                <w:rPr>
                  <w:rFonts w:ascii="Arial" w:cs="Arial" w:eastAsia="Arial" w:hAnsi="Arial"/>
                  <w:sz w:val="18"/>
                  <w:szCs w:val="18"/>
                  <w:color w:val="0000FF"/>
                  <w:w w:val="98"/>
                </w:rPr>
                <w:t>001-33807)**</w:t>
              </w:r>
            </w:hyperlink>
          </w:p>
        </w:tc>
        <w:tc>
          <w:tcPr>
            <w:tcW w:w="60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gridSpan w:val="3"/>
          </w:tcPr>
          <w:p>
            <w:pPr>
              <w:jc w:val="right"/>
              <w:ind w:right="760"/>
              <w:spacing w:after="0"/>
              <w:rPr>
                <w:rFonts w:ascii="Arial" w:cs="Arial" w:eastAsia="Arial" w:hAnsi="Arial"/>
                <w:sz w:val="18"/>
                <w:szCs w:val="18"/>
                <w:color w:val="0000FF"/>
                <w:w w:val="99"/>
              </w:rPr>
            </w:pPr>
            <w:hyperlink r:id="rId12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31*</w:t>
              </w:r>
            </w:hyperlink>
          </w:p>
        </w:tc>
        <w:tc>
          <w:tcPr>
            <w:tcW w:w="10280" w:type="dxa"/>
            <w:vAlign w:val="bottom"/>
            <w:gridSpan w:val="35"/>
          </w:tcPr>
          <w:p>
            <w:pPr>
              <w:spacing w:after="0"/>
              <w:rPr>
                <w:rFonts w:ascii="Arial" w:cs="Arial" w:eastAsia="Arial" w:hAnsi="Arial"/>
                <w:sz w:val="18"/>
                <w:szCs w:val="18"/>
                <w:color w:val="0000FF"/>
              </w:rPr>
            </w:pPr>
            <w:hyperlink r:id="rId124">
              <w:r>
                <w:rPr>
                  <w:rFonts w:ascii="Arial" w:cs="Arial" w:eastAsia="Arial" w:hAnsi="Arial"/>
                  <w:sz w:val="18"/>
                  <w:szCs w:val="18"/>
                  <w:color w:val="0000FF"/>
                </w:rPr>
                <w:t>Letter Agreement, dated December 30, 2022, between EchoStar Corporation and Pradman P. Kaul (incorporated by</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reference to Exhibit 10.1 to EchoStar Corporation’s Current Report on Form 8-K filed December 30, 2022, Commission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No. 001-33807)**/***</w:t>
              </w:r>
            </w:hyperlink>
          </w:p>
        </w:tc>
        <w:tc>
          <w:tcPr>
            <w:tcW w:w="8480" w:type="dxa"/>
            <w:vAlign w:val="bottom"/>
            <w:tcBorders>
              <w:top w:val="single" w:sz="8" w:color="0000FF"/>
            </w:tcBorders>
            <w:gridSpan w:val="2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23"/>
        </w:trPr>
        <w:tc>
          <w:tcPr>
            <w:tcW w:w="540" w:type="dxa"/>
            <w:vAlign w:val="bottom"/>
            <w:gridSpan w:val="2"/>
          </w:tcPr>
          <w:p>
            <w:pPr>
              <w:jc w:val="right"/>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32*</w:t>
              </w:r>
            </w:hyperlink>
          </w:p>
        </w:tc>
        <w:tc>
          <w:tcPr>
            <w:tcW w:w="760" w:type="dxa"/>
            <w:vAlign w:val="bottom"/>
          </w:tcPr>
          <w:p>
            <w:pPr>
              <w:spacing w:after="0"/>
              <w:rPr>
                <w:sz w:val="19"/>
                <w:szCs w:val="19"/>
                <w:color w:val="auto"/>
              </w:rPr>
            </w:pPr>
          </w:p>
        </w:tc>
        <w:tc>
          <w:tcPr>
            <w:tcW w:w="10280" w:type="dxa"/>
            <w:vAlign w:val="bottom"/>
            <w:gridSpan w:val="35"/>
          </w:tcPr>
          <w:p>
            <w:pPr>
              <w:spacing w:after="0"/>
              <w:rPr>
                <w:rFonts w:ascii="Arial" w:cs="Arial" w:eastAsia="Arial" w:hAnsi="Arial"/>
                <w:sz w:val="18"/>
                <w:szCs w:val="18"/>
                <w:color w:val="0000FF"/>
              </w:rPr>
            </w:pPr>
            <w:hyperlink r:id="rId125">
              <w:r>
                <w:rPr>
                  <w:rFonts w:ascii="Arial" w:cs="Arial" w:eastAsia="Arial" w:hAnsi="Arial"/>
                  <w:sz w:val="18"/>
                  <w:szCs w:val="18"/>
                  <w:color w:val="0000FF"/>
                </w:rPr>
                <w:t>Letter Agreement between EchoStar Corporation and DISH Network Corporation, dated August 3, 2018, amending that</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certain Form of Tax Sharing Agreement between EchoStar Corporation and DISH Network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40" w:type="dxa"/>
            <w:vAlign w:val="bottom"/>
            <w:tcBorders>
              <w:bottom w:val="single" w:sz="8" w:color="0000FF"/>
            </w:tcBorders>
            <w:gridSpan w:val="18"/>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Exhibit 10.1 to EchoStar Corporation’s Quarterly Report on Form 10-Q for the quarter ended September 2018, filed</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80" w:type="dxa"/>
            <w:vAlign w:val="bottom"/>
            <w:gridSpan w:val="25"/>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November 8, 2018, Commission File No. 001-33807).</w:t>
              </w:r>
            </w:hyperlink>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20"/>
        </w:trPr>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0"/>
        </w:trPr>
        <w:tc>
          <w:tcPr>
            <w:tcW w:w="540" w:type="dxa"/>
            <w:vAlign w:val="bottom"/>
            <w:gridSpan w:val="2"/>
          </w:tcPr>
          <w:p>
            <w:pPr>
              <w:jc w:val="right"/>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33*</w:t>
              </w:r>
            </w:hyperlink>
          </w:p>
        </w:tc>
        <w:tc>
          <w:tcPr>
            <w:tcW w:w="760" w:type="dxa"/>
            <w:vAlign w:val="bottom"/>
          </w:tcPr>
          <w:p>
            <w:pPr>
              <w:spacing w:after="0"/>
              <w:rPr>
                <w:sz w:val="18"/>
                <w:szCs w:val="18"/>
                <w:color w:val="auto"/>
              </w:rPr>
            </w:pPr>
          </w:p>
        </w:tc>
        <w:tc>
          <w:tcPr>
            <w:tcW w:w="10280" w:type="dxa"/>
            <w:vAlign w:val="bottom"/>
            <w:gridSpan w:val="35"/>
          </w:tcPr>
          <w:p>
            <w:pPr>
              <w:spacing w:after="0"/>
              <w:rPr>
                <w:rFonts w:ascii="Arial" w:cs="Arial" w:eastAsia="Arial" w:hAnsi="Arial"/>
                <w:sz w:val="18"/>
                <w:szCs w:val="18"/>
                <w:color w:val="0000FF"/>
              </w:rPr>
            </w:pPr>
            <w:hyperlink r:id="rId126">
              <w:r>
                <w:rPr>
                  <w:rFonts w:ascii="Arial" w:cs="Arial" w:eastAsia="Arial" w:hAnsi="Arial"/>
                  <w:sz w:val="18"/>
                  <w:szCs w:val="18"/>
                  <w:color w:val="0000FF"/>
                </w:rPr>
                <w:t>Amendment to EchoStar Non-Qualified Plan -- Executive Plan and Adoption Agreement, dated November 1, 2018</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(incorporated by reference to Exhibit 10.35 to EchoStar Corporation’s Annual Report on Form 10-K for the year ended</w:t>
              </w:r>
            </w:hyperlink>
          </w:p>
        </w:tc>
        <w:tc>
          <w:tcPr>
            <w:tcW w:w="140" w:type="dxa"/>
            <w:vAlign w:val="bottom"/>
            <w:tcBorders>
              <w:bottom w:val="single" w:sz="8" w:color="0000FF"/>
            </w:tcBorders>
            <w:gridSpan w:val="7"/>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00" w:type="dxa"/>
            <w:vAlign w:val="bottom"/>
            <w:gridSpan w:val="26"/>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December 31, 2018, filed February 21, 2019, Commission File No. 001-33807).**</w:t>
              </w:r>
            </w:hyperlink>
          </w:p>
        </w:tc>
        <w:tc>
          <w:tcPr>
            <w:tcW w:w="180" w:type="dxa"/>
            <w:vAlign w:val="bottom"/>
            <w:gridSpan w:val="9"/>
          </w:tcPr>
          <w:p>
            <w:pPr>
              <w:spacing w:after="0"/>
              <w:rPr>
                <w:sz w:val="13"/>
                <w:szCs w:val="13"/>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top w:val="single" w:sz="8" w:color="0000FF"/>
            </w:tcBorders>
            <w:gridSpan w:val="4"/>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rFonts w:ascii="Arial" w:cs="Arial" w:eastAsia="Arial" w:hAnsi="Arial"/>
                <w:sz w:val="18"/>
                <w:szCs w:val="18"/>
                <w:color w:val="0000FF"/>
                <w:w w:val="80"/>
              </w:rPr>
            </w:pPr>
            <w:hyperlink r:id="rId129">
              <w:r>
                <w:rPr>
                  <w:rFonts w:ascii="Arial" w:cs="Arial" w:eastAsia="Arial" w:hAnsi="Arial"/>
                  <w:sz w:val="18"/>
                  <w:szCs w:val="18"/>
                  <w:color w:val="0000FF"/>
                  <w:w w:val="80"/>
                </w:rPr>
                <w:t>10.</w:t>
              </w:r>
              <w:r>
                <w:rPr>
                  <w:rFonts w:ascii="Arial" w:cs="Arial" w:eastAsia="Arial" w:hAnsi="Arial"/>
                  <w:sz w:val="18"/>
                  <w:szCs w:val="18"/>
                  <w:u w:val="single" w:color="auto"/>
                  <w:color w:val="0000FF"/>
                  <w:w w:val="80"/>
                </w:rPr>
                <w:t>34*</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40" w:type="dxa"/>
            <w:vAlign w:val="bottom"/>
            <w:gridSpan w:val="25"/>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Amended and Restated EchoStar Corporation Executive Officer Bonus Incentive Plan, dated as of April 30, 2019</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(incorporated by reference to Exhibit 10.1 to EchoStar Corporation’s Quarterly Report on Form 10-Q for the quarter 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June 30, 2019, filed August 8, 2019, Commission File No. 001-33807).**</w:t>
              </w:r>
            </w:hyperlink>
          </w:p>
        </w:tc>
        <w:tc>
          <w:tcPr>
            <w:tcW w:w="41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line="203" w:lineRule="exact"/>
              <w:rPr>
                <w:rFonts w:ascii="Arial" w:cs="Arial" w:eastAsia="Arial" w:hAnsi="Arial"/>
                <w:sz w:val="18"/>
                <w:szCs w:val="18"/>
                <w:color w:val="0000FF"/>
                <w:w w:val="80"/>
              </w:rPr>
            </w:pPr>
            <w:hyperlink r:id="rId130">
              <w:r>
                <w:rPr>
                  <w:rFonts w:ascii="Arial" w:cs="Arial" w:eastAsia="Arial" w:hAnsi="Arial"/>
                  <w:sz w:val="18"/>
                  <w:szCs w:val="18"/>
                  <w:color w:val="0000FF"/>
                  <w:w w:val="80"/>
                </w:rPr>
                <w:t>10.</w:t>
              </w:r>
            </w:hyperlink>
            <w:r>
              <w:rPr>
                <w:rFonts w:ascii="Arial" w:cs="Arial" w:eastAsia="Arial" w:hAnsi="Arial"/>
                <w:sz w:val="18"/>
                <w:szCs w:val="18"/>
                <w:u w:val="single" w:color="auto"/>
                <w:color w:val="0000FF"/>
                <w:w w:val="80"/>
              </w:rPr>
              <w:t>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2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Amendment to EchoStar Non-Qualified Plan – Executive Plan and Adoption Agreement, dated October 21, 2019</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4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700" w:type="dxa"/>
            <w:vAlign w:val="bottom"/>
            <w:tcBorders>
              <w:bottom w:val="single" w:sz="8" w:color="0000FF"/>
            </w:tcBorders>
            <w:gridSpan w:val="16"/>
          </w:tcPr>
          <w:p>
            <w:pPr>
              <w:spacing w:after="0" w:line="189"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(incorporated by reference to Exhibit 10.1 to EchoStar Corporation’s Quarterly Report on Form 10-Q for the quarter ended</w:t>
              </w:r>
            </w:hyperlink>
          </w:p>
        </w:tc>
        <w:tc>
          <w:tcPr>
            <w:tcW w:w="3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40" w:type="dxa"/>
            <w:vAlign w:val="bottom"/>
            <w:gridSpan w:val="25"/>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September 30, 2020, filed November 5, 2020, Commission File No. 001-33807). **</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rFonts w:ascii="Arial" w:cs="Arial" w:eastAsia="Arial" w:hAnsi="Arial"/>
                <w:sz w:val="18"/>
                <w:szCs w:val="18"/>
                <w:color w:val="0000FF"/>
                <w:w w:val="80"/>
              </w:rPr>
            </w:pPr>
            <w:hyperlink r:id="rId131">
              <w:r>
                <w:rPr>
                  <w:rFonts w:ascii="Arial" w:cs="Arial" w:eastAsia="Arial" w:hAnsi="Arial"/>
                  <w:sz w:val="18"/>
                  <w:szCs w:val="18"/>
                  <w:color w:val="0000FF"/>
                  <w:w w:val="80"/>
                </w:rPr>
                <w:t>10.</w:t>
              </w:r>
            </w:hyperlink>
            <w:r>
              <w:rPr>
                <w:rFonts w:ascii="Arial" w:cs="Arial" w:eastAsia="Arial" w:hAnsi="Arial"/>
                <w:sz w:val="18"/>
                <w:szCs w:val="18"/>
                <w:u w:val="single" w:color="auto"/>
                <w:color w:val="0000FF"/>
                <w:w w:val="80"/>
              </w:rPr>
              <w:t>36*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gridSpan w:val="25"/>
          </w:tcPr>
          <w:p>
            <w:pPr>
              <w:spacing w:after="0"/>
              <w:rPr>
                <w:rFonts w:ascii="Arial" w:cs="Arial" w:eastAsia="Arial" w:hAnsi="Arial"/>
                <w:sz w:val="18"/>
                <w:szCs w:val="18"/>
                <w:color w:val="0000FF"/>
              </w:rPr>
            </w:pPr>
            <w:hyperlink r:id="rId131">
              <w:r>
                <w:rPr>
                  <w:rFonts w:ascii="Arial" w:cs="Arial" w:eastAsia="Arial" w:hAnsi="Arial"/>
                  <w:sz w:val="18"/>
                  <w:szCs w:val="18"/>
                  <w:color w:val="0000FF"/>
                </w:rPr>
                <w:t>Contract between EchoStar XXIV L.L.C. and Space Systems/Loral, LLC (currently known as Maxar Space LLC) for the</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Jupiter 3 Satellite programs, dated as April 19, 2017 (incorporated by reference to Exhibit 10.30 to EchoStar Corporations’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Annual Report on Form 10-K for the year ended December 31, 2019, filed February 20, 2020, Commission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33807). ***/****</w:t>
              </w:r>
            </w:hyperlink>
          </w:p>
        </w:tc>
        <w:tc>
          <w:tcPr>
            <w:tcW w:w="4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80"/>
              </w:rPr>
            </w:pPr>
            <w:hyperlink r:id="rId132">
              <w:r>
                <w:rPr>
                  <w:rFonts w:ascii="Arial" w:cs="Arial" w:eastAsia="Arial" w:hAnsi="Arial"/>
                  <w:sz w:val="18"/>
                  <w:szCs w:val="18"/>
                  <w:color w:val="0000FF"/>
                  <w:w w:val="80"/>
                </w:rPr>
                <w:t>10.</w:t>
              </w:r>
            </w:hyperlink>
            <w:r>
              <w:rPr>
                <w:rFonts w:ascii="Arial" w:cs="Arial" w:eastAsia="Arial" w:hAnsi="Arial"/>
                <w:sz w:val="18"/>
                <w:szCs w:val="18"/>
                <w:u w:val="single" w:color="auto"/>
                <w:color w:val="0000FF"/>
                <w:w w:val="80"/>
              </w:rPr>
              <w:t>37*</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6"/>
                <w:szCs w:val="16"/>
                <w:color w:val="0000FF"/>
              </w:rPr>
            </w:pPr>
            <w:hyperlink r:id="rId132">
              <w:r>
                <w:rPr>
                  <w:rFonts w:ascii="Arial" w:cs="Arial" w:eastAsia="Arial" w:hAnsi="Arial"/>
                  <w:sz w:val="16"/>
                  <w:szCs w:val="16"/>
                  <w:color w:val="0000FF"/>
                </w:rPr>
                <w:t>Amendment No. 1 to Contract between EchoStar XXIV L.L.C. and SpaceSystems/Loral, LLC (currently known as Maxar Space LLC) for</w:t>
              </w:r>
            </w:hyperlink>
          </w:p>
        </w:tc>
        <w:tc>
          <w:tcPr>
            <w:tcW w:w="0" w:type="dxa"/>
            <w:vAlign w:val="bottom"/>
          </w:tcPr>
          <w:p>
            <w:pPr>
              <w:spacing w:after="0"/>
              <w:rPr>
                <w:sz w:val="1"/>
                <w:szCs w:val="1"/>
                <w:color w:val="auto"/>
              </w:rPr>
            </w:pPr>
          </w:p>
        </w:tc>
      </w:tr>
      <w:tr>
        <w:trPr>
          <w:trHeight w:val="20"/>
        </w:trPr>
        <w:tc>
          <w:tcPr>
            <w:tcW w:w="4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40" w:type="dxa"/>
            <w:vAlign w:val="bottom"/>
            <w:gridSpan w:val="25"/>
          </w:tcPr>
          <w:p>
            <w:pPr>
              <w:spacing w:after="0" w:line="136" w:lineRule="exact"/>
              <w:rPr>
                <w:rFonts w:ascii="Arial" w:cs="Arial" w:eastAsia="Arial" w:hAnsi="Arial"/>
                <w:sz w:val="15"/>
                <w:szCs w:val="15"/>
                <w:color w:val="0000FF"/>
              </w:rPr>
            </w:pPr>
            <w:hyperlink r:id="rId132">
              <w:r>
                <w:rPr>
                  <w:rFonts w:ascii="Arial" w:cs="Arial" w:eastAsia="Arial" w:hAnsi="Arial"/>
                  <w:sz w:val="15"/>
                  <w:szCs w:val="15"/>
                  <w:color w:val="0000FF"/>
                </w:rPr>
                <w:t>the Jupiter 3 Satellite Program, dated October 1, 2018 (incorporated by reference to Exhibit 10.2 to EchoStar Corporation’s Quarterly</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40" w:type="dxa"/>
            <w:vAlign w:val="bottom"/>
            <w:gridSpan w:val="25"/>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Report on Form 10-Q for the quarter ended September 30, 2020, filed November 5, 2020. Commission File No. 001-33807). ****</w:t>
              </w:r>
            </w:hyperlink>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38*</w:t>
              </w:r>
            </w:hyperlink>
          </w:p>
        </w:tc>
        <w:tc>
          <w:tcPr>
            <w:tcW w:w="6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gridSpan w:val="2"/>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gridSpan w:val="25"/>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Amendment No. 2 dated as of November 16, 2022 to the Contract between EchoStar XXIV L.L.C. and Maxar Space LLC for</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78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40" w:type="dxa"/>
            <w:vAlign w:val="bottom"/>
            <w:tcBorders>
              <w:left w:val="single" w:sz="8" w:color="0000FF"/>
            </w:tcBorders>
            <w:gridSpan w:val="3"/>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tcBorders>
              <w:left w:val="single" w:sz="8" w:color="0000FF"/>
            </w:tcBorders>
            <w:gridSpan w:val="3"/>
            <w:shd w:val="clear" w:color="auto" w:fill="0000FF"/>
          </w:tcPr>
          <w:p>
            <w:pPr>
              <w:spacing w:after="0"/>
              <w:rPr>
                <w:sz w:val="2"/>
                <w:szCs w:val="2"/>
                <w:color w:val="auto"/>
              </w:rPr>
            </w:pPr>
          </w:p>
        </w:tc>
        <w:tc>
          <w:tcPr>
            <w:tcW w:w="120" w:type="dxa"/>
            <w:vAlign w:val="bottom"/>
            <w:tcBorders>
              <w:left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40" w:type="dxa"/>
            <w:vAlign w:val="bottom"/>
            <w:gridSpan w:val="25"/>
          </w:tcPr>
          <w:p>
            <w:pPr>
              <w:spacing w:after="0" w:line="189" w:lineRule="exact"/>
              <w:rPr>
                <w:rFonts w:ascii="Arial" w:cs="Arial" w:eastAsia="Arial" w:hAnsi="Arial"/>
                <w:sz w:val="18"/>
                <w:szCs w:val="18"/>
                <w:color w:val="0000FF"/>
              </w:rPr>
            </w:pPr>
            <w:hyperlink r:id="rId133">
              <w:r>
                <w:rPr>
                  <w:rFonts w:ascii="Arial" w:cs="Arial" w:eastAsia="Arial" w:hAnsi="Arial"/>
                  <w:sz w:val="18"/>
                  <w:szCs w:val="18"/>
                  <w:color w:val="0000FF"/>
                </w:rPr>
                <w:t>the Jupiter 3 Satellite Program (incorporated by reference to Exhibit 10.1 to EchoStar Corporation’s Current Report on Form</w:t>
              </w:r>
            </w:hyperlink>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8-K filed November 22, 2022, Commission File No. 001-33807)***</w:t>
              </w:r>
            </w:hyperlink>
          </w:p>
        </w:tc>
        <w:tc>
          <w:tcPr>
            <w:tcW w:w="4600" w:type="dxa"/>
            <w:vAlign w:val="bottom"/>
            <w:tcBorders>
              <w:top w:val="single" w:sz="8" w:color="0000FF"/>
            </w:tcBorders>
            <w:gridSpan w:val="10"/>
          </w:tcPr>
          <w:p>
            <w:pPr>
              <w:spacing w:after="0"/>
              <w:rPr>
                <w:sz w:val="15"/>
                <w:szCs w:val="15"/>
                <w:color w:val="auto"/>
              </w:rPr>
            </w:pPr>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rFonts w:ascii="Arial" w:cs="Arial" w:eastAsia="Arial" w:hAnsi="Arial"/>
                <w:sz w:val="18"/>
                <w:szCs w:val="18"/>
                <w:color w:val="0000FF"/>
                <w:w w:val="80"/>
              </w:rPr>
            </w:pPr>
            <w:hyperlink r:id="rId134">
              <w:r>
                <w:rPr>
                  <w:rFonts w:ascii="Arial" w:cs="Arial" w:eastAsia="Arial" w:hAnsi="Arial"/>
                  <w:sz w:val="18"/>
                  <w:szCs w:val="18"/>
                  <w:color w:val="0000FF"/>
                  <w:w w:val="80"/>
                </w:rPr>
                <w:t>10.</w:t>
              </w:r>
            </w:hyperlink>
            <w:r>
              <w:rPr>
                <w:rFonts w:ascii="Arial" w:cs="Arial" w:eastAsia="Arial" w:hAnsi="Arial"/>
                <w:sz w:val="18"/>
                <w:szCs w:val="18"/>
                <w:u w:val="single" w:color="auto"/>
                <w:color w:val="0000FF"/>
                <w:w w:val="80"/>
              </w:rPr>
              <w:t>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gridSpan w:val="2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Amendment No. 1 to EchoStar Corporation 2017 Non-Employee Director Stock Incentive Plan (incorporated by reference to</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78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340" w:type="dxa"/>
            <w:vAlign w:val="bottom"/>
            <w:gridSpan w:val="2"/>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40" w:type="dxa"/>
            <w:vAlign w:val="bottom"/>
            <w:tcBorders>
              <w:left w:val="single" w:sz="8" w:color="0000FF"/>
            </w:tcBorders>
            <w:gridSpan w:val="3"/>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tcBorders>
              <w:left w:val="single" w:sz="8" w:color="0000FF"/>
            </w:tcBorders>
            <w:gridSpan w:val="3"/>
            <w:shd w:val="clear" w:color="auto" w:fill="0000FF"/>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40" w:type="dxa"/>
            <w:vAlign w:val="bottom"/>
            <w:gridSpan w:val="25"/>
          </w:tcPr>
          <w:p>
            <w:pPr>
              <w:spacing w:after="0" w:line="189" w:lineRule="exact"/>
              <w:rPr>
                <w:rFonts w:ascii="Arial" w:cs="Arial" w:eastAsia="Arial" w:hAnsi="Arial"/>
                <w:sz w:val="18"/>
                <w:szCs w:val="18"/>
                <w:color w:val="0000FF"/>
              </w:rPr>
            </w:pPr>
            <w:hyperlink r:id="rId134">
              <w:r>
                <w:rPr>
                  <w:rFonts w:ascii="Arial" w:cs="Arial" w:eastAsia="Arial" w:hAnsi="Arial"/>
                  <w:sz w:val="18"/>
                  <w:szCs w:val="18"/>
                  <w:color w:val="0000FF"/>
                </w:rPr>
                <w:t>EchoStar Corporation’s Definitive Proxy Statement on Schedule 14A, filed March 17, 2021, Commission File No. 001-</w:t>
              </w:r>
            </w:hyperlink>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33807). **</w:t>
              </w:r>
            </w:hyperlink>
          </w:p>
        </w:tc>
        <w:tc>
          <w:tcPr>
            <w:tcW w:w="40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rFonts w:ascii="Arial" w:cs="Arial" w:eastAsia="Arial" w:hAnsi="Arial"/>
                <w:sz w:val="18"/>
                <w:szCs w:val="18"/>
                <w:color w:val="0000FF"/>
                <w:w w:val="80"/>
              </w:rPr>
            </w:pPr>
            <w:hyperlink r:id="rId135">
              <w:r>
                <w:rPr>
                  <w:rFonts w:ascii="Arial" w:cs="Arial" w:eastAsia="Arial" w:hAnsi="Arial"/>
                  <w:sz w:val="18"/>
                  <w:szCs w:val="18"/>
                  <w:color w:val="0000FF"/>
                  <w:w w:val="80"/>
                </w:rPr>
                <w:t>10.</w:t>
              </w:r>
            </w:hyperlink>
            <w:r>
              <w:rPr>
                <w:rFonts w:ascii="Arial" w:cs="Arial" w:eastAsia="Arial" w:hAnsi="Arial"/>
                <w:sz w:val="18"/>
                <w:szCs w:val="18"/>
                <w:u w:val="single" w:color="auto"/>
                <w:color w:val="0000FF"/>
                <w:w w:val="80"/>
              </w:rPr>
              <w:t>40*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gridSpan w:val="25"/>
          </w:tcPr>
          <w:p>
            <w:pPr>
              <w:spacing w:after="0"/>
              <w:rPr>
                <w:rFonts w:ascii="Arial" w:cs="Arial" w:eastAsia="Arial" w:hAnsi="Arial"/>
                <w:sz w:val="18"/>
                <w:szCs w:val="18"/>
                <w:color w:val="0000FF"/>
              </w:rPr>
            </w:pPr>
            <w:hyperlink r:id="rId135">
              <w:r>
                <w:rPr>
                  <w:rFonts w:ascii="Arial" w:cs="Arial" w:eastAsia="Arial" w:hAnsi="Arial"/>
                  <w:sz w:val="18"/>
                  <w:szCs w:val="18"/>
                  <w:color w:val="0000FF"/>
                </w:rPr>
                <w:t>Second Amended and Restated EchoStar Corporation Executive Officer Bonus Incentive Plan, dated as of November 2,</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4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Borders>
              <w:bottom w:val="single" w:sz="8" w:color="0000FF"/>
            </w:tcBorders>
            <w:gridSpan w:val="2"/>
          </w:tcPr>
          <w:p>
            <w:pPr>
              <w:spacing w:after="0" w:line="189" w:lineRule="exact"/>
              <w:rPr>
                <w:rFonts w:ascii="Arial" w:cs="Arial" w:eastAsia="Arial" w:hAnsi="Arial"/>
                <w:sz w:val="18"/>
                <w:szCs w:val="18"/>
                <w:color w:val="0000FF"/>
                <w:w w:val="96"/>
              </w:rPr>
            </w:pPr>
            <w:hyperlink r:id="rId135">
              <w:r>
                <w:rPr>
                  <w:rFonts w:ascii="Arial" w:cs="Arial" w:eastAsia="Arial" w:hAnsi="Arial"/>
                  <w:sz w:val="18"/>
                  <w:szCs w:val="18"/>
                  <w:color w:val="0000FF"/>
                  <w:w w:val="96"/>
                </w:rPr>
                <w:t>2021. **</w:t>
              </w:r>
            </w:hyperlink>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r>
              <w:rPr>
                <w:rFonts w:ascii="Arial" w:cs="Arial" w:eastAsia="Arial" w:hAnsi="Arial"/>
                <w:sz w:val="18"/>
                <w:szCs w:val="18"/>
                <w:color w:val="0000FF"/>
                <w:w w:val="93"/>
              </w:rPr>
              <w:t>21(H)</w:t>
            </w:r>
          </w:p>
        </w:tc>
        <w:tc>
          <w:tcPr>
            <w:tcW w:w="820" w:type="dxa"/>
            <w:vAlign w:val="bottom"/>
            <w:gridSpan w:val="3"/>
          </w:tcPr>
          <w:p>
            <w:pPr>
              <w:spacing w:after="0"/>
              <w:rPr>
                <w:sz w:val="20"/>
                <w:szCs w:val="20"/>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FF"/>
              </w:rPr>
              <w:t>Subsidiaries of EchoStar Corporation.</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0000FF"/>
                <w:w w:val="93"/>
              </w:rPr>
              <w:t>23(H)</w:t>
            </w:r>
          </w:p>
        </w:tc>
        <w:tc>
          <w:tcPr>
            <w:tcW w:w="820" w:type="dxa"/>
            <w:vAlign w:val="bottom"/>
            <w:gridSpan w:val="3"/>
          </w:tcPr>
          <w:p>
            <w:pPr>
              <w:spacing w:after="0"/>
              <w:rPr>
                <w:sz w:val="24"/>
                <w:szCs w:val="24"/>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FF"/>
              </w:rPr>
              <w:t>Consent of KPMG LLP, Independent Registered Public Accounting Firm.</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0000FF"/>
                <w:w w:val="93"/>
              </w:rPr>
              <w:t>24(H)</w:t>
            </w:r>
          </w:p>
        </w:tc>
        <w:tc>
          <w:tcPr>
            <w:tcW w:w="820" w:type="dxa"/>
            <w:vAlign w:val="bottom"/>
            <w:gridSpan w:val="3"/>
          </w:tcPr>
          <w:p>
            <w:pPr>
              <w:spacing w:after="0"/>
              <w:rPr>
                <w:sz w:val="24"/>
                <w:szCs w:val="24"/>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FF"/>
              </w:rPr>
              <w:t>Powers of Attorney of Charles W. Ergen, R. Stanton Dodge, Michael T. Dugan, Lisa W. Hershman, Pradman P. Kaul, Jeffrey</w:t>
            </w:r>
          </w:p>
        </w:tc>
        <w:tc>
          <w:tcPr>
            <w:tcW w:w="0" w:type="dxa"/>
            <w:vAlign w:val="bottom"/>
          </w:tcPr>
          <w:p>
            <w:pPr>
              <w:spacing w:after="0"/>
              <w:rPr>
                <w:sz w:val="1"/>
                <w:szCs w:val="1"/>
                <w:color w:val="auto"/>
              </w:rPr>
            </w:pPr>
          </w:p>
        </w:tc>
      </w:tr>
      <w:tr>
        <w:trPr>
          <w:trHeight w:val="155"/>
        </w:trPr>
        <w:tc>
          <w:tcPr>
            <w:tcW w:w="4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R. Tarr, C. Michael Schroeder and William David Wade.</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gridSpan w:val="4"/>
          </w:tcPr>
          <w:p>
            <w:pP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1(I)</w:t>
            </w:r>
          </w:p>
        </w:tc>
        <w:tc>
          <w:tcPr>
            <w:tcW w:w="10040" w:type="dxa"/>
            <w:vAlign w:val="bottom"/>
            <w:gridSpan w:val="25"/>
          </w:tcPr>
          <w:p>
            <w:pPr>
              <w:spacing w:after="0"/>
              <w:rPr>
                <w:sz w:val="20"/>
                <w:szCs w:val="20"/>
                <w:color w:val="auto"/>
              </w:rPr>
            </w:pPr>
            <w:r>
              <w:rPr>
                <w:rFonts w:ascii="Arial" w:cs="Arial" w:eastAsia="Arial" w:hAnsi="Arial"/>
                <w:sz w:val="18"/>
                <w:szCs w:val="18"/>
                <w:color w:val="0000FF"/>
              </w:rPr>
              <w:t>Press release dated February 22, 2023 issued by EchoStar Corporation regarding financial results for the quarter and full</w:t>
            </w:r>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year ended December 31, 2022.</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gridSpan w:val="4"/>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1(H)</w:t>
            </w:r>
          </w:p>
        </w:tc>
        <w:tc>
          <w:tcPr>
            <w:tcW w:w="10040" w:type="dxa"/>
            <w:vAlign w:val="bottom"/>
            <w:gridSpan w:val="25"/>
          </w:tcPr>
          <w:p>
            <w:pPr>
              <w:spacing w:after="0"/>
              <w:rPr>
                <w:sz w:val="20"/>
                <w:szCs w:val="20"/>
                <w:color w:val="auto"/>
              </w:rPr>
            </w:pPr>
            <w:r>
              <w:rPr>
                <w:rFonts w:ascii="Arial" w:cs="Arial" w:eastAsia="Arial" w:hAnsi="Arial"/>
                <w:sz w:val="18"/>
                <w:szCs w:val="18"/>
                <w:color w:val="0000FF"/>
              </w:rPr>
              <w:t>Section 302 Certification of Chief Executive Office and Principal Financial Officer</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0" w:type="dxa"/>
            <w:vAlign w:val="bottom"/>
            <w:gridSpan w:val="3"/>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1(I)</w:t>
            </w:r>
          </w:p>
        </w:tc>
        <w:tc>
          <w:tcPr>
            <w:tcW w:w="680" w:type="dxa"/>
            <w:vAlign w:val="bottom"/>
          </w:tcPr>
          <w:p>
            <w:pPr>
              <w:spacing w:after="0"/>
              <w:rPr>
                <w:sz w:val="24"/>
                <w:szCs w:val="24"/>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FF"/>
              </w:rPr>
              <w:t>Section 906 Certification of Chief Executive Officer and Principal Financial Officer.</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10"/>
            <w:shd w:val="clear" w:color="auto" w:fill="0000FF"/>
          </w:tcPr>
          <w:p>
            <w:pPr>
              <w:spacing w:after="0" w:line="20" w:lineRule="exact"/>
              <w:rPr>
                <w:sz w:val="1"/>
                <w:szCs w:val="1"/>
                <w:color w:val="auto"/>
              </w:rPr>
            </w:pPr>
          </w:p>
        </w:tc>
        <w:tc>
          <w:tcPr>
            <w:tcW w:w="35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2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5"/>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43"/>
        </w:trPr>
        <w:tc>
          <w:tcPr>
            <w:tcW w:w="12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5"/>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73"/>
        </w:trPr>
        <w:tc>
          <w:tcPr>
            <w:tcW w:w="12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73"/>
        </w:trPr>
        <w:tc>
          <w:tcPr>
            <w:tcW w:w="12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47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315"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5"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in accordance with the Securities and Exchange Commission’s rules and regulations regarding confidential treatment.</w:t>
      </w:r>
    </w:p>
    <w:p>
      <w:pPr>
        <w:spacing w:after="0" w:line="14" w:lineRule="exact"/>
        <w:rPr>
          <w:rFonts w:ascii="Arial" w:cs="Arial" w:eastAsia="Arial" w:hAnsi="Arial"/>
          <w:sz w:val="14"/>
          <w:szCs w:val="14"/>
          <w:color w:val="auto"/>
        </w:rPr>
      </w:pPr>
    </w:p>
    <w:p>
      <w:pPr>
        <w:ind w:left="500" w:hanging="492"/>
        <w:spacing w:after="0" w:line="258" w:lineRule="auto"/>
        <w:tabs>
          <w:tab w:leader="none" w:pos="407" w:val="left"/>
        </w:tabs>
        <w:numPr>
          <w:ilvl w:val="0"/>
          <w:numId w:val="3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601(a)(5)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ECHOSTAR CORPORATION</w:t>
      </w:r>
    </w:p>
    <w:p>
      <w:pPr>
        <w:spacing w:after="0" w:line="10"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8">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Hamid Akhavan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 and President</w:t>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2023</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7"/>
                <w:szCs w:val="17"/>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7"/>
                <w:szCs w:val="17"/>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5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Hamid Akhavan</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Hamid Akhavan</w:t>
            </w:r>
          </w:p>
        </w:tc>
        <w:tc>
          <w:tcPr>
            <w:tcW w:w="1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c>
          <w:tcPr>
            <w:tcW w:w="2480" w:type="dxa"/>
            <w:vAlign w:val="bottom"/>
          </w:tcPr>
          <w:p>
            <w:pPr>
              <w:spacing w:after="0"/>
              <w:rPr>
                <w:sz w:val="19"/>
                <w:szCs w:val="19"/>
                <w:color w:val="auto"/>
              </w:rPr>
            </w:pPr>
          </w:p>
        </w:tc>
      </w:tr>
      <w:tr>
        <w:trPr>
          <w:trHeight w:val="39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Jeffrey S. Boggs</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Interim Principal Accounting Officer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Jeffrey S. Boggs</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Vice Chair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Michael T. Dugan</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Lisa W. Hershman</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pacing w:after="0" w:line="116" w:lineRule="exact"/>
        <w:rPr>
          <w:sz w:val="20"/>
          <w:szCs w:val="20"/>
          <w:color w:val="auto"/>
        </w:rPr>
      </w:pPr>
    </w:p>
    <w:p>
      <w:pPr>
        <w:ind w:left="140" w:hanging="114"/>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w:t>
      </w:r>
      <w:r>
        <w:rPr>
          <w:rFonts w:ascii="Arial" w:cs="Arial" w:eastAsia="Arial" w:hAnsi="Arial"/>
          <w:sz w:val="17"/>
          <w:szCs w:val="17"/>
          <w:i w:val="1"/>
          <w:iCs w:val="1"/>
          <w:color w:val="auto"/>
        </w:rPr>
        <w:t>/s/ Dean A. Manson</w:t>
      </w:r>
    </w:p>
    <w:p>
      <w:pPr>
        <w:spacing w:after="0" w:line="54" w:lineRule="exact"/>
        <w:rPr>
          <w:rFonts w:ascii="Arial" w:cs="Arial" w:eastAsia="Arial" w:hAnsi="Arial"/>
          <w:sz w:val="18"/>
          <w:szCs w:val="18"/>
          <w:color w:val="auto"/>
        </w:rPr>
      </w:pPr>
    </w:p>
    <w:p>
      <w:pPr>
        <w:jc w:val="both"/>
        <w:ind w:left="1020" w:right="8880"/>
        <w:spacing w:after="0" w:line="308" w:lineRule="auto"/>
        <w:rPr>
          <w:rFonts w:ascii="Arial" w:cs="Arial" w:eastAsia="Arial" w:hAnsi="Arial"/>
          <w:sz w:val="18"/>
          <w:szCs w:val="18"/>
          <w:color w:val="auto"/>
        </w:rPr>
      </w:pPr>
      <w:r>
        <w:rPr>
          <w:rFonts w:ascii="Arial" w:cs="Arial" w:eastAsia="Arial" w:hAnsi="Arial"/>
          <w:sz w:val="17"/>
          <w:szCs w:val="17"/>
          <w:color w:val="auto"/>
        </w:rPr>
        <w:t>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-334645</wp:posOffset>
            </wp:positionV>
            <wp:extent cx="2931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340" w:type="dxa"/>
            <w:vAlign w:val="bottom"/>
            <w:gridSpan w:val="8"/>
          </w:tcPr>
          <w:p>
            <w:pPr>
              <w:jc w:val="center"/>
              <w:ind w:left="791"/>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1036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tcPr>
          <w:p>
            <w:pPr>
              <w:spacing w:after="0"/>
              <w:rPr>
                <w:sz w:val="14"/>
                <w:szCs w:val="14"/>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7"/>
                <w:szCs w:val="17"/>
                <w:color w:val="0000FF"/>
              </w:rPr>
              <w:t>Index to Consolidated Financial Statements</w:t>
            </w:r>
          </w:p>
        </w:tc>
        <w:tc>
          <w:tcPr>
            <w:tcW w:w="6840" w:type="dxa"/>
            <w:vAlign w:val="bottom"/>
            <w:gridSpan w:val="6"/>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gridSpan w:val="4"/>
          </w:tcPr>
          <w:p>
            <w:pPr>
              <w:jc w:val="right"/>
              <w:ind w:right="20"/>
              <w:spacing w:after="0" w:line="156" w:lineRule="exact"/>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1</w:t>
            </w:r>
          </w:p>
        </w:tc>
      </w:tr>
      <w:tr>
        <w:trPr>
          <w:trHeight w:val="27"/>
        </w:trPr>
        <w:tc>
          <w:tcPr>
            <w:tcW w:w="20" w:type="dxa"/>
            <w:vAlign w:val="bottom"/>
          </w:tcPr>
          <w:p>
            <w:pPr>
              <w:spacing w:after="0"/>
              <w:rPr>
                <w:sz w:val="2"/>
                <w:szCs w:val="2"/>
                <w:color w:val="auto"/>
              </w:rPr>
            </w:pPr>
          </w:p>
        </w:tc>
        <w:tc>
          <w:tcPr>
            <w:tcW w:w="3500" w:type="dxa"/>
            <w:vAlign w:val="bottom"/>
            <w:gridSpan w:val="2"/>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34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Denver, CO, Auditor Firm ID: 185)</w:t>
            </w: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0000FF"/>
                <w:w w:val="99"/>
              </w:rPr>
              <w:t>Consolidated Balance Sheets as of December 31, 2022 and 2021</w:t>
            </w:r>
          </w:p>
        </w:tc>
        <w:tc>
          <w:tcPr>
            <w:tcW w:w="51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6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4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4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70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0000FF"/>
                <w:w w:val="98"/>
              </w:rPr>
              <w:t>Consolidated Statements of Cash Flows for the years ended December 31, 2022, 2021 and 2020</w:t>
            </w:r>
          </w:p>
        </w:tc>
        <w:tc>
          <w:tcPr>
            <w:tcW w:w="17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0000FF"/>
              </w:rPr>
              <w:t>Notes to Consolidated Financial Statements</w:t>
            </w:r>
          </w:p>
        </w:tc>
        <w:tc>
          <w:tcPr>
            <w:tcW w:w="2660" w:type="dxa"/>
            <w:vAlign w:val="bottom"/>
            <w:gridSpan w:val="3"/>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11</w:t>
            </w:r>
          </w:p>
        </w:tc>
      </w:tr>
      <w:tr>
        <w:trPr>
          <w:trHeight w:val="912"/>
        </w:trPr>
        <w:tc>
          <w:tcPr>
            <w:tcW w:w="20" w:type="dxa"/>
            <w:vAlign w:val="bottom"/>
          </w:tcPr>
          <w:p>
            <w:pPr>
              <w:spacing w:after="0"/>
              <w:rPr>
                <w:sz w:val="24"/>
                <w:szCs w:val="24"/>
                <w:color w:val="auto"/>
              </w:rPr>
            </w:pPr>
          </w:p>
        </w:tc>
        <w:tc>
          <w:tcPr>
            <w:tcW w:w="3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00" w:type="dxa"/>
            <w:vAlign w:val="bottom"/>
            <w:gridSpan w:val="4"/>
          </w:tcPr>
          <w:p>
            <w:pPr>
              <w:jc w:val="center"/>
              <w:ind w:right="4380"/>
              <w:spacing w:after="0"/>
              <w:rPr>
                <w:sz w:val="20"/>
                <w:szCs w:val="20"/>
                <w:color w:val="auto"/>
              </w:rPr>
            </w:pPr>
            <w:r>
              <w:rPr>
                <w:rFonts w:ascii="Arial" w:cs="Arial" w:eastAsia="Arial" w:hAnsi="Arial"/>
                <w:sz w:val="18"/>
                <w:szCs w:val="18"/>
                <w:color w:val="auto"/>
              </w:rPr>
              <w:t>F-1</w:t>
            </w: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EchoStar Corporation and subsidiaries (the Company) as of December 31, 2022 and 2021, the related consolidated statements of operations, comprehensive income (loss), changes in stockholders’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certain Hughes segment revenue</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in Note 2 and Note 3 to the consolidated financial statements, the Company reported $1,966,587,000 in total revenue for the Hughes segment for the year ended December 31, 2022, of which $1,592,438,000 and $374,149,000 was related to total services and other revenue and certain equipment related revenue, respectively. The Hughes segment provides broadband satellite technologies and broadband internet services to consumer customers, and broadband network technologies, managed services, equipment, hardware, satellite services, and communications solutions to consumer and enterprise customers.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evaluation of the sufficiency of audit evidence over certain Hughes segment revenue as a critical audit matter. Specifically, a high degree of auditor judgment was required to evaluate the nature and extent of audit evidence obtained related to the total services and other revenue and certain equipment related revenue of the Hughes segment. IT professionals with specialized skills and knowledge were required to assess the multiple information technology (IT) applications, data interfaces, and procedures used to initiate, process, and record transactions.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We evaluated the design and tested the operating effectiveness of internal controls, including controls related to the multiple IT applications, data interfaces, and procedures used to initiate, process, and record transactions. We assessed the recorded amounts by sampling transactions and comparing the amounts recognized for consistency with underlying documentation, including contracts or payment and transaction support. We involved IT professionals with specialized skills and knowledge, who assisted in testing IT applications used by the Company in its revenue recognition process, and configuration and interface controls over the transfer of relevant data between systems used in the revenue recognition processes. We evaluated the sufficiency of audit evidence obtained by assessing the results of the procedures performed, including the appropriateness of the nature and extent of such evidence.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646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ECHOSTAR CORPORATION</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688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(Amounts in thousands, except share and per share amounts)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14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4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Marketable investment securities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973,915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1,010,496</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 net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198,444</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1,926,897</w:t>
            </w:r>
          </w:p>
        </w:tc>
      </w:tr>
      <w:tr>
        <w:trPr>
          <w:trHeight w:val="221"/>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2,237,617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2,338,285</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149,198</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Regulatory authorizations,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469,766</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Other investments,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297,747</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338,241</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4,073,622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4,118,307</w:t>
            </w:r>
          </w:p>
        </w:tc>
      </w:tr>
      <w:tr>
        <w:trPr>
          <w:trHeight w:val="248"/>
        </w:trPr>
        <w:tc>
          <w:tcPr>
            <w:tcW w:w="78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109,338</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460,123</w:t>
            </w: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Long-term debt,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1,496,777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1,495,994</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403,684</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134,897</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liabilities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2,171,001</w:t>
            </w:r>
          </w:p>
        </w:tc>
      </w:tr>
      <w:tr>
        <w:trPr>
          <w:trHeight w:val="223"/>
        </w:trPr>
        <w:tc>
          <w:tcPr>
            <w:tcW w:w="78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2,599,948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646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ECHOSTAR CORPORATION</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6960" w:type="dxa"/>
            <w:vAlign w:val="bottom"/>
            <w:gridSpan w:val="2"/>
          </w:tcPr>
          <w:p>
            <w:pPr>
              <w:jc w:val="center"/>
              <w:ind w:left="1390"/>
              <w:spacing w:after="0"/>
              <w:rPr>
                <w:sz w:val="20"/>
                <w:szCs w:val="20"/>
                <w:color w:val="auto"/>
              </w:rPr>
            </w:pPr>
            <w:r>
              <w:rPr>
                <w:rFonts w:ascii="Arial" w:cs="Arial" w:eastAsia="Arial" w:hAnsi="Arial"/>
                <w:sz w:val="18"/>
                <w:szCs w:val="18"/>
                <w:color w:val="auto"/>
                <w:w w:val="99"/>
              </w:rPr>
              <w:t>(Amounts in thousands, except share and per share amounts)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78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Preferred stock, $0.001 par value, 20,000,000 shares authorized, none issued and</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7860" w:type="dxa"/>
            <w:vAlign w:val="bottom"/>
            <w:gridSpan w:val="2"/>
          </w:tcPr>
          <w:p>
            <w:pPr>
              <w:ind w:left="280"/>
              <w:spacing w:after="0"/>
              <w:rPr>
                <w:sz w:val="20"/>
                <w:szCs w:val="20"/>
                <w:color w:val="auto"/>
              </w:rPr>
            </w:pPr>
            <w:r>
              <w:rPr>
                <w:rFonts w:ascii="Arial" w:cs="Arial" w:eastAsia="Arial" w:hAnsi="Arial"/>
                <w:sz w:val="18"/>
                <w:szCs w:val="18"/>
                <w:color w:val="auto"/>
              </w:rPr>
              <w:t>outstanding at both December 31, 2022 and 2021</w:t>
            </w:r>
          </w:p>
        </w:tc>
        <w:tc>
          <w:tcPr>
            <w:tcW w:w="5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Class A common stock, $0.001 par value, 1,600,000,000 shares authorized, 58,604,927</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78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shares issued and 35,291,616 shares outstanding at December 31, 2022 and 58,059,622</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shares issued and 38,726,923 shares outstanding at December 31, 2021</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88"/>
        </w:trPr>
        <w:tc>
          <w:tcPr>
            <w:tcW w:w="786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0"/>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47,687,039 shares issued and outstanding at both December 31, 2022 and 2021</w:t>
            </w: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78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Class C convertible common stock, $0.001 par value, 800,000,000 shares authorized,</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none issued and outstanding at both December 31, 2022 and 2021</w:t>
            </w:r>
          </w:p>
        </w:tc>
        <w:tc>
          <w:tcPr>
            <w:tcW w:w="5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86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D common stock, $0.001 par value, 800,000,000 shares authorized, none issued</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0"/>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and outstanding at both December 31, 2022 and 2021</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3,367,058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3,345,878</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(212,102)</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Accumulated earnings (losses)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833,517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656,466</w:t>
            </w:r>
          </w:p>
        </w:tc>
      </w:tr>
      <w:tr>
        <w:trPr>
          <w:trHeight w:val="188"/>
        </w:trPr>
        <w:tc>
          <w:tcPr>
            <w:tcW w:w="78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Treasury shares, at cost, 23,313,311 and 19,332,699 shares at December 31, 2022 and 2021,</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5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(525,824)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(436,521)</w:t>
            </w:r>
          </w:p>
        </w:tc>
      </w:tr>
      <w:tr>
        <w:trPr>
          <w:trHeight w:val="223"/>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Total EchoStar Corporation stockholders' equity</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3,502,619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3,353,827</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60,253</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3,599,055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3,414,080</w:t>
            </w:r>
          </w:p>
        </w:tc>
      </w:tr>
      <w:tr>
        <w:trPr>
          <w:trHeight w:val="248"/>
        </w:trPr>
        <w:tc>
          <w:tcPr>
            <w:tcW w:w="7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6,199,003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(Amounts in thousands, except per share amounts)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1,623,931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1,715,287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1,682,304</w:t>
            </w:r>
          </w:p>
        </w:tc>
      </w:tr>
      <w:tr>
        <w:trPr>
          <w:trHeight w:val="229"/>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205,603</w:t>
            </w:r>
          </w:p>
        </w:tc>
      </w:tr>
      <w:tr>
        <w:trPr>
          <w:trHeight w:val="223"/>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1,998,093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8"/>
        </w:trPr>
        <w:tc>
          <w:tcPr>
            <w:tcW w:w="5760" w:type="dxa"/>
            <w:vAlign w:val="bottom"/>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569,755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551,679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577,943</w:t>
            </w:r>
          </w:p>
        </w:tc>
      </w:tr>
      <w:tr>
        <w:trPr>
          <w:trHeight w:val="188"/>
        </w:trPr>
        <w:tc>
          <w:tcPr>
            <w:tcW w:w="5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sales - equipment (exclusive of depreciation and</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166,435</w:t>
            </w: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455,234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461,705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474,912</w:t>
            </w:r>
          </w:p>
        </w:tc>
      </w:tr>
      <w:tr>
        <w:trPr>
          <w:trHeight w:val="229"/>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w:t>
            </w:r>
          </w:p>
        </w:tc>
      </w:tr>
      <w:tr>
        <w:trPr>
          <w:trHeight w:val="229"/>
        </w:trPr>
        <w:tc>
          <w:tcPr>
            <w:tcW w:w="5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457,621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491,329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525,011</w:t>
            </w: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3"/>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1,808,449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1,768,710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1,775,434</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112,473</w:t>
            </w: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(147,927)</w:t>
            </w: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w:t>
            </w: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(7,267)</w:t>
            </w:r>
          </w:p>
        </w:tc>
      </w:tr>
      <w:tr>
        <w:trPr>
          <w:trHeight w:val="229"/>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r>
      <w:tr>
        <w:trPr>
          <w:trHeight w:val="188"/>
        </w:trPr>
        <w:tc>
          <w:tcPr>
            <w:tcW w:w="5760" w:type="dxa"/>
            <w:vAlign w:val="bottom"/>
          </w:tcPr>
          <w:p>
            <w:pPr>
              <w:ind w:left="220"/>
              <w:spacing w:after="0" w:line="189" w:lineRule="exact"/>
              <w:rPr>
                <w:sz w:val="20"/>
                <w:szCs w:val="20"/>
                <w:color w:val="auto"/>
              </w:rPr>
            </w:pPr>
            <w:r>
              <w:rPr>
                <w:rFonts w:ascii="Arial" w:cs="Arial" w:eastAsia="Arial" w:hAnsi="Arial"/>
                <w:sz w:val="18"/>
                <w:szCs w:val="18"/>
                <w:color w:val="auto"/>
              </w:rPr>
              <w:t>Other-than-temporary impairment losses on equity method</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r>
      <w:tr>
        <w:trPr>
          <w:trHeight w:val="229"/>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 (provision),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r>
      <w:tr>
        <w:trPr>
          <w:trHeight w:val="229"/>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760" w:type="dxa"/>
            <w:vAlign w:val="bottom"/>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5760" w:type="dxa"/>
            <w:vAlign w:val="bottom"/>
            <w:tcBorders>
              <w:bottom w:val="single" w:sz="8" w:color="CCEEFF"/>
            </w:tcBorders>
            <w:shd w:val="clear" w:color="auto" w:fill="CCEEFF"/>
          </w:tcPr>
          <w:p>
            <w:pPr>
              <w:ind w:left="220"/>
              <w:spacing w:after="0" w:line="197"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w:t>
            </w: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Unrealized gains (losses) on available-for-sale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b w:val="1"/>
                <w:bCs w:val="1"/>
                <w:color w:val="auto"/>
              </w:rPr>
              <w:t>Amounts reclassified to net income (loss):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(133,281)</w:t>
            </w:r>
          </w:p>
        </w:tc>
      </w:tr>
      <w:tr>
        <w:trPr>
          <w:trHeight w:val="188"/>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Less: Comprehensive loss (income) attributable to non-controlling</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Accumulated</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rPr>
              <w:t>Other</w:t>
            </w: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Common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Comprehensive</w:t>
            </w: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7"/>
              </w:rPr>
              <w:t>Earnings</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94"/>
              </w:rPr>
              <w:t>Treasury</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7"/>
              </w:rPr>
              <w:t>Non-controlling</w:t>
            </w:r>
          </w:p>
        </w:tc>
        <w:tc>
          <w:tcPr>
            <w:tcW w:w="240" w:type="dxa"/>
            <w:vAlign w:val="bottom"/>
          </w:tcPr>
          <w:p>
            <w:pPr>
              <w:spacing w:after="0"/>
              <w:rPr>
                <w:sz w:val="10"/>
                <w:szCs w:val="10"/>
                <w:color w:val="auto"/>
              </w:rPr>
            </w:pPr>
          </w:p>
        </w:tc>
        <w:tc>
          <w:tcPr>
            <w:tcW w:w="84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Income (Loss)</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(Losses)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Shares, at cost</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Interests</w:t>
            </w: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800" w:type="dxa"/>
            <w:vAlign w:val="bottom"/>
            <w:tcBorders>
              <w:top w:val="single" w:sz="8" w:color="auto"/>
              <w:bottom w:val="single" w:sz="8" w:color="CCEEFF"/>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3,290,483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632,809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75,748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3,745,553</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Cumulative effect of accounting changes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(9,308)</w:t>
            </w:r>
          </w:p>
        </w:tc>
        <w:tc>
          <w:tcPr>
            <w:tcW w:w="0" w:type="dxa"/>
            <w:vAlign w:val="bottom"/>
          </w:tcPr>
          <w:p>
            <w:pPr>
              <w:spacing w:after="0"/>
              <w:rPr>
                <w:sz w:val="1"/>
                <w:szCs w:val="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3,290,483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623,741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75,508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3,736,245</w:t>
            </w:r>
          </w:p>
        </w:tc>
        <w:tc>
          <w:tcPr>
            <w:tcW w:w="0" w:type="dxa"/>
            <w:vAlign w:val="bottom"/>
          </w:tcPr>
          <w:p>
            <w:pPr>
              <w:spacing w:after="0"/>
              <w:rPr>
                <w:sz w:val="1"/>
                <w:szCs w:val="1"/>
                <w:color w:val="auto"/>
              </w:rPr>
            </w:pPr>
          </w:p>
        </w:tc>
      </w:tr>
      <w:tr>
        <w:trPr>
          <w:trHeight w:val="122"/>
        </w:trPr>
        <w:tc>
          <w:tcPr>
            <w:tcW w:w="29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Exercise of stock options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6,921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6,921</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10,109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10,109</w:t>
            </w: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8,887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8,887</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 the Yahsat JV formation</w:t>
            </w: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4,338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(1,580)</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2,758</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Contribution by non-controlling interest holder</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(65,738)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(15,631)</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(81,369)</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(40,150)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(11,754)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(51,904)</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Treasury share repurchase</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3,321,426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(187,876)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583,591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(174,912)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64,916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3,607,250</w:t>
            </w:r>
          </w:p>
        </w:tc>
        <w:tc>
          <w:tcPr>
            <w:tcW w:w="0" w:type="dxa"/>
            <w:vAlign w:val="bottom"/>
          </w:tcPr>
          <w:p>
            <w:pPr>
              <w:spacing w:after="0"/>
              <w:rPr>
                <w:sz w:val="1"/>
                <w:szCs w:val="1"/>
                <w:color w:val="auto"/>
              </w:rPr>
            </w:pPr>
          </w:p>
        </w:tc>
      </w:tr>
      <w:tr>
        <w:trPr>
          <w:trHeight w:val="133"/>
        </w:trPr>
        <w:tc>
          <w:tcPr>
            <w:tcW w:w="2920" w:type="dxa"/>
            <w:vAlign w:val="bottom"/>
          </w:tcPr>
          <w:p>
            <w:pPr>
              <w:ind w:left="12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Exercise of stock options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408</w:t>
            </w: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9,471</w:t>
            </w: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7,699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7,699</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Contribution by non-controlling interest holder</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9,880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9,880</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(24,226)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(4,389)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(28,615)</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72,875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(10,154)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62,721</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Treasury share repurchase</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(261,609)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(261,609)</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Other</w:t>
            </w:r>
          </w:p>
        </w:tc>
        <w:tc>
          <w:tcPr>
            <w:tcW w:w="8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33"/>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3,345,878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(212,102)</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656,466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(436,521)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60,253</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3,414,080</w:t>
            </w:r>
          </w:p>
        </w:tc>
        <w:tc>
          <w:tcPr>
            <w:tcW w:w="0" w:type="dxa"/>
            <w:vAlign w:val="bottom"/>
          </w:tcPr>
          <w:p>
            <w:pPr>
              <w:spacing w:after="0"/>
              <w:rPr>
                <w:sz w:val="1"/>
                <w:szCs w:val="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20" w:type="dxa"/>
            <w:vAlign w:val="bottom"/>
            <w:tcBorders>
              <w:bottom w:val="single" w:sz="8" w:color="CCEEFF"/>
            </w:tcBorders>
            <w:shd w:val="clear" w:color="auto" w:fill="CCEEFF"/>
          </w:tcPr>
          <w:p>
            <w:pPr>
              <w:ind w:left="120"/>
              <w:spacing w:after="0" w:line="122" w:lineRule="exact"/>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7,041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7,041</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9,306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9,307</w:t>
            </w:r>
          </w:p>
        </w:tc>
        <w:tc>
          <w:tcPr>
            <w:tcW w:w="0" w:type="dxa"/>
            <w:vAlign w:val="bottom"/>
          </w:tcPr>
          <w:p>
            <w:pPr>
              <w:spacing w:after="0"/>
              <w:rPr>
                <w:sz w:val="1"/>
                <w:szCs w:val="1"/>
                <w:color w:val="auto"/>
              </w:rPr>
            </w:pPr>
          </w:p>
        </w:tc>
      </w:tr>
      <w:tr>
        <w:trPr>
          <w:trHeight w:val="140"/>
        </w:trPr>
        <w:tc>
          <w:tcPr>
            <w:tcW w:w="292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11,546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11,546</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 the India JV formation</w:t>
            </w: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(14,237)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44,540</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30,303</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39,863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1,707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41,570</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177,051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(10,503)</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166,548</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Treasury share repurchase</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(89,303)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(89,303)</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Consideration received from DISH Network for R&amp;D tax</w:t>
            </w: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credits utilized</w:t>
            </w: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6,315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6,315</w:t>
            </w:r>
          </w:p>
        </w:tc>
        <w:tc>
          <w:tcPr>
            <w:tcW w:w="0" w:type="dxa"/>
            <w:vAlign w:val="bottom"/>
          </w:tcPr>
          <w:p>
            <w:pPr>
              <w:spacing w:after="0"/>
              <w:rPr>
                <w:sz w:val="1"/>
                <w:szCs w:val="1"/>
                <w:color w:val="auto"/>
              </w:rPr>
            </w:pPr>
          </w:p>
        </w:tc>
      </w:tr>
      <w:tr>
        <w:trPr>
          <w:trHeight w:val="140"/>
        </w:trPr>
        <w:tc>
          <w:tcPr>
            <w:tcW w:w="2920" w:type="dxa"/>
            <w:vAlign w:val="bottom"/>
          </w:tcPr>
          <w:p>
            <w:pPr>
              <w:ind w:left="120"/>
              <w:spacing w:after="0"/>
              <w:rPr>
                <w:sz w:val="20"/>
                <w:szCs w:val="20"/>
                <w:color w:val="auto"/>
              </w:rPr>
            </w:pPr>
            <w:r>
              <w:rPr>
                <w:rFonts w:ascii="Arial" w:cs="Arial" w:eastAsia="Arial" w:hAnsi="Arial"/>
                <w:sz w:val="11"/>
                <w:szCs w:val="11"/>
                <w:color w:val="auto"/>
              </w:rPr>
              <w:t>Other</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1,209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439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1,648</w:t>
            </w:r>
          </w:p>
        </w:tc>
        <w:tc>
          <w:tcPr>
            <w:tcW w:w="0" w:type="dxa"/>
            <w:vAlign w:val="bottom"/>
          </w:tcPr>
          <w:p>
            <w:pPr>
              <w:spacing w:after="0"/>
              <w:rPr>
                <w:sz w:val="1"/>
                <w:szCs w:val="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3,367,058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(172,239)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833,517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(525,824)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96,436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3,599,055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605"/>
        </w:trPr>
        <w:tc>
          <w:tcPr>
            <w:tcW w:w="1400" w:type="dxa"/>
            <w:vAlign w:val="bottom"/>
            <w:tcBorders>
              <w:top w:val="single" w:sz="8" w:color="0000FF"/>
            </w:tcBorders>
          </w:tcPr>
          <w:p>
            <w:pPr>
              <w:spacing w:after="0"/>
              <w:rPr>
                <w:sz w:val="24"/>
                <w:szCs w:val="24"/>
                <w:color w:val="auto"/>
              </w:rPr>
            </w:pPr>
          </w:p>
        </w:tc>
        <w:tc>
          <w:tcPr>
            <w:tcW w:w="620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98"/>
              </w:rPr>
              <w:t>ECHOSTAR CORPORATION</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620" w:type="dxa"/>
            <w:vAlign w:val="bottom"/>
            <w:gridSpan w:val="5"/>
          </w:tcPr>
          <w:p>
            <w:pPr>
              <w:jc w:val="center"/>
              <w:ind w:left="17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6200" w:type="dxa"/>
            <w:vAlign w:val="bottom"/>
            <w:gridSpan w:val="4"/>
          </w:tcPr>
          <w:p>
            <w:pPr>
              <w:jc w:val="center"/>
              <w:ind w:left="2170"/>
              <w:spacing w:after="0"/>
              <w:rPr>
                <w:sz w:val="20"/>
                <w:szCs w:val="20"/>
                <w:color w:val="auto"/>
              </w:rPr>
            </w:pPr>
            <w:r>
              <w:rPr>
                <w:rFonts w:ascii="Arial" w:cs="Arial" w:eastAsia="Arial" w:hAnsi="Arial"/>
                <w:sz w:val="18"/>
                <w:szCs w:val="18"/>
                <w:color w:val="auto"/>
                <w:w w:val="99"/>
              </w:rPr>
              <w:t>(Amounts in thousands)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51"/>
        </w:trPr>
        <w:tc>
          <w:tcPr>
            <w:tcW w:w="1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2020</w:t>
            </w: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166,548</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(51,904)</w:t>
            </w:r>
          </w:p>
        </w:tc>
      </w:tr>
      <w:tr>
        <w:trPr>
          <w:trHeight w:val="176"/>
        </w:trPr>
        <w:tc>
          <w:tcPr>
            <w:tcW w:w="57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b w:val="1"/>
                <w:bCs w:val="1"/>
                <w:color w:val="auto"/>
              </w:rPr>
              <w:t>Adjustments to reconcile net income (loss) to cash flows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provided by (used for) operating activities: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457,621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525,011</w:t>
            </w:r>
          </w:p>
        </w:tc>
      </w:tr>
      <w:tr>
        <w:trPr>
          <w:trHeight w:val="229"/>
        </w:trPr>
        <w:tc>
          <w:tcPr>
            <w:tcW w:w="5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Impairment of long-lived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r>
      <w:tr>
        <w:trPr>
          <w:trHeight w:val="230"/>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Losses (gains) on investments,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(47,107)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(69,531)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31,306</w:t>
            </w:r>
          </w:p>
        </w:tc>
      </w:tr>
      <w:tr>
        <w:trPr>
          <w:trHeight w:val="229"/>
        </w:trPr>
        <w:tc>
          <w:tcPr>
            <w:tcW w:w="5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Equity in losses (earnings) of unconsolidated affiliates,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r>
      <w:tr>
        <w:trPr>
          <w:trHeight w:val="229"/>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Foreign currency transaction losses (gains),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(6,015)</w:t>
            </w:r>
          </w:p>
        </w:tc>
      </w:tr>
      <w:tr>
        <w:trPr>
          <w:trHeight w:val="230"/>
        </w:trPr>
        <w:tc>
          <w:tcPr>
            <w:tcW w:w="5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Deferred tax provision (benefit),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18,147</w:t>
            </w:r>
          </w:p>
        </w:tc>
      </w:tr>
      <w:tr>
        <w:trPr>
          <w:trHeight w:val="229"/>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8,887</w:t>
            </w:r>
          </w:p>
        </w:tc>
      </w:tr>
      <w:tr>
        <w:trPr>
          <w:trHeight w:val="230"/>
        </w:trPr>
        <w:tc>
          <w:tcPr>
            <w:tcW w:w="5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r>
      <w:tr>
        <w:trPr>
          <w:trHeight w:val="188"/>
        </w:trPr>
        <w:tc>
          <w:tcPr>
            <w:tcW w:w="57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Other-than-temporary impairment losses on equity method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7"/>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w:t>
            </w:r>
          </w:p>
        </w:tc>
      </w:tr>
      <w:tr>
        <w:trPr>
          <w:trHeight w:val="229"/>
        </w:trPr>
        <w:tc>
          <w:tcPr>
            <w:tcW w:w="5740" w:type="dxa"/>
            <w:vAlign w:val="bottom"/>
            <w:gridSpan w:val="2"/>
          </w:tcPr>
          <w:p>
            <w:pPr>
              <w:ind w:left="460"/>
              <w:spacing w:after="0"/>
              <w:rPr>
                <w:sz w:val="20"/>
                <w:szCs w:val="20"/>
                <w:color w:val="auto"/>
              </w:rPr>
            </w:pPr>
            <w:r>
              <w:rPr>
                <w:rFonts w:ascii="Arial" w:cs="Arial" w:eastAsia="Arial" w:hAnsi="Arial"/>
                <w:sz w:val="18"/>
                <w:szCs w:val="18"/>
                <w:b w:val="1"/>
                <w:bCs w:val="1"/>
                <w:color w:val="auto"/>
              </w:rPr>
              <w:t>Changes in assets and liabilities, net:</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Trade accounts receivable and contract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r>
      <w:tr>
        <w:trPr>
          <w:trHeight w:val="229"/>
        </w:trPr>
        <w:tc>
          <w:tcPr>
            <w:tcW w:w="5740" w:type="dxa"/>
            <w:vAlign w:val="bottom"/>
            <w:gridSpan w:val="2"/>
          </w:tcPr>
          <w:p>
            <w:pPr>
              <w:ind w:left="680"/>
              <w:spacing w:after="0"/>
              <w:rPr>
                <w:sz w:val="20"/>
                <w:szCs w:val="20"/>
                <w:color w:val="auto"/>
              </w:rPr>
            </w:pPr>
            <w:r>
              <w:rPr>
                <w:rFonts w:ascii="Arial" w:cs="Arial" w:eastAsia="Arial" w:hAnsi="Arial"/>
                <w:sz w:val="18"/>
                <w:szCs w:val="18"/>
                <w:color w:val="auto"/>
              </w:rPr>
              <w:t>Other current assets,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(12,984)</w:t>
            </w:r>
          </w:p>
        </w:tc>
      </w:tr>
      <w:tr>
        <w:trPr>
          <w:trHeight w:val="230"/>
        </w:trPr>
        <w:tc>
          <w:tcPr>
            <w:tcW w:w="5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Trade accounts payable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(12,339)</w:t>
            </w:r>
          </w:p>
        </w:tc>
      </w:tr>
      <w:tr>
        <w:trPr>
          <w:trHeight w:val="229"/>
        </w:trPr>
        <w:tc>
          <w:tcPr>
            <w:tcW w:w="5740" w:type="dxa"/>
            <w:vAlign w:val="bottom"/>
            <w:gridSpan w:val="2"/>
          </w:tcPr>
          <w:p>
            <w:pPr>
              <w:ind w:left="68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(19,604)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36,774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3,509</w:t>
            </w:r>
          </w:p>
        </w:tc>
      </w:tr>
      <w:tr>
        <w:trPr>
          <w:trHeight w:val="230"/>
        </w:trPr>
        <w:tc>
          <w:tcPr>
            <w:tcW w:w="5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42,822</w:t>
            </w:r>
          </w:p>
        </w:tc>
      </w:tr>
      <w:tr>
        <w:trPr>
          <w:trHeight w:val="229"/>
        </w:trPr>
        <w:tc>
          <w:tcPr>
            <w:tcW w:w="57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Non-current assets and non-current liabilities,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80,012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(15,064)</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529,605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632,226</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534,388</w:t>
            </w:r>
          </w:p>
        </w:tc>
      </w:tr>
      <w:tr>
        <w:trPr>
          <w:trHeight w:val="250"/>
        </w:trPr>
        <w:tc>
          <w:tcPr>
            <w:tcW w:w="14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Purchases of marketable investment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(1,067,461)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(1,651,608)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(2,799,838)</w:t>
            </w:r>
          </w:p>
        </w:tc>
      </w:tr>
      <w:tr>
        <w:trPr>
          <w:trHeight w:val="229"/>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Sales and maturities of marketable investment securities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2,321,560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2,110,336</w:t>
            </w: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Expenditures for property and equipment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(325,891)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(438,430)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(408,798)</w:t>
            </w:r>
          </w:p>
        </w:tc>
      </w:tr>
      <w:tr>
        <w:trPr>
          <w:trHeight w:val="230"/>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Expenditures for externally marketed software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(38,655)</w:t>
            </w: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India JV formation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Dividend received from unconsolidated affiliate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Sale of unconsolidated affiliate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other investments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30"/>
        </w:trPr>
        <w:tc>
          <w:tcPr>
            <w:tcW w:w="5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Sales of other investments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(275,185)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158,930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05"/>
        </w:trPr>
        <w:tc>
          <w:tcPr>
            <w:tcW w:w="1400" w:type="dxa"/>
            <w:vAlign w:val="bottom"/>
            <w:tcBorders>
              <w:top w:val="single" w:sz="8" w:color="0000FF"/>
            </w:tcBorders>
          </w:tcPr>
          <w:p>
            <w:pPr>
              <w:spacing w:after="0"/>
              <w:rPr>
                <w:sz w:val="24"/>
                <w:szCs w:val="24"/>
                <w:color w:val="auto"/>
              </w:rPr>
            </w:pPr>
          </w:p>
        </w:tc>
        <w:tc>
          <w:tcPr>
            <w:tcW w:w="548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8"/>
              </w:rPr>
              <w:t>ECHOSTAR CORPORATION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78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5480" w:type="dxa"/>
            <w:vAlign w:val="bottom"/>
            <w:gridSpan w:val="2"/>
          </w:tcPr>
          <w:p>
            <w:pPr>
              <w:jc w:val="center"/>
              <w:ind w:left="2890"/>
              <w:spacing w:after="0"/>
              <w:rPr>
                <w:sz w:val="20"/>
                <w:szCs w:val="20"/>
                <w:color w:val="auto"/>
              </w:rPr>
            </w:pPr>
            <w:r>
              <w:rPr>
                <w:rFonts w:ascii="Arial" w:cs="Arial" w:eastAsia="Arial" w:hAnsi="Arial"/>
                <w:sz w:val="18"/>
                <w:szCs w:val="18"/>
                <w:color w:val="auto"/>
                <w:w w:val="99"/>
              </w:rPr>
              <w:t>(Amounts 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590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900" w:type="dxa"/>
            <w:vAlign w:val="bottom"/>
            <w:gridSpan w:val="2"/>
          </w:tcPr>
          <w:p>
            <w:pPr>
              <w:ind w:left="240"/>
              <w:spacing w:after="0"/>
              <w:rPr>
                <w:sz w:val="20"/>
                <w:szCs w:val="20"/>
                <w:color w:val="auto"/>
              </w:rPr>
            </w:pPr>
            <w:r>
              <w:rPr>
                <w:rFonts w:ascii="Arial" w:cs="Arial" w:eastAsia="Arial" w:hAnsi="Arial"/>
                <w:sz w:val="18"/>
                <w:szCs w:val="18"/>
                <w:color w:val="auto"/>
              </w:rPr>
              <w:t>Repurchase and maturity of the 2021 Senior Unsecured Notes</w:t>
            </w:r>
          </w:p>
        </w:tc>
        <w:tc>
          <w:tcPr>
            <w:tcW w:w="9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(901,818)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 of finance lease obligations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29"/>
        </w:trPr>
        <w:tc>
          <w:tcPr>
            <w:tcW w:w="5900" w:type="dxa"/>
            <w:vAlign w:val="bottom"/>
            <w:gridSpan w:val="2"/>
          </w:tcPr>
          <w:p>
            <w:pPr>
              <w:ind w:left="240"/>
              <w:spacing w:after="0"/>
              <w:rPr>
                <w:sz w:val="20"/>
                <w:szCs w:val="20"/>
                <w:color w:val="auto"/>
              </w:rPr>
            </w:pPr>
            <w:r>
              <w:rPr>
                <w:rFonts w:ascii="Arial" w:cs="Arial" w:eastAsia="Arial" w:hAnsi="Arial"/>
                <w:sz w:val="18"/>
                <w:szCs w:val="18"/>
                <w:color w:val="auto"/>
              </w:rPr>
              <w:t>Payment of in-orbit incentive obligations</w:t>
            </w: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230"/>
        </w:trPr>
        <w:tc>
          <w:tcPr>
            <w:tcW w:w="5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Class A common stock options exercised</w:t>
            </w:r>
          </w:p>
        </w:tc>
        <w:tc>
          <w:tcPr>
            <w:tcW w:w="9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188"/>
        </w:trPr>
        <w:tc>
          <w:tcPr>
            <w:tcW w:w="590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Proceeds from Class A common stock issued under the</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7"/>
        </w:trPr>
        <w:tc>
          <w:tcPr>
            <w:tcW w:w="5900" w:type="dxa"/>
            <w:vAlign w:val="bottom"/>
            <w:gridSpan w:val="2"/>
          </w:tcPr>
          <w:p>
            <w:pPr>
              <w:ind w:left="240"/>
              <w:spacing w:after="0"/>
              <w:rPr>
                <w:sz w:val="20"/>
                <w:szCs w:val="20"/>
                <w:color w:val="auto"/>
              </w:rPr>
            </w:pPr>
            <w:r>
              <w:rPr>
                <w:rFonts w:ascii="Arial" w:cs="Arial" w:eastAsia="Arial" w:hAnsi="Arial"/>
                <w:sz w:val="18"/>
                <w:szCs w:val="18"/>
                <w:color w:val="auto"/>
              </w:rPr>
              <w:t>Employee Stock Purchase Plan</w:t>
            </w: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10,109</w:t>
            </w:r>
          </w:p>
        </w:tc>
      </w:tr>
      <w:tr>
        <w:trPr>
          <w:trHeight w:val="232"/>
        </w:trPr>
        <w:tc>
          <w:tcPr>
            <w:tcW w:w="5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Treasury share repurchase</w:t>
            </w:r>
          </w:p>
        </w:tc>
        <w:tc>
          <w:tcPr>
            <w:tcW w:w="9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(89,303)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(43,458)</w:t>
            </w:r>
          </w:p>
        </w:tc>
      </w:tr>
      <w:tr>
        <w:trPr>
          <w:trHeight w:val="230"/>
        </w:trPr>
        <w:tc>
          <w:tcPr>
            <w:tcW w:w="5900" w:type="dxa"/>
            <w:vAlign w:val="bottom"/>
            <w:gridSpan w:val="2"/>
          </w:tcPr>
          <w:p>
            <w:pPr>
              <w:ind w:left="240"/>
              <w:spacing w:after="0"/>
              <w:rPr>
                <w:sz w:val="20"/>
                <w:szCs w:val="20"/>
                <w:color w:val="auto"/>
              </w:rPr>
            </w:pPr>
            <w:r>
              <w:rPr>
                <w:rFonts w:ascii="Arial" w:cs="Arial" w:eastAsia="Arial" w:hAnsi="Arial"/>
                <w:sz w:val="18"/>
                <w:szCs w:val="18"/>
                <w:color w:val="auto"/>
              </w:rPr>
              <w:t>Contribution by non-controlling interest holder</w:t>
            </w:r>
          </w:p>
        </w:tc>
        <w:tc>
          <w:tcPr>
            <w:tcW w:w="9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18,241</w:t>
            </w:r>
          </w:p>
        </w:tc>
      </w:tr>
      <w:tr>
        <w:trPr>
          <w:trHeight w:val="229"/>
        </w:trPr>
        <w:tc>
          <w:tcPr>
            <w:tcW w:w="5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09"/>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(83,105)</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(1,147,345)</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(15,620)</w:t>
            </w:r>
          </w:p>
        </w:tc>
      </w:tr>
      <w:tr>
        <w:trPr>
          <w:trHeight w:val="250"/>
        </w:trPr>
        <w:tc>
          <w:tcPr>
            <w:tcW w:w="1400" w:type="dxa"/>
            <w:vAlign w:val="bottom"/>
            <w:shd w:val="clear" w:color="auto" w:fill="CCEEFF"/>
          </w:tcPr>
          <w:p>
            <w:pPr>
              <w:spacing w:after="0"/>
              <w:rPr>
                <w:sz w:val="21"/>
                <w:szCs w:val="21"/>
                <w:color w:val="auto"/>
              </w:rPr>
            </w:pPr>
          </w:p>
        </w:tc>
        <w:tc>
          <w:tcPr>
            <w:tcW w:w="4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r>
      <w:tr>
        <w:trPr>
          <w:trHeight w:val="20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(625,077)</w:t>
            </w:r>
          </w:p>
        </w:tc>
      </w:tr>
      <w:tr>
        <w:trPr>
          <w:trHeight w:val="188"/>
        </w:trPr>
        <w:tc>
          <w:tcPr>
            <w:tcW w:w="59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Cash and cash equivalents, including restricted amounts,</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7"/>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beginning of period</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171"/>
        </w:trPr>
        <w:tc>
          <w:tcPr>
            <w:tcW w:w="59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Cash and cash equivalents, including restricted amounts, end of</w:t>
            </w: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28"/>
        </w:trPr>
        <w:tc>
          <w:tcPr>
            <w:tcW w:w="590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705,883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536,874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896,812</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Our Class A common stock is publicly traded on the NASDAQ Global Select Market (“NASDAQ”) under the symbol “SATS.”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spacing w:after="0" w:line="183" w:lineRule="exact"/>
        <w:rPr>
          <w:sz w:val="20"/>
          <w:szCs w:val="20"/>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segment </w:t>
      </w:r>
      <w:r>
        <w:rPr>
          <w:rFonts w:ascii="Arial" w:cs="Arial" w:eastAsia="Arial" w:hAnsi="Arial"/>
          <w:sz w:val="18"/>
          <w:szCs w:val="18"/>
          <w:color w:val="auto"/>
        </w:rPr>
        <w:t>— which provides broadband satellite technologies and broadband internet products and services to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provides satellite services on a full-time and/or occasional-use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22. Segment Reporting</w:t>
      </w:r>
      <w:r>
        <w:rPr>
          <w:rFonts w:ascii="Arial" w:cs="Arial" w:eastAsia="Arial" w:hAnsi="Arial"/>
          <w:sz w:val="18"/>
          <w:szCs w:val="18"/>
          <w:color w:val="auto"/>
        </w:rPr>
        <w:t xml:space="preserve"> for further detail.</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Consolidated Financial Statements and the accompanying notes (collectively, the “Consolidated Financial Statements”) are prepared in conformity with U.S. generally accepted accounting principles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assets and goodwill impairment testing.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20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2022 and 2021,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also recognize lease revenue which is derived from leases of property and equipment which, for operating leases, is reported in </w:t>
      </w:r>
      <w:r>
        <w:rPr>
          <w:rFonts w:ascii="Arial" w:cs="Arial" w:eastAsia="Arial" w:hAnsi="Arial"/>
          <w:sz w:val="18"/>
          <w:szCs w:val="18"/>
          <w:i w:val="1"/>
          <w:iCs w:val="1"/>
          <w:color w:val="auto"/>
        </w:rPr>
        <w:t>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revenue </w:t>
      </w:r>
      <w:r>
        <w:rPr>
          <w:rFonts w:ascii="Arial" w:cs="Arial" w:eastAsia="Arial" w:hAnsi="Arial"/>
          <w:sz w:val="18"/>
          <w:szCs w:val="18"/>
          <w:color w:val="auto"/>
        </w:rPr>
        <w:t>in the Consolidated Statements of Operations and, for sales-type leases, is reported in</w:t>
      </w:r>
      <w:r>
        <w:rPr>
          <w:rFonts w:ascii="Arial" w:cs="Arial" w:eastAsia="Arial" w:hAnsi="Arial"/>
          <w:sz w:val="18"/>
          <w:szCs w:val="18"/>
          <w:i w:val="1"/>
          <w:iCs w:val="1"/>
          <w:color w:val="auto"/>
        </w:rPr>
        <w:t xml:space="preserve"> Equipment revenue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Certain of our customer contracts contain embedded equipment leases, which we separate from non-lease components of the contract based on the relative standalone selling prices of the lease and non-lease components.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Hughes Segment</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 Segment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net </w:t>
      </w:r>
      <w:r>
        <w:rPr>
          <w:rFonts w:ascii="Arial" w:cs="Arial" w:eastAsia="Arial" w:hAnsi="Arial"/>
          <w:sz w:val="18"/>
          <w:szCs w:val="18"/>
          <w:color w:val="auto"/>
        </w:rPr>
        <w:t>and continue to be depreciated. Assets subject to sales-type leases are derecognized from</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commencement and a net investment in the lease asset is recognized in </w:t>
      </w:r>
      <w:r>
        <w:rPr>
          <w:rFonts w:ascii="Arial" w:cs="Arial" w:eastAsia="Arial" w:hAnsi="Arial"/>
          <w:sz w:val="18"/>
          <w:szCs w:val="18"/>
          <w:i w:val="1"/>
          <w:iCs w:val="1"/>
          <w:color w:val="auto"/>
        </w:rPr>
        <w:t>Trade accounts receivable and contract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assets, net</w:t>
      </w:r>
      <w:r>
        <w:rPr>
          <w:rFonts w:ascii="Arial" w:cs="Arial" w:eastAsia="Arial" w:hAnsi="Arial"/>
          <w:sz w:val="18"/>
          <w:szCs w:val="18"/>
          <w:color w:val="auto"/>
        </w:rPr>
        <w:t>.</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from 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periodic interest income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Sales and Value Added Taxes, Universal Service Fees and other taxes that we collect concurrent with revenue producing activities are excluded from revenue and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Consolidated Balance Sheets.</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Shipping and handling costs associated with transferred to the customer and are included 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firstLine="31"/>
        <w:spacing w:after="0" w:line="277" w:lineRule="auto"/>
        <w:rPr>
          <w:sz w:val="20"/>
          <w:szCs w:val="20"/>
          <w:color w:val="auto"/>
        </w:rPr>
      </w:pPr>
      <w:r>
        <w:rPr>
          <w:rFonts w:ascii="Arial" w:cs="Arial" w:eastAsia="Arial" w:hAnsi="Arial"/>
          <w:sz w:val="18"/>
          <w:szCs w:val="18"/>
          <w:color w:val="auto"/>
        </w:rPr>
        <w:t xml:space="preserve">outbound freight are accounted for as a fulfillment cost after control over a product has </w:t>
      </w:r>
      <w:r>
        <w:rPr>
          <w:rFonts w:ascii="Arial" w:cs="Arial" w:eastAsia="Arial" w:hAnsi="Arial"/>
          <w:sz w:val="16"/>
          <w:szCs w:val="16"/>
          <w:color w:val="auto"/>
        </w:rPr>
        <w:t xml:space="preserve">Cost of sales - equipment </w:t>
      </w:r>
      <w:r>
        <w:rPr>
          <w:rFonts w:ascii="Arial" w:cs="Arial" w:eastAsia="Arial" w:hAnsi="Arial"/>
          <w:sz w:val="17"/>
          <w:szCs w:val="17"/>
          <w:color w:val="auto"/>
        </w:rPr>
        <w:t>in the Consolidated Statements of Operations at the time of shipment.</w:t>
      </w:r>
    </w:p>
    <w:p>
      <w:pPr>
        <w:spacing w:after="0" w:line="188" w:lineRule="exact"/>
        <w:rPr>
          <w:sz w:val="20"/>
          <w:szCs w:val="20"/>
          <w:color w:val="auto"/>
        </w:rPr>
      </w:pPr>
    </w:p>
    <w:p>
      <w:pPr>
        <w:sectPr>
          <w:pgSz w:w="11900" w:h="16838" w:orient="portrait"/>
          <w:cols w:equalWidth="0" w:num="2">
            <w:col w:w="3740" w:space="40"/>
            <w:col w:w="7460"/>
          </w:cols>
          <w:pgMar w:left="320" w:top="1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Cost of Sales - Services and Other</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sales - services and other in the Consolidated Statements of Operations primarily consists of costs of satellite capacity and services, hub infrastructure, customer care, wireline and wireless capacity and direct labor costs associated with the services provided and is generally charged to expense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Equipment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sales - equipment in the Consolidated Statements of Operations primarily consists of inventory costs, including freight and royalties, and is generally recognized at the point in time control of the equipment is passed to the customer and related revenue is recognized.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awards subject to performance conditions is recognized only when satisfaction of the performance condition is probable.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Advertising costs are expensed as incurred and are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not incurred in connection with customer requirements, are generally expensed when incurred.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Costs of issuing debt generally are deferred and amortized utilizing the effective interest method, with amortization included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of amounts capitalized </w:t>
      </w:r>
      <w:r>
        <w:rPr>
          <w:rFonts w:ascii="Arial" w:cs="Arial" w:eastAsia="Arial" w:hAnsi="Arial"/>
          <w:sz w:val="18"/>
          <w:szCs w:val="18"/>
          <w:color w:val="auto"/>
        </w:rPr>
        <w:t>in the Consolidated Statements of Operations. We report unamortized debt issuance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the related long-term debt in the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Consolidated Statements of Comprehensive Income (Loss). Except in certain uncommon circumstances, we have not recorded deferred income taxes related to our foreign currency translation adjustments.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Gains and losses resulting from the re-measurement of transactions denominated in foreign currencies are recognized in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gains (losses), net </w:t>
      </w:r>
      <w:r>
        <w:rPr>
          <w:rFonts w:ascii="Arial" w:cs="Arial" w:eastAsia="Arial" w:hAnsi="Arial"/>
          <w:sz w:val="18"/>
          <w:szCs w:val="18"/>
          <w:color w:val="auto"/>
        </w:rPr>
        <w:t>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provision or benefit for income taxes currently payable or receivable and for income tax amounts deferred to future periods. Deferred tax assets and liabilities reflect the effects of tax losses, credits, and the future income tax effects of temporary differences between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and tax credit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inception of a contract, we assess whether the contract is, or contains, a lease. The assessment is based on (i) whether the contract involves the use of a distinct identified asset, (ii) whether we obtain the right to substantially all the economic benefit from the use of the asset throughout the period, and (iii) whether we have the right to direct the use of the asset. Our operating leases consist primarily of leases for office space, data centers and satellite-related ground infrastructure.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finance leases consist primarily of leases for satellite capacity.</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 lease expense for these leases as incurred over the lease term.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ROU asset is initially measured at cost, which primarily comprises the initial amount of the lease liability, plus any prepayments to the lessor and initial direct costs such as brokerage commissions, less any lease incentives received.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 In determining our incremental borrowing rate, we consider the lease term, secured incremental borrowing rate, and for leases denominated in a currency different than U.S. dollar, the collateralized borrowing rate in the foreign currency using the U.S. dollar and foreign currency swap spread, when available.</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report operating lease ROU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in </w:t>
      </w:r>
      <w:r>
        <w:rPr>
          <w:rFonts w:ascii="Arial" w:cs="Arial" w:eastAsia="Arial" w:hAnsi="Arial"/>
          <w:sz w:val="18"/>
          <w:szCs w:val="18"/>
          <w:i w:val="1"/>
          <w:iCs w:val="1"/>
          <w:color w:val="auto"/>
        </w:rPr>
        <w:t>Accrued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We report finance lease ROU assets in</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and finance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liabilities in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 The calculation of our diluted weighted-average common shares outstanding excluded options to purchase shares of our Class A common stock, the effect of which would be anti-dilutive.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amounts reclassified to net income (loss) related to unrealized gain (loss) on available-for-sale securities are included in </w:t>
      </w:r>
      <w:r>
        <w:rPr>
          <w:rFonts w:ascii="Arial" w:cs="Arial" w:eastAsia="Arial" w:hAnsi="Arial"/>
          <w:sz w:val="18"/>
          <w:szCs w:val="18"/>
          <w:i w:val="1"/>
          <w:iCs w:val="1"/>
          <w:color w:val="auto"/>
        </w:rPr>
        <w:t>Gains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investments, net </w:t>
      </w:r>
      <w:r>
        <w:rPr>
          <w:rFonts w:ascii="Arial" w:cs="Arial" w:eastAsia="Arial" w:hAnsi="Arial"/>
          <w:sz w:val="18"/>
          <w:szCs w:val="18"/>
          <w:color w:val="auto"/>
        </w:rPr>
        <w:t>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Cash equivalents as of December 31, 2022 and 2021 primarily consisted of commercial paper, government bonds, corporate notes and money market funds. The amortized cost of these investments approximates their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 w:cs="Arial" w:eastAsia="Arial" w:hAnsi="Arial"/>
          <w:sz w:val="18"/>
          <w:szCs w:val="18"/>
          <w:i w:val="1"/>
          <w:iCs w:val="1"/>
          <w:color w:val="auto"/>
        </w:rPr>
        <w:t>Unrealized 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available-for-sale securities </w:t>
      </w:r>
      <w:r>
        <w:rPr>
          <w:rFonts w:ascii="Arial" w:cs="Arial" w:eastAsia="Arial" w:hAnsi="Arial"/>
          <w:sz w:val="18"/>
          <w:szCs w:val="18"/>
          <w:color w:val="auto"/>
        </w:rPr>
        <w:t>in the Consolidated Statements of Comprehensive Income (Loss). Gains and losses realized upon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of available-for-sale debt securities are reclassified from other comprehensive income (loss) and recognized on the trade date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the Consolidated Statements of Operations. We use the first-in, first-out (“FIFO”) method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basis on sales of available-for-sale debt securities. Interest income from available-for-sale debt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the Consolidated Statements of Operations.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periodically evaluate our available-for-sale debt securities portfolio to determine whether any declines in the fair value of these securities are other-than-temporary. Our evaluation considers, among other things, (i) the length of time and extent to which the fair value of such security has been lower than amortized cost, (ii) market and company-specific factors related to the security and (iii)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in the Consolidated Statements of Operations, thus establishing a new cost basis for the investment.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 Interest income from these securities is reported in </w:t>
      </w:r>
      <w:r>
        <w:rPr>
          <w:rFonts w:ascii="Arial" w:cs="Arial" w:eastAsia="Arial" w:hAnsi="Arial"/>
          <w:sz w:val="18"/>
          <w:szCs w:val="18"/>
          <w:i w:val="1"/>
          <w:iCs w:val="1"/>
          <w:color w:val="auto"/>
        </w:rPr>
        <w:t>Interest income,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account for our equity securities with readily determinable fair values at fair value and recognize periodic changes in the fair value in </w:t>
      </w:r>
      <w:r>
        <w:rPr>
          <w:rFonts w:ascii="Arial" w:cs="Arial" w:eastAsia="Arial" w:hAnsi="Arial"/>
          <w:sz w:val="18"/>
          <w:szCs w:val="18"/>
          <w:i w:val="1"/>
          <w:iCs w:val="1"/>
          <w:color w:val="auto"/>
        </w:rPr>
        <w:t xml:space="preserve">Gains (losses) on investments, net </w:t>
      </w:r>
      <w:r>
        <w:rPr>
          <w:rFonts w:ascii="Arial" w:cs="Arial" w:eastAsia="Arial" w:hAnsi="Arial"/>
          <w:sz w:val="18"/>
          <w:szCs w:val="18"/>
          <w:color w:val="auto"/>
        </w:rPr>
        <w:t>in the Consolidated Statements of Operations. We recognize dividend income on equity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Marketable Investment Securities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Restricted marketable investment securities that are pledged as collateral for our letters of credit and surety bonds are included in </w:t>
      </w:r>
      <w:r>
        <w:rPr>
          <w:rFonts w:ascii="Arial" w:cs="Arial" w:eastAsia="Arial" w:hAnsi="Arial"/>
          <w:sz w:val="18"/>
          <w:szCs w:val="18"/>
          <w:i w:val="1"/>
          <w:iCs w:val="1"/>
          <w:color w:val="auto"/>
        </w:rPr>
        <w:t xml:space="preserve">Other non-current assets, net </w:t>
      </w:r>
      <w:r>
        <w:rPr>
          <w:rFonts w:ascii="Arial" w:cs="Arial" w:eastAsia="Arial" w:hAnsi="Arial"/>
          <w:sz w:val="18"/>
          <w:szCs w:val="18"/>
          <w:color w:val="auto"/>
        </w:rPr>
        <w:t>in the Consolidated Balance Sheets. Restricted marketable securities are accounted for in the same manner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that are not restricted, but are presented differently in the Consolidated Balance Sheets due to the restrictions.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Consolidated Balance Sheets based on the expected timing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Our contract assets typically relate to our long-term contracts where we recognize revenue using the cost-based input method and the revenue recognized exceeds the amount billed to the customer. Our contract assets also include receivables related to sales-type leases recognized over the lease term as the customer is billed.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Inventory is stated at the lower of cost or net realizable value. Cost of inventory is determined using the FIFO method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when we determine that the cost of inventory and commitments to purchase inventory exceed net realizable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satellites acquired under finance leases. The recorded costs of those satellites are the present values of all lease payments. We amortize our finance lease ROU satellites over their respective lease terms.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and Equipment</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acquired businesses using the acquisition method of accounting which requires that the assets acquired and liabilities assumed be recorded at the date of acquisition at their respective fair values. Any excess of the purchase price over the estimated fair values of the net assets acquired is recorded as goodwill. All of our goodwill is assigned to our Hughes segment.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evaluate goodwill for impairment on an annual basis in our second fiscal quarter or whenever events and changes in circumstances indicate the carrying amounts may not be recoverable. Impairments may result from, among other things, deterioration in financial and operational performance, declines in stock price, increased attrition, adverse market conditions, adverse changes in applicable laws and/or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regulations, deterioration of general macroeconomic conditions, fluctuations in foreign exchange rates, increased competitive markets in which we operate in, declining financial performance over a sustained period, changes in key personnel and/or strategy, and a variety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other factors. Our impairment assessment typically begins with a qualitative assessment to determine whether it is more likely than not the fair value of the reporting unit is less than its carrying amount. The qualitative assessment includes comparing the overall financial performance against the planned results. In the performance of the qualitative assessment, we analyze a variety of events or factors that may influence the fair value of the reporting unit, that could include, but are not limited to: macroeconomic conditions, industry and market considerations, cost factors, and other relevant entity-specific events which requires significant judgment. If we determine in the qualitative assessment that it is more likely than not that the fair value is less than its carrying value, then we perform a quantitative assessment to determine the estimated fair value of the indefinite lived asset or reporting unit. We could also choose the option to bypass the qualitative assessment for any reporting unit in any period and proceed directly to the quantitative impairment test. In the quantitative assessment, fair value is usually estimated using two valuation approaches: the discounted cash flows method and the market comparable method. In the performance of the quantitative assessment, we use a variety of inputs, some of which may require significant judgment, that influence the fair value of the reporting unit, that could include, but are not limited to: discount rate, revenue growth rate, amount and timing of future cash</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flows, guideline public company metrics, and comparable market transactions. In addition, we also perform a market capitalization reconciliation to compare the estimated fair value, determined using the discounted cash flows method and the market comparable method,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Company’s market capitalization as of the date of the test. If the carrying value exceeds the estimated fair value, then an impairment is recognized for the difference.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impairment to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 Lived</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regulatory authorizations that are not related to the Federal Communications Commission (“FCC”) and have determined that they have finite lives due to uncertainties about the ability to extend or renew their terms.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Finite lived regulatory authorizations are amortized over their estimated useful lives on a straight-line basis. Renewal costs are usually capitalized when they are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Lived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w:t>
      </w:r>
    </w:p>
    <w:p>
      <w:pPr>
        <w:spacing w:after="0" w:line="20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maintain or renew indefinite-lived regulatory authorizations are expensed as incurred.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(losses) of unconsolidated affiliates, net</w:t>
      </w:r>
      <w:r>
        <w:rPr>
          <w:rFonts w:ascii="Arial" w:cs="Arial" w:eastAsia="Arial" w:hAnsi="Arial"/>
          <w:sz w:val="18"/>
          <w:szCs w:val="18"/>
          <w:color w:val="auto"/>
        </w:rPr>
        <w:t xml:space="preserve"> in the Consolidated Statements of Operations. Additionally, the carrying amount of such investments includes a component of goodwill when the cost of our investment exceeds the fair value of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underlying identifiable assets and liabilities of the affiliate. Lastly, dividends received from these affiliates reduces the carrying amount of 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generally record our investments in non-publicly traded debt instruments without a readily determinable fair value at amortized cost. We recognize any discounts over the term of the loan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the Consolidated Statements of Operations. In addition, some of our debt instruments have interest income that is paid-in-kind, which is added to the principal balance to determine the then current interest income. When we adjust the carrying amount of an investment, the gain or loss is recorded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Considerations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 w:cs="Arial" w:eastAsia="Arial" w:hAnsi="Arial"/>
          <w:sz w:val="18"/>
          <w:szCs w:val="18"/>
          <w:i w:val="1"/>
          <w:iCs w:val="1"/>
          <w:color w:val="auto"/>
        </w:rPr>
        <w:t>Other-than-temporary impairment losses on equity method investments</w:t>
      </w:r>
      <w:r>
        <w:rPr>
          <w:rFonts w:ascii="Arial" w:cs="Arial" w:eastAsia="Arial" w:hAnsi="Arial"/>
          <w:sz w:val="18"/>
          <w:szCs w:val="18"/>
          <w:color w:val="auto"/>
        </w:rPr>
        <w:t xml:space="preserve"> or </w:t>
      </w:r>
      <w:r>
        <w:rPr>
          <w:rFonts w:ascii="Arial" w:cs="Arial" w:eastAsia="Arial" w:hAnsi="Arial"/>
          <w:sz w:val="18"/>
          <w:szCs w:val="18"/>
          <w:i w:val="1"/>
          <w:iCs w:val="1"/>
          <w:color w:val="auto"/>
        </w:rPr>
        <w:t>Gains (losses) on 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are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the Consolidated Balance Sheets based on the timing of when we expect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We recognize contract liabilities as revenue after all revenue recognition criteria have been met.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Assistance</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January 1, 2022 we adopted Accounting Standards Update (“ASU”) No. 2021-10 -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On January 1, 2021, we adopted ASU No.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r>
        <w:rPr>
          <w:rFonts w:ascii="Arial" w:cs="Arial" w:eastAsia="Arial" w:hAnsi="Arial"/>
          <w:sz w:val="18"/>
          <w:szCs w:val="18"/>
          <w:i w:val="1"/>
          <w:iCs w:val="1"/>
          <w:color w:val="auto"/>
        </w:rPr>
        <w:t>.</w:t>
      </w:r>
      <w:r>
        <w:rPr>
          <w:rFonts w:ascii="Arial" w:cs="Arial" w:eastAsia="Arial" w:hAnsi="Arial"/>
          <w:sz w:val="18"/>
          <w:szCs w:val="18"/>
          <w:color w:val="auto"/>
        </w:rPr>
        <w:t xml:space="preserve">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Consolidated Financial Statements and they continue to be reported under the accounting standards in effect for the periods before January 1, 2020.</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new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7"/>
                <w:szCs w:val="17"/>
                <w:color w:val="auto"/>
              </w:rPr>
            </w:pPr>
          </w:p>
        </w:tc>
        <w:tc>
          <w:tcPr>
            <w:tcW w:w="2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Adoption of ASC 326</w:t>
            </w: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 2020</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Increase (Decrease)</w:t>
            </w:r>
          </w:p>
        </w:tc>
        <w:tc>
          <w:tcPr>
            <w:tcW w:w="2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and contract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179,531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186,254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334,841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338,891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351,692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350,720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 (losses)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623,741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75,748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3,745,553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3,736,245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Consolidated Statements of Operations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2021, the FASB issued ASU No. 2021-08 -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provides an exception to fair value measurement for contract assets and contract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The ASU is applied to business combinations occurring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170,466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154,676</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trade accounts receivable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178,402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160,344</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trade accounts receivable and contract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121,739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152,012</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r>
      <w:tr>
        <w:trPr>
          <w:trHeight w:val="230"/>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18,582</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Deductions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8"/>
        <w:spacing w:after="0" w:line="266" w:lineRule="auto"/>
        <w:tabs>
          <w:tab w:leader="none" w:pos="154" w:val="left"/>
        </w:tabs>
        <w:numPr>
          <w:ilvl w:val="0"/>
          <w:numId w:val="38"/>
        </w:numPr>
        <w:rPr>
          <w:rFonts w:ascii="Arial" w:cs="Arial" w:eastAsia="Arial" w:hAnsi="Arial"/>
          <w:sz w:val="17"/>
          <w:szCs w:val="17"/>
          <w:color w:val="auto"/>
          <w:vertAlign w:val="superscript"/>
        </w:rPr>
      </w:pPr>
      <w:r>
        <w:rPr>
          <w:rFonts w:ascii="Arial" w:cs="Arial" w:eastAsia="Arial" w:hAnsi="Arial"/>
          <w:sz w:val="13"/>
          <w:szCs w:val="13"/>
          <w:color w:val="auto"/>
        </w:rPr>
        <w:t xml:space="preserve">The impact of adopting ASC 326 on January 1, 2020 was a net decrease to our allowance for doubtful accounts largely driven by a $13.4 million reclassification to </w:t>
      </w:r>
      <w:r>
        <w:rPr>
          <w:rFonts w:ascii="Arial" w:cs="Arial" w:eastAsia="Arial" w:hAnsi="Arial"/>
          <w:sz w:val="13"/>
          <w:szCs w:val="13"/>
          <w:i w:val="1"/>
          <w:iCs w:val="1"/>
          <w:color w:val="auto"/>
        </w:rPr>
        <w:t>Other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current assets, net </w:t>
      </w:r>
      <w:r>
        <w:rPr>
          <w:rFonts w:ascii="Arial" w:cs="Arial" w:eastAsia="Arial" w:hAnsi="Arial"/>
          <w:sz w:val="13"/>
          <w:szCs w:val="13"/>
          <w:color w:val="auto"/>
        </w:rPr>
        <w:t>and</w:t>
      </w:r>
      <w:r>
        <w:rPr>
          <w:rFonts w:ascii="Arial" w:cs="Arial" w:eastAsia="Arial" w:hAnsi="Arial"/>
          <w:sz w:val="13"/>
          <w:szCs w:val="13"/>
          <w:i w:val="1"/>
          <w:iCs w:val="1"/>
          <w:color w:val="auto"/>
        </w:rPr>
        <w:t xml:space="preserve"> Other non-current assets, net</w:t>
      </w:r>
      <w:r>
        <w:rPr>
          <w:rFonts w:ascii="Arial" w:cs="Arial" w:eastAsia="Arial" w:hAnsi="Arial"/>
          <w:sz w:val="13"/>
          <w:szCs w:val="13"/>
          <w:color w:val="auto"/>
        </w:rPr>
        <w:t>, offset by a $2.9 million adjustment to</w:t>
      </w:r>
      <w:r>
        <w:rPr>
          <w:rFonts w:ascii="Arial" w:cs="Arial" w:eastAsia="Arial" w:hAnsi="Arial"/>
          <w:sz w:val="13"/>
          <w:szCs w:val="13"/>
          <w:i w:val="1"/>
          <w:iCs w:val="1"/>
          <w:color w:val="auto"/>
        </w:rPr>
        <w:t xml:space="preserve"> Accumulated earnings (losses)</w:t>
      </w:r>
      <w:r>
        <w:rPr>
          <w:rFonts w:ascii="Arial" w:cs="Arial" w:eastAsia="Arial" w:hAnsi="Arial"/>
          <w:sz w:val="13"/>
          <w:szCs w:val="13"/>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72,503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91,143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(101,278)</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 remaining performance obligations for our customer contracts with original expected durations of more than one year was $1.1 billion. Performance obligations expected to be satisfied within one year and greater than one year are 34.0% and 66.0%,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2022</w:t>
            </w: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1,576,773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1,608,264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171,318</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218,511</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1,998,093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1,617,229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11,782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1,646,690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176,515</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162,482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162,515</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1,556,961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1,583,802</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151,426</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152,679</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2022</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1,551,613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1,570,678</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53,253</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1,592,438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1,623,931</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119,120</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246,265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246,265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8,777</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374,149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374,162</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1,966,587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1,998,093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1,646,778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1,664,430</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1,685,799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1,715,287</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108,773</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152,934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152,934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0" w:type="dxa"/>
            <w:vAlign w:val="bottom"/>
          </w:tcPr>
          <w:p>
            <w:pPr>
              <w:spacing w:after="0"/>
              <w:rPr>
                <w:sz w:val="1"/>
                <w:szCs w:val="1"/>
                <w:color w:val="auto"/>
              </w:rPr>
            </w:pPr>
          </w:p>
        </w:tc>
      </w:tr>
      <w:tr>
        <w:trPr>
          <w:trHeight w:val="206"/>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270,427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270,433</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1,630,146</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52,158</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1,655,233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1,682,304</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110,110</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88,511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88,511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06"/>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205,601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205,603</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Lease Revenue</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020" w:type="dxa"/>
            <w:vAlign w:val="bottom"/>
            <w:gridSpan w:val="2"/>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5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300" w:type="dxa"/>
            <w:vAlign w:val="bottom"/>
          </w:tcPr>
          <w:p>
            <w:pPr>
              <w:spacing w:after="0"/>
              <w:rPr>
                <w:sz w:val="18"/>
                <w:szCs w:val="18"/>
                <w:color w:val="auto"/>
              </w:rPr>
            </w:pPr>
          </w:p>
        </w:tc>
        <w:tc>
          <w:tcPr>
            <w:tcW w:w="5720" w:type="dxa"/>
            <w:vAlign w:val="bottom"/>
            <w:shd w:val="clear" w:color="auto" w:fill="CCEEFF"/>
          </w:tcPr>
          <w:p>
            <w:pPr>
              <w:jc w:val="center"/>
              <w:ind w:right="3430"/>
              <w:spacing w:after="0"/>
              <w:rPr>
                <w:sz w:val="20"/>
                <w:szCs w:val="20"/>
                <w:color w:val="auto"/>
              </w:rPr>
            </w:pPr>
            <w:r>
              <w:rPr>
                <w:rFonts w:ascii="Arial" w:cs="Arial" w:eastAsia="Arial" w:hAnsi="Arial"/>
                <w:sz w:val="18"/>
                <w:szCs w:val="18"/>
                <w:b w:val="1"/>
                <w:bCs w:val="1"/>
                <w:color w:val="auto"/>
                <w:w w:val="99"/>
              </w:rPr>
              <w:t>Sales-type lease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Revenue at lease commencement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7,998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6,982</w:t>
            </w:r>
          </w:p>
        </w:tc>
      </w:tr>
      <w:tr>
        <w:trPr>
          <w:trHeight w:val="230"/>
        </w:trPr>
        <w:tc>
          <w:tcPr>
            <w:tcW w:w="30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30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Total sales-type lease revenue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30"/>
        </w:trPr>
        <w:tc>
          <w:tcPr>
            <w:tcW w:w="30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51,765</w:t>
            </w:r>
          </w:p>
        </w:tc>
      </w:tr>
      <w:tr>
        <w:trPr>
          <w:trHeight w:val="223"/>
        </w:trPr>
        <w:tc>
          <w:tcPr>
            <w:tcW w:w="300" w:type="dxa"/>
            <w:vAlign w:val="bottom"/>
          </w:tcPr>
          <w:p>
            <w:pPr>
              <w:spacing w:after="0"/>
              <w:rPr>
                <w:sz w:val="19"/>
                <w:szCs w:val="19"/>
                <w:color w:val="auto"/>
              </w:rPr>
            </w:pPr>
          </w:p>
        </w:tc>
        <w:tc>
          <w:tcPr>
            <w:tcW w:w="5720" w:type="dxa"/>
            <w:vAlign w:val="bottom"/>
          </w:tcPr>
          <w:p>
            <w:pPr>
              <w:jc w:val="center"/>
              <w:ind w:right="3390"/>
              <w:spacing w:after="0"/>
              <w:rPr>
                <w:sz w:val="20"/>
                <w:szCs w:val="20"/>
                <w:color w:val="auto"/>
              </w:rPr>
            </w:pPr>
            <w:r>
              <w:rPr>
                <w:rFonts w:ascii="Arial" w:cs="Arial" w:eastAsia="Arial" w:hAnsi="Arial"/>
                <w:sz w:val="18"/>
                <w:szCs w:val="18"/>
                <w:color w:val="auto"/>
                <w:w w:val="98"/>
              </w:rPr>
              <w:t>Total lease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59,140</w:t>
            </w:r>
          </w:p>
        </w:tc>
      </w:tr>
      <w:tr>
        <w:trPr>
          <w:trHeight w:val="21"/>
        </w:trPr>
        <w:tc>
          <w:tcPr>
            <w:tcW w:w="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$21.9 million and $17.1 million as of December 31,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December 31, 2022:</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4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45,107</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w:t>
            </w: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30,802</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w:t>
            </w:r>
          </w:p>
        </w:tc>
      </w:tr>
      <w:tr>
        <w:trPr>
          <w:trHeight w:val="230"/>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23,860</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2028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23"/>
        </w:trPr>
        <w:tc>
          <w:tcPr>
            <w:tcW w:w="4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lease payments to be received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215,152</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99"/>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Depreciation</w:t>
            </w:r>
          </w:p>
        </w:tc>
        <w:tc>
          <w:tcPr>
            <w:tcW w:w="3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Depreciation</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Customer premises</w:t>
            </w: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855,621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292,536</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104,620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59,311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0" w:type="dxa"/>
            <w:vAlign w:val="bottom"/>
          </w:tcPr>
          <w:p>
            <w:pPr>
              <w:spacing w:after="0"/>
              <w:rPr>
                <w:sz w:val="1"/>
                <w:szCs w:val="1"/>
                <w:color w:val="auto"/>
              </w:rPr>
            </w:pPr>
          </w:p>
        </w:tc>
      </w:tr>
      <w:tr>
        <w:trPr>
          <w:trHeight w:val="213"/>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1,008,516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(700,910)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1,930,956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(1,548,898)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382,058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During 2022, the Company identified fully depreciated assets that were no longer in use, mostly related to our customer premises equipment assets. Cost and accumulated depreciation were reduced by $1.1 billion. There was no impact to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238,554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237,996</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LESSEE ACCOUNTING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amounts for ROU assets and lease liabilities:</w:t>
      </w:r>
    </w:p>
    <w:p>
      <w:pPr>
        <w:spacing w:after="0" w:line="109"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09"/>
        </w:trPr>
        <w:tc>
          <w:tcPr>
            <w:tcW w:w="7940" w:type="dxa"/>
            <w:vAlign w:val="bottom"/>
            <w:shd w:val="clear" w:color="auto" w:fill="CCEEFF"/>
          </w:tcPr>
          <w:p>
            <w:pPr>
              <w:jc w:val="center"/>
              <w:ind w:right="6070"/>
              <w:spacing w:after="0"/>
              <w:rPr>
                <w:sz w:val="20"/>
                <w:szCs w:val="20"/>
                <w:color w:val="auto"/>
              </w:rPr>
            </w:pPr>
            <w:r>
              <w:rPr>
                <w:rFonts w:ascii="Arial" w:cs="Arial" w:eastAsia="Arial" w:hAnsi="Arial"/>
                <w:sz w:val="18"/>
                <w:szCs w:val="18"/>
                <w:b w:val="1"/>
                <w:bCs w:val="1"/>
                <w:color w:val="auto"/>
              </w:rPr>
              <w:t>Right-of-use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151,518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149,198</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258,498</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right-of-use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390,266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407,696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40" w:type="dxa"/>
            <w:vAlign w:val="bottom"/>
          </w:tcPr>
          <w:p>
            <w:pPr>
              <w:ind w:left="440"/>
              <w:spacing w:after="0"/>
              <w:rPr>
                <w:sz w:val="20"/>
                <w:szCs w:val="20"/>
                <w:color w:val="auto"/>
              </w:rPr>
            </w:pPr>
            <w:r>
              <w:rPr>
                <w:rFonts w:ascii="Arial" w:cs="Arial" w:eastAsia="Arial" w:hAnsi="Arial"/>
                <w:sz w:val="18"/>
                <w:szCs w:val="18"/>
                <w:color w:val="auto"/>
              </w:rPr>
              <w:t>Operating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16,781</w:t>
            </w:r>
          </w:p>
        </w:tc>
      </w:tr>
      <w:tr>
        <w:trPr>
          <w:trHeight w:val="230"/>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16,904</w:t>
            </w:r>
          </w:p>
        </w:tc>
      </w:tr>
      <w:tr>
        <w:trPr>
          <w:trHeight w:val="210"/>
        </w:trPr>
        <w:tc>
          <w:tcPr>
            <w:tcW w:w="7940" w:type="dxa"/>
            <w:vAlign w:val="bottom"/>
            <w:shd w:val="clear" w:color="auto" w:fill="CCEEFF"/>
          </w:tcPr>
          <w:p>
            <w:pPr>
              <w:jc w:val="center"/>
              <w:ind w:right="6050"/>
              <w:spacing w:after="0"/>
              <w:rPr>
                <w:sz w:val="20"/>
                <w:szCs w:val="20"/>
                <w:color w:val="auto"/>
              </w:rPr>
            </w:pPr>
            <w:r>
              <w:rPr>
                <w:rFonts w:ascii="Arial" w:cs="Arial" w:eastAsia="Arial" w:hAnsi="Arial"/>
                <w:sz w:val="18"/>
                <w:szCs w:val="18"/>
                <w:b w:val="1"/>
                <w:bCs w:val="1"/>
                <w:color w:val="auto"/>
                <w:w w:val="99"/>
              </w:rPr>
              <w:t>Non-current: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560"/>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134,897</w:t>
            </w:r>
          </w:p>
        </w:tc>
      </w:tr>
      <w:tr>
        <w:trPr>
          <w:trHeight w:val="230"/>
        </w:trPr>
        <w:tc>
          <w:tcPr>
            <w:tcW w:w="7940" w:type="dxa"/>
            <w:vAlign w:val="bottom"/>
            <w:shd w:val="clear" w:color="auto" w:fill="CCEEFF"/>
          </w:tcPr>
          <w:p>
            <w:pPr>
              <w:jc w:val="center"/>
              <w:ind w:right="6090"/>
              <w:spacing w:after="0"/>
              <w:rPr>
                <w:sz w:val="20"/>
                <w:szCs w:val="20"/>
                <w:color w:val="auto"/>
              </w:rPr>
            </w:pPr>
            <w:r>
              <w:rPr>
                <w:rFonts w:ascii="Arial" w:cs="Arial" w:eastAsia="Arial" w:hAnsi="Arial"/>
                <w:sz w:val="18"/>
                <w:szCs w:val="18"/>
                <w:color w:val="auto"/>
                <w:w w:val="99"/>
              </w:rPr>
              <w:t>Finance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non-current</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135,932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134,897</w:t>
            </w:r>
          </w:p>
        </w:tc>
      </w:tr>
      <w:tr>
        <w:trPr>
          <w:trHeight w:val="248"/>
        </w:trPr>
        <w:tc>
          <w:tcPr>
            <w:tcW w:w="79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we have prepaid our obligations regarding most of our finance ROU assets. Finance lease assets are reported net of accumulated amortization of $121.9 million and $95.7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components of lease cost and weighted-average lease terms and discount rates for operating and finance leases: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25,345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23,379</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Finance lease cost: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480"/>
              <w:spacing w:after="0"/>
              <w:rPr>
                <w:sz w:val="20"/>
                <w:szCs w:val="20"/>
                <w:color w:val="auto"/>
              </w:rPr>
            </w:pPr>
            <w:r>
              <w:rPr>
                <w:rFonts w:ascii="Arial" w:cs="Arial" w:eastAsia="Arial" w:hAnsi="Arial"/>
                <w:sz w:val="18"/>
                <w:szCs w:val="18"/>
                <w:color w:val="auto"/>
              </w:rPr>
              <w:t>Amortization of right-of-use assets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27,611</w:t>
            </w:r>
          </w:p>
        </w:tc>
      </w:tr>
      <w:tr>
        <w:trPr>
          <w:trHeight w:val="229"/>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on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740" w:type="dxa"/>
            <w:vAlign w:val="bottom"/>
          </w:tcPr>
          <w:p>
            <w:pPr>
              <w:ind w:left="560"/>
              <w:spacing w:after="0"/>
              <w:rPr>
                <w:sz w:val="20"/>
                <w:szCs w:val="20"/>
                <w:color w:val="auto"/>
              </w:rPr>
            </w:pPr>
            <w:r>
              <w:rPr>
                <w:rFonts w:ascii="Arial" w:cs="Arial" w:eastAsia="Arial" w:hAnsi="Arial"/>
                <w:sz w:val="18"/>
                <w:szCs w:val="18"/>
                <w:color w:val="auto"/>
              </w:rPr>
              <w:t>Total finance lease cost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27,717</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Variable lease cost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p>
        </w:tc>
        <w:tc>
          <w:tcPr>
            <w:tcW w:w="35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Weighted-average remaining lease term:</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0.0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years</w:t>
            </w:r>
          </w:p>
        </w:tc>
      </w:tr>
      <w:tr>
        <w:trPr>
          <w:trHeight w:val="229"/>
        </w:trPr>
        <w:tc>
          <w:tcPr>
            <w:tcW w:w="772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1820" w:type="dxa"/>
            <w:vAlign w:val="bottom"/>
            <w:gridSpan w:val="2"/>
          </w:tcPr>
          <w:p>
            <w:pPr>
              <w:ind w:left="960"/>
              <w:spacing w:after="0"/>
              <w:rPr>
                <w:sz w:val="20"/>
                <w:szCs w:val="20"/>
                <w:color w:val="auto"/>
              </w:rPr>
            </w:pPr>
            <w:r>
              <w:rPr>
                <w:rFonts w:ascii="Arial" w:cs="Arial" w:eastAsia="Arial" w:hAnsi="Arial"/>
                <w:sz w:val="18"/>
                <w:szCs w:val="18"/>
                <w:color w:val="auto"/>
              </w:rPr>
              <w:t>8.0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10.8 years</w:t>
            </w:r>
          </w:p>
        </w:tc>
      </w:tr>
      <w:tr>
        <w:trPr>
          <w:trHeight w:val="270"/>
        </w:trPr>
        <w:tc>
          <w:tcPr>
            <w:tcW w:w="77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Weighted-average discount rate: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772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172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detailed cash flows from operating and finance leases: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21,834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obtained ROU assets in exchange for lease liabilities of $4.3 million, $26.1 million and $22.6 million upon commencement of operating leases during the year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tbl>
      <w:tblPr>
        <w:tblLayout w:type="fixed"/>
        <w:tblInd w:w="0" w:type="dxa"/>
        <w:tblCellMar>
          <w:top w:w="0" w:type="dxa"/>
          <w:left w:w="0" w:type="dxa"/>
          <w:bottom w:w="0" w:type="dxa"/>
          <w:right w:w="0" w:type="dxa"/>
        </w:tblCellMar>
      </w:tblPr>
      <w:tr>
        <w:trPr>
          <w:trHeight w:val="202"/>
        </w:trPr>
        <w:tc>
          <w:tcPr>
            <w:tcW w:w="200" w:type="dxa"/>
            <w:vAlign w:val="bottom"/>
          </w:tcPr>
          <w:p>
            <w:pPr>
              <w:spacing w:after="0"/>
              <w:rPr>
                <w:sz w:val="17"/>
                <w:szCs w:val="17"/>
                <w:color w:val="auto"/>
              </w:rPr>
            </w:pPr>
          </w:p>
        </w:tc>
        <w:tc>
          <w:tcPr>
            <w:tcW w:w="8660" w:type="dxa"/>
            <w:vAlign w:val="bottom"/>
          </w:tcPr>
          <w:p>
            <w:pPr>
              <w:jc w:val="center"/>
              <w:ind w:left="2110"/>
              <w:spacing w:after="0" w:line="202" w:lineRule="exact"/>
              <w:rPr>
                <w:sz w:val="20"/>
                <w:szCs w:val="20"/>
                <w:color w:val="auto"/>
              </w:rPr>
            </w:pPr>
            <w:r>
              <w:rPr>
                <w:rFonts w:ascii="Arial" w:cs="Arial" w:eastAsia="Arial" w:hAnsi="Arial"/>
                <w:sz w:val="18"/>
                <w:szCs w:val="18"/>
                <w:b w:val="1"/>
                <w:bCs w:val="1"/>
                <w:color w:val="auto"/>
                <w:w w:val="98"/>
              </w:rPr>
              <w:t>ECHOSTAR CORPORATION</w:t>
            </w: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866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8860" w:type="dxa"/>
            <w:vAlign w:val="bottom"/>
            <w:gridSpan w:val="2"/>
          </w:tcPr>
          <w:p>
            <w:pPr>
              <w:spacing w:after="0"/>
              <w:rPr>
                <w:sz w:val="20"/>
                <w:szCs w:val="20"/>
                <w:color w:val="auto"/>
              </w:rPr>
            </w:pPr>
            <w:r>
              <w:rPr>
                <w:rFonts w:ascii="Arial" w:cs="Arial" w:eastAsia="Arial" w:hAnsi="Arial"/>
                <w:sz w:val="18"/>
                <w:szCs w:val="18"/>
                <w:color w:val="auto"/>
              </w:rPr>
              <w:t>The following table presents future minimum lease payments of our lease liabilities as of December 31, 2022:</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60" w:type="dxa"/>
            <w:vAlign w:val="bottom"/>
            <w:gridSpan w:val="2"/>
          </w:tcPr>
          <w:p>
            <w:pPr>
              <w:ind w:left="420"/>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25,101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gridSpan w:val="2"/>
          </w:tcPr>
          <w:p>
            <w:pPr>
              <w:ind w:left="4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19,578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ind w:left="4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17,256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2028 and beyond</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201,623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660" w:type="dxa"/>
            <w:vAlign w:val="bottom"/>
          </w:tcPr>
          <w:p>
            <w:pPr>
              <w:ind w:left="66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660" w:type="dxa"/>
            <w:vAlign w:val="bottom"/>
            <w:vMerge w:val="restart"/>
          </w:tcPr>
          <w:p>
            <w:pPr>
              <w:jc w:val="center"/>
              <w:ind w:left="2090"/>
              <w:spacing w:after="0"/>
              <w:rPr>
                <w:sz w:val="20"/>
                <w:szCs w:val="20"/>
                <w:color w:val="auto"/>
              </w:rPr>
            </w:pPr>
            <w:r>
              <w:rPr>
                <w:rFonts w:ascii="Arial" w:cs="Arial" w:eastAsia="Arial" w:hAnsi="Arial"/>
                <w:sz w:val="18"/>
                <w:szCs w:val="18"/>
                <w:color w:val="auto"/>
                <w:w w:val="97"/>
              </w:rPr>
              <w:t>F-29</w:t>
            </w: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2"/>
        </w:trPr>
        <w:tc>
          <w:tcPr>
            <w:tcW w:w="200" w:type="dxa"/>
            <w:vAlign w:val="bottom"/>
          </w:tcPr>
          <w:p>
            <w:pPr>
              <w:spacing w:after="0"/>
              <w:rPr>
                <w:sz w:val="24"/>
                <w:szCs w:val="24"/>
                <w:color w:val="auto"/>
              </w:rPr>
            </w:pPr>
          </w:p>
        </w:tc>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8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BUSINESS COMBINATIONS</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satellite connectivity for primary transport, back-up and hybrid implementation in India. The results of operations related to the India JV have been included in these Consolidated Financial Statements from the date of formation. The costs associated with the closing of the India JV</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were not material and were expensed as incurred.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the consideration transferred was $38.2 million. Net cash paid was $7.9 million, inclusive of amounts paid for the acquisition of, or of HCIPL shares from, entities that were shareholders of HCIPL prior to closing the India JV.</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assets and liabilities acquired in the India JV formation have been recorded at fair value. The following table presents our allocation of the purchase price:</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30"/>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9"/>
        </w:trPr>
        <w:tc>
          <w:tcPr>
            <w:tcW w:w="89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29"/>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r>
      <w:tr>
        <w:trPr>
          <w:trHeight w:val="230"/>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intangible assets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r>
      <w:tr>
        <w:trPr>
          <w:trHeight w:val="248"/>
        </w:trPr>
        <w:tc>
          <w:tcPr>
            <w:tcW w:w="8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r>
      <w:tr>
        <w:trPr>
          <w:trHeight w:val="248"/>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5"/>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valuation of assets acquired and liabilities assumed in the India JV were derived using primarily unobservable Level 3 inputs, which require significant management judgment and estimation, and resulted in a customer relationship intangible of $4.4 million with an estimated life of 5 years and is reported in </w:t>
      </w:r>
      <w:r>
        <w:rPr>
          <w:rFonts w:ascii="Arial" w:cs="Arial" w:eastAsia="Arial" w:hAnsi="Arial"/>
          <w:sz w:val="18"/>
          <w:szCs w:val="18"/>
          <w:i w:val="1"/>
          <w:iCs w:val="1"/>
          <w:color w:val="auto"/>
        </w:rPr>
        <w:t>Other intangible assets, net</w:t>
      </w:r>
      <w:r>
        <w:rPr>
          <w:rFonts w:ascii="Arial" w:cs="Arial" w:eastAsia="Arial" w:hAnsi="Arial"/>
          <w:sz w:val="18"/>
          <w:szCs w:val="18"/>
          <w:color w:val="auto"/>
        </w:rPr>
        <w:t>.</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Goodwill associated with the India JV is attributable to expected synergies, the projected long-term business growth in current and new markets and an assembled workforce. Goodwill has been allocated entirely to our Hughes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NOTE 6.  EARNINGS PER SHARE</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9480" w:type="dxa"/>
            <w:vAlign w:val="bottom"/>
            <w:gridSpan w:val="7"/>
          </w:tcPr>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89,908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97,920</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impact of stock awards outstanding</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89,941</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5"/>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4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3"/>
        </w:trPr>
        <w:tc>
          <w:tcPr>
            <w:tcW w:w="6940" w:type="dxa"/>
            <w:vAlign w:val="bottom"/>
            <w:gridSpan w:val="2"/>
            <w:shd w:val="clear" w:color="auto" w:fill="CCEEFF"/>
          </w:tcPr>
          <w:p>
            <w:pPr>
              <w:jc w:val="right"/>
              <w:ind w:right="5390"/>
              <w:spacing w:after="0"/>
              <w:rPr>
                <w:sz w:val="20"/>
                <w:szCs w:val="20"/>
                <w:color w:val="auto"/>
              </w:rPr>
            </w:pPr>
            <w:r>
              <w:rPr>
                <w:rFonts w:ascii="Arial" w:cs="Arial" w:eastAsia="Arial" w:hAnsi="Arial"/>
                <w:sz w:val="18"/>
                <w:szCs w:val="18"/>
                <w:color w:val="auto"/>
              </w:rPr>
              <w:t>Number of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tab/>
        <w:t>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changes in the balances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by component:</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Cumulative</w:t>
            </w: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 Gain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(Loss) On</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16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Available-For-Sale</w:t>
            </w:r>
          </w:p>
        </w:tc>
        <w:tc>
          <w:tcPr>
            <w:tcW w:w="3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62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rPr>
              <w:t>Comprehensive</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Securities</w:t>
            </w: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2"/>
              <w:spacing w:after="0"/>
              <w:rPr>
                <w:sz w:val="20"/>
                <w:szCs w:val="20"/>
                <w:color w:val="auto"/>
              </w:rPr>
            </w:pPr>
            <w:r>
              <w:rPr>
                <w:rFonts w:ascii="Arial" w:cs="Arial" w:eastAsia="Arial" w:hAnsi="Arial"/>
                <w:sz w:val="16"/>
                <w:szCs w:val="16"/>
                <w:b w:val="1"/>
                <w:bCs w:val="1"/>
                <w:color w:val="auto"/>
              </w:rPr>
              <w:t>Income (Loss)</w:t>
            </w:r>
          </w:p>
        </w:tc>
        <w:tc>
          <w:tcPr>
            <w:tcW w:w="0" w:type="dxa"/>
            <w:vAlign w:val="bottom"/>
          </w:tcPr>
          <w:p>
            <w:pPr>
              <w:spacing w:after="0"/>
              <w:rPr>
                <w:sz w:val="1"/>
                <w:szCs w:val="1"/>
                <w:color w:val="auto"/>
              </w:rPr>
            </w:pPr>
          </w:p>
        </w:tc>
      </w:tr>
      <w:tr>
        <w:trPr>
          <w:trHeight w:val="224"/>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(187,876)</w:t>
            </w:r>
          </w:p>
        </w:tc>
        <w:tc>
          <w:tcPr>
            <w:tcW w:w="0" w:type="dxa"/>
            <w:vAlign w:val="bottom"/>
          </w:tcPr>
          <w:p>
            <w:pPr>
              <w:spacing w:after="0"/>
              <w:rPr>
                <w:sz w:val="1"/>
                <w:szCs w:val="1"/>
                <w:color w:val="auto"/>
              </w:rPr>
            </w:pPr>
          </w:p>
        </w:tc>
      </w:tr>
      <w:tr>
        <w:trPr>
          <w:trHeight w:val="168"/>
        </w:trPr>
        <w:tc>
          <w:tcPr>
            <w:tcW w:w="4640" w:type="dxa"/>
            <w:vAlign w:val="bottom"/>
          </w:tcPr>
          <w:p>
            <w:pPr>
              <w:ind w:left="220"/>
              <w:spacing w:after="0" w:line="168"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(212,102)</w:t>
            </w:r>
          </w:p>
        </w:tc>
        <w:tc>
          <w:tcPr>
            <w:tcW w:w="0" w:type="dxa"/>
            <w:vAlign w:val="bottom"/>
          </w:tcPr>
          <w:p>
            <w:pPr>
              <w:spacing w:after="0"/>
              <w:rPr>
                <w:sz w:val="1"/>
                <w:szCs w:val="1"/>
                <w:color w:val="auto"/>
              </w:rPr>
            </w:pPr>
          </w:p>
        </w:tc>
      </w:tr>
      <w:tr>
        <w:trPr>
          <w:trHeight w:val="168"/>
        </w:trPr>
        <w:tc>
          <w:tcPr>
            <w:tcW w:w="4640" w:type="dxa"/>
            <w:vAlign w:val="bottom"/>
          </w:tcPr>
          <w:p>
            <w:pPr>
              <w:ind w:left="220"/>
              <w:spacing w:after="0" w:line="168"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39,881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39,863</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(172,239)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8.  MARKETABLE INVESTMENT SECURITIES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r>
      <w:tr>
        <w:trPr>
          <w:trHeight w:val="229"/>
        </w:trPr>
        <w:tc>
          <w:tcPr>
            <w:tcW w:w="786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498,358</w:t>
            </w:r>
          </w:p>
        </w:tc>
      </w:tr>
      <w:tr>
        <w:trPr>
          <w:trHeight w:val="229"/>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debt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 available-for-sale debt securities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880,815</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142,943</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984,971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1,023,758</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marketable investment securities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973,915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160,494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160,559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687,927</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866,181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881,269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410,918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we have $847.3 million of available-for-sale debt securities with contractual maturities of one year or less and $18.9 million with contractual maturities greater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5"/>
        </w:trPr>
        <w:tc>
          <w:tcPr>
            <w:tcW w:w="5740" w:type="dxa"/>
            <w:vAlign w:val="bottom"/>
          </w:tcPr>
          <w:p>
            <w:pPr>
              <w:spacing w:after="0"/>
              <w:rPr>
                <w:sz w:val="20"/>
                <w:szCs w:val="20"/>
                <w:color w:val="auto"/>
              </w:rPr>
            </w:pPr>
            <w:r>
              <w:rPr>
                <w:rFonts w:ascii="Arial" w:cs="Arial" w:eastAsia="Arial" w:hAnsi="Arial"/>
                <w:sz w:val="18"/>
                <w:szCs w:val="18"/>
                <w:i w:val="1"/>
                <w:iCs w:val="1"/>
                <w:color w:val="auto"/>
              </w:rPr>
              <w:t>Fair Value Option</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40" w:type="dxa"/>
            <w:vAlign w:val="bottom"/>
            <w:gridSpan w:val="2"/>
          </w:tcPr>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100" w:type="dxa"/>
            <w:vAlign w:val="bottom"/>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25,539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49,391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596,471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160,559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160,559</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687,927</w:t>
            </w:r>
          </w:p>
        </w:tc>
      </w:tr>
      <w:tr>
        <w:trPr>
          <w:trHeight w:val="229"/>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17,695</w:t>
            </w:r>
          </w:p>
        </w:tc>
      </w:tr>
      <w:tr>
        <w:trPr>
          <w:trHeight w:val="223"/>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866,181</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118,790</w:t>
            </w:r>
          </w:p>
        </w:tc>
      </w:tr>
      <w:tr>
        <w:trPr>
          <w:trHeight w:val="223"/>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984,971</w:t>
            </w:r>
          </w:p>
        </w:tc>
      </w:tr>
      <w:tr>
        <w:trPr>
          <w:trHeight w:val="229"/>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48"/>
        </w:trPr>
        <w:tc>
          <w:tcPr>
            <w:tcW w:w="62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973,915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289,784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289,784</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r>
      <w:tr>
        <w:trPr>
          <w:trHeight w:val="223"/>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142,943</w:t>
            </w:r>
          </w:p>
        </w:tc>
      </w:tr>
      <w:tr>
        <w:trPr>
          <w:trHeight w:val="223"/>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1,023,758</w:t>
            </w:r>
          </w:p>
        </w:tc>
      </w:tr>
      <w:tr>
        <w:trPr>
          <w:trHeight w:val="229"/>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(13,262)</w:t>
            </w:r>
          </w:p>
        </w:tc>
      </w:tr>
      <w:tr>
        <w:trPr>
          <w:trHeight w:val="248"/>
        </w:trPr>
        <w:tc>
          <w:tcPr>
            <w:tcW w:w="62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2022 and December 31, 2021, we did not have any investments that were categorized within Level 3 of the fair value hierarchy.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9.  PROPERTY AND EQUIPMENT</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1,563,033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1,610,623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2,237,617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2,338,285</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our satellite fleet consisted of ten geosynchronous (“GEO”) satellites, seven of which are owned and three of which are leased. They are all in geosynchronous orbit, approximately 22,300 miles above the equator. Our owned S-band LEO nano-satellites are not included in the table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5"/>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gridSpan w:val="2"/>
            <w:vMerge w:val="continue"/>
          </w:tcPr>
          <w:p>
            <w:pPr>
              <w:spacing w:after="0"/>
              <w:rPr>
                <w:sz w:val="21"/>
                <w:szCs w:val="21"/>
                <w:color w:val="auto"/>
              </w:rPr>
            </w:pPr>
          </w:p>
        </w:tc>
        <w:tc>
          <w:tcPr>
            <w:tcW w:w="2240" w:type="dxa"/>
            <w:vAlign w:val="bottom"/>
            <w:gridSpan w:val="2"/>
            <w:vMerge w:val="continue"/>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 (4)</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(5)</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41" w:lineRule="auto"/>
        <w:tabs>
          <w:tab w:leader="none" w:pos="468"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acquisition of Hughes Communications, Inc. (“Hughes Communications”) and its subsidiaries in 2011 (the “Hughes Acquisition”).</w:t>
      </w:r>
    </w:p>
    <w:p>
      <w:pPr>
        <w:ind w:left="340" w:right="120" w:hanging="332"/>
        <w:spacing w:after="0" w:line="251" w:lineRule="auto"/>
        <w:tabs>
          <w:tab w:leader="none" w:pos="352" w:val="left"/>
        </w:tabs>
        <w:numPr>
          <w:ilvl w:val="0"/>
          <w:numId w:val="39"/>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4" w:lineRule="exact"/>
        <w:rPr>
          <w:rFonts w:ascii="Arial" w:cs="Arial" w:eastAsia="Arial" w:hAnsi="Arial"/>
          <w:sz w:val="14"/>
          <w:szCs w:val="14"/>
          <w:color w:val="auto"/>
        </w:rPr>
      </w:pPr>
    </w:p>
    <w:p>
      <w:pPr>
        <w:ind w:left="340" w:hanging="332"/>
        <w:spacing w:after="0" w:line="261" w:lineRule="auto"/>
        <w:tabs>
          <w:tab w:leader="none" w:pos="381" w:val="left"/>
        </w:tabs>
        <w:numPr>
          <w:ilvl w:val="0"/>
          <w:numId w:val="39"/>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placed the satellite in an inclined-orbit in the first quarter of 2023. Inclined-orbit will extend its life to enable further revenue generating opportunities.</w:t>
      </w:r>
    </w:p>
    <w:p>
      <w:pPr>
        <w:ind w:left="340" w:right="20" w:hanging="332"/>
        <w:spacing w:after="0" w:line="258" w:lineRule="auto"/>
        <w:tabs>
          <w:tab w:leader="none" w:pos="406"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8"/>
        </w:trPr>
        <w:tc>
          <w:tcPr>
            <w:tcW w:w="618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Depreciable Life</w:t>
            </w: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618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1,808,924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1,806,664</w:t>
            </w:r>
          </w:p>
        </w:tc>
      </w:tr>
      <w:tr>
        <w:trPr>
          <w:trHeight w:val="230"/>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354,170</w:t>
            </w:r>
          </w:p>
        </w:tc>
      </w:tr>
      <w:tr>
        <w:trPr>
          <w:trHeight w:val="230"/>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541,422</w:t>
            </w:r>
          </w:p>
        </w:tc>
      </w:tr>
      <w:tr>
        <w:trPr>
          <w:trHeight w:val="223"/>
        </w:trPr>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2,702,256</w:t>
            </w: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(995,962)</w:t>
            </w:r>
          </w:p>
        </w:tc>
      </w:tr>
      <w:tr>
        <w:trPr>
          <w:trHeight w:val="23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(95,671)</w:t>
            </w:r>
          </w:p>
        </w:tc>
      </w:tr>
      <w:tr>
        <w:trPr>
          <w:trHeight w:val="223"/>
        </w:trPr>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(1,091,633)</w:t>
            </w:r>
          </w:p>
        </w:tc>
      </w:tr>
      <w:tr>
        <w:trPr>
          <w:trHeight w:val="223"/>
        </w:trPr>
        <w:tc>
          <w:tcPr>
            <w:tcW w:w="6180" w:type="dxa"/>
            <w:vAlign w:val="bottom"/>
          </w:tcPr>
          <w:p>
            <w:pPr>
              <w:ind w:left="800"/>
              <w:spacing w:after="0"/>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1,563,033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1,610,623</w:t>
            </w:r>
          </w:p>
        </w:tc>
      </w:tr>
      <w:tr>
        <w:trPr>
          <w:trHeight w:val="21"/>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96,816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105,819</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128,404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156,015</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next-generation, high throughput geostationary satellite. The EchoStar XXIV satellite is primarily intended to provide additional capacity for our HughesNet service in North, Central and South America as well as enterprise broadband services. Capital expenditures associated with the construction and launch of the EchoStar XXIV satellite are included in Corporate and Other segment in our segment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and 2021, our satellite-related commitments were $169.3 million and $ 342.2 million, respectively. These include payments pursuant to: the EchoStar XXIV launch contract, regulatory authorizations, non-lease costs associated with our finance lease satellites, in-orbit incentives relating to certain satellites and commitments for satellite service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2022 and 2021, the fair values of our in-orbit incentive obligations approximated their carrying amounts of $50.2 million and $53.2 million, respectively.</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 xml:space="preserve">The following table presents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574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574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Land</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29,125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28,938</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Buildings and improvements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 to 40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115,537</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rPr>
              <w:t>1 to 12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935,559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911,474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premises equipment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1,778,061</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158,559</w:t>
            </w:r>
          </w:p>
        </w:tc>
      </w:tr>
      <w:tr>
        <w:trPr>
          <w:trHeight w:val="223"/>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property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2,992,569</w:t>
            </w:r>
          </w:p>
        </w:tc>
      </w:tr>
      <w:tr>
        <w:trPr>
          <w:trHeight w:val="230"/>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(1,462,337)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(2,264,907)</w:t>
            </w:r>
          </w:p>
        </w:tc>
      </w:tr>
      <w:tr>
        <w:trPr>
          <w:trHeight w:val="248"/>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property and equipment, net</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During 2022, the Company identified fully depreciated assets that were no longer in use, mostly related to our customer premises equipment assets. Cost and accumulated depreciation were reduced by $1.1 billion. There was no impact to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other property and equipment: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5,394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94,389</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Customer premises equipment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230,609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230,079</w:t>
            </w:r>
          </w:p>
        </w:tc>
      </w:tr>
      <w:tr>
        <w:trPr>
          <w:trHeight w:val="248"/>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329,862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spacing w:after="0"/>
        <w:tabs>
          <w:tab w:leader="none" w:pos="980" w:val="left"/>
        </w:tabs>
        <w:rPr>
          <w:sz w:val="20"/>
          <w:szCs w:val="20"/>
          <w:color w:val="auto"/>
        </w:rPr>
      </w:pPr>
      <w:r>
        <w:rPr>
          <w:rFonts w:ascii="Arial" w:cs="Arial" w:eastAsia="Arial" w:hAnsi="Arial"/>
          <w:sz w:val="18"/>
          <w:szCs w:val="18"/>
          <w:b w:val="1"/>
          <w:bCs w:val="1"/>
          <w:color w:val="auto"/>
        </w:rPr>
        <w:t>NOTE 10.</w:t>
        <w:tab/>
        <w:t>GOODWILL</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goodwill is assigned to our Hughes segment, as it was generated through: i) the Hughes Acquisition; ii) the agreement with Yahsat pursuant to which, in November 2019, Yahsat contributed its satellite communications services business in Brazil to one of our Brazilian subsidiaries in exchange for a 20% equity ownership interest in that subsidiary (the “Yahsat Brazil JV Transaction”); and iii) the India JV 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2022, we conducted a quantitative interim test of goodwill for all of our reporting units due to the</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sustained decline in our stock price during that period. We estimated the reporting unit's fair value using the discounted cash flow method and the market comparable method. The discounted cash flow method used the reporting unit's projections of estimated operating results and cash flows that were discounted using a weighted-average cost of capital based on a reasonable market participant’s point of view. The main assumptions supporting the cash flow projections include, but are not limited to, revenue growth, margins, discount rate, and terminal growth rate. The financial projections reflect management's best estimate of economic and market conditions over the projected period, including forecasted revenue growth, margins, capital expenditures, depreciation, and amortization. Under the market comparable method, we used the guideline company method to develop valuation multiples and compare the single reporting unit to similar publicly traded companies. Additionally, we performed a reconciliation of our estimated fair value, determined using the discounted cash flows method and the market comparable method, to the Company’s market capitalization. As a result of this interim test, no goodwill impairment was identified.</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the Hughes reporting unit exceeded the carrying value by more than 20%. We concluded that there were no other indicators of impairment for the quarter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The following table presents our goodwill:</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99"/>
        </w:trPr>
        <w:tc>
          <w:tcPr>
            <w:tcW w:w="4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506,953</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India JV formation</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532,491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511,086</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511,597</w:t>
            </w:r>
          </w:p>
        </w:tc>
      </w:tr>
      <w:tr>
        <w:trPr>
          <w:trHeight w:val="20"/>
        </w:trPr>
        <w:tc>
          <w:tcPr>
            <w:tcW w:w="4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898"/>
        </w:trPr>
        <w:tc>
          <w:tcPr>
            <w:tcW w:w="4380" w:type="dxa"/>
            <w:vAlign w:val="bottom"/>
          </w:tcPr>
          <w:p>
            <w:pPr>
              <w:spacing w:after="0"/>
              <w:rPr>
                <w:sz w:val="24"/>
                <w:szCs w:val="2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F-38</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REGULATORY AUTHORIZATIONS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Finite lived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vMerge w:val="restart"/>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1"/>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(31,946)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23,370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439,161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462,531</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our regulatory authorizations with finite lives as of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2028 and beyond</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23"/>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23,370</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NOTE 12.  OTHER INTANGIBLE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The following table presents our other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Customer</w:t>
            </w:r>
          </w:p>
        </w:tc>
        <w:tc>
          <w:tcPr>
            <w:tcW w:w="280" w:type="dxa"/>
            <w:vAlign w:val="bottom"/>
          </w:tcPr>
          <w:p>
            <w:pPr>
              <w:spacing w:after="0"/>
              <w:rPr>
                <w:sz w:val="24"/>
                <w:szCs w:val="2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Patents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Trademarks and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Relationships</w:t>
            </w:r>
          </w:p>
        </w:tc>
        <w:tc>
          <w:tcPr>
            <w:tcW w:w="28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rPr>
              <w:t>Licenses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Retirements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274,284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355,384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(331,776)</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(342,850)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(347,299)</w:t>
            </w:r>
          </w:p>
        </w:tc>
        <w:tc>
          <w:tcPr>
            <w:tcW w:w="0" w:type="dxa"/>
            <w:vAlign w:val="bottom"/>
          </w:tcPr>
          <w:p>
            <w:pPr>
              <w:spacing w:after="0"/>
              <w:rPr>
                <w:sz w:val="1"/>
                <w:szCs w:val="1"/>
                <w:color w:val="auto"/>
              </w:rPr>
            </w:pPr>
          </w:p>
        </w:tc>
      </w:tr>
      <w:tr>
        <w:trPr>
          <w:trHeight w:val="229"/>
        </w:trPr>
        <w:tc>
          <w:tcPr>
            <w:tcW w:w="4740" w:type="dxa"/>
            <w:vAlign w:val="bottom"/>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Retirements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(271,085)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(17,201)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(339,686)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Carrying amount: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12,499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15,698</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Weighted-average useful life (in years)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other intangible assets as of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2028 and beyond</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23"/>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15,698</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13.  OTHER INVESTMENTS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83,523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91,226</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91,636</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114,885</w:t>
            </w:r>
          </w:p>
        </w:tc>
      </w:tr>
      <w:tr>
        <w:trPr>
          <w:trHeight w:val="248"/>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fourth quarter of 2021, we concluded that our 49% investment in DISH Mexico, S. de R.L. de C.V. and its subsidiaries (“Dish Mexico”), was not recoverable. Subsequently, in August 2022, we effected our exit from this investment. Therefore, in the third quarter of 2022, in conjunction with our exit, we recognized a net loss of $28.3 million, primarily due to the reclassification of accumulated foreign currency translation adjustment losses from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Statement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9"/>
        </w:trPr>
        <w:tc>
          <w:tcPr>
            <w:tcW w:w="57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8,278</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9,080</w:t>
            </w:r>
          </w:p>
        </w:tc>
      </w:tr>
      <w:tr>
        <w:trPr>
          <w:trHeight w:val="20"/>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trade accounts receivable:</w:t>
      </w:r>
    </w:p>
    <w:p>
      <w:pPr>
        <w:spacing w:after="0" w:line="271"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6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5,544</w:t>
            </w:r>
          </w:p>
        </w:tc>
      </w:tr>
      <w:tr>
        <w:trPr>
          <w:trHeight w:val="20"/>
        </w:trPr>
        <w:tc>
          <w:tcPr>
            <w:tcW w:w="7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7" w:name="page108"/>
    <w:bookmarkEnd w:id="107"/>
    <w:p>
      <w:pPr>
        <w:jc w:val="both"/>
        <w:spacing w:after="0" w:line="256" w:lineRule="auto"/>
        <w:rPr>
          <w:sz w:val="20"/>
          <w:szCs w:val="20"/>
          <w:color w:val="auto"/>
        </w:rPr>
      </w:pPr>
      <w:r>
        <w:rPr>
          <w:rFonts w:ascii="Arial" w:cs="Arial" w:eastAsia="Arial" w:hAnsi="Arial"/>
          <w:sz w:val="18"/>
          <w:szCs w:val="18"/>
          <w:color w:val="auto"/>
        </w:rPr>
        <w:t xml:space="preserve">We recorded cash distributions received from our investments of $2.0 million for the year ended December 31, 2022 that was considered a return of investment and reported in </w:t>
      </w:r>
      <w:r>
        <w:rPr>
          <w:rFonts w:ascii="Arial" w:cs="Arial" w:eastAsia="Arial" w:hAnsi="Arial"/>
          <w:sz w:val="18"/>
          <w:szCs w:val="18"/>
          <w:i w:val="1"/>
          <w:iCs w:val="1"/>
          <w:color w:val="auto"/>
        </w:rPr>
        <w:t>Net cash provided by (used for) investing activities</w:t>
      </w:r>
      <w:r>
        <w:rPr>
          <w:rFonts w:ascii="Arial" w:cs="Arial" w:eastAsia="Arial" w:hAnsi="Arial"/>
          <w:sz w:val="18"/>
          <w:szCs w:val="18"/>
          <w:color w:val="auto"/>
        </w:rPr>
        <w:t xml:space="preserve"> in the Consolidated Statements of Cash Flows. There were no returns of investment during the years ended 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Equity Investments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on our investments: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our other debt investments, net:</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Cost basis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143,267</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127,433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Allowance for credit losses</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debt investments, net</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131,875</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w w:val="99"/>
              </w:rPr>
              <w:t>The following table presents the activity in our allowance for credit losses for these investments:</w:t>
            </w: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beginning of the period</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impact of adopting ASC 326 on January 1, 2020 was a $2.1 million adjustment to Accumulated earnings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interest income, net related to our debt investments,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20,496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17,191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14,736</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 losses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interest income, net</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9"/>
        </w:trPr>
        <w:tc>
          <w:tcPr>
            <w:tcW w:w="4440" w:type="dxa"/>
            <w:vAlign w:val="bottom"/>
          </w:tcPr>
          <w:p>
            <w:pPr>
              <w:spacing w:after="0"/>
              <w:rPr>
                <w:sz w:val="20"/>
                <w:szCs w:val="20"/>
                <w:color w:val="auto"/>
              </w:rPr>
            </w:pPr>
            <w:r>
              <w:rPr>
                <w:rFonts w:ascii="Arial" w:cs="Arial" w:eastAsia="Arial" w:hAnsi="Arial"/>
                <w:sz w:val="18"/>
                <w:szCs w:val="18"/>
                <w:b w:val="1"/>
                <w:bCs w:val="1"/>
                <w:color w:val="auto"/>
              </w:rPr>
              <w:t>NOTE 14.  LONG-TERM DEBT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460" w:type="dxa"/>
            <w:vAlign w:val="bottom"/>
            <w:gridSpan w:val="7"/>
          </w:tcPr>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Long-term debt, net: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37"/>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20"/>
                <w:szCs w:val="20"/>
                <w:color w:val="auto"/>
              </w:rPr>
            </w:pPr>
          </w:p>
        </w:tc>
      </w:tr>
      <w:tr>
        <w:trPr>
          <w:trHeight w:val="169"/>
        </w:trPr>
        <w:tc>
          <w:tcPr>
            <w:tcW w:w="4440" w:type="dxa"/>
            <w:vAlign w:val="bottom"/>
          </w:tcPr>
          <w:p>
            <w:pPr>
              <w:spacing w:after="0"/>
              <w:rPr>
                <w:sz w:val="14"/>
                <w:szCs w:val="14"/>
                <w:color w:val="auto"/>
              </w:rPr>
            </w:pPr>
          </w:p>
        </w:tc>
        <w:tc>
          <w:tcPr>
            <w:tcW w:w="13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rPr>
              <w:t>Effective</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4"/>
                <w:szCs w:val="14"/>
                <w:color w:val="auto"/>
              </w:rPr>
            </w:pPr>
          </w:p>
        </w:tc>
        <w:tc>
          <w:tcPr>
            <w:tcW w:w="100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4"/>
                <w:szCs w:val="14"/>
                <w:color w:val="auto"/>
              </w:rPr>
            </w:pPr>
          </w:p>
        </w:tc>
        <w:tc>
          <w:tcPr>
            <w:tcW w:w="100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r>
      <w:tr>
        <w:trPr>
          <w:trHeight w:val="241"/>
        </w:trPr>
        <w:tc>
          <w:tcPr>
            <w:tcW w:w="444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2"/>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5 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727,763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825,555</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838,740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Total long-term debt,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1,496,777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1,435,253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1,495,994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1,664,295</w:t>
            </w: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27, 2016, our subsidiary Hughes Satellite Systems Corporation (“HSSC”) issued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at an issue price of 100.0%, pursuant to an indenture dated July 27, 2016 (together with the 2016 Secured Indenture, the “Indentures”). The 2026 Senior Secured Notes and the 2026 Senior Unsecured Notes are referred to collectively as the “Notes” and individually as a series of the Notes. The Notes mature on August 1, 2026. Interest on the 2026 Senior Secured Notes accrues at an annual rate of 5 1/4% and interest on the 2026 Senior Unsecured Notes accrues at an annual rate of 6 5/8%. Interest on the Notes is payable semi-annually in cash, in arrears, on February 1 and August 1 of each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5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secured obligations of HSSC;</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existing and future tangible and intangible assets of HSSC and certain of its subsidiaries on a first priority basis, subject to certain exceptions;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by assets that are not part of the collateral that secures the 2026 Senior Secured Notes to the extent of the value of the collateral securing such obligations;</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senior to HSSC’s existing and future unsecured obligations to the extent of the value of the collateral securing the 2026 Senior Secured Notes, after giving effect to permitted liens as provided in the 2016 Secured Indenture;</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2026 Senior Secured Notes;</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2026 Senior Secured Notes; and</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HSSC’s subsidiaries, which guarantees rank equally with all of the guarantors’ existing and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660" w:right="20"/>
        <w:spacing w:after="0" w:line="261" w:lineRule="auto"/>
        <w:rPr>
          <w:sz w:val="20"/>
          <w:szCs w:val="20"/>
          <w:color w:val="auto"/>
        </w:rPr>
      </w:pPr>
      <w:r>
        <w:rPr>
          <w:rFonts w:ascii="Arial" w:cs="Arial" w:eastAsia="Arial" w:hAnsi="Arial"/>
          <w:sz w:val="18"/>
          <w:szCs w:val="18"/>
          <w:color w:val="auto"/>
        </w:rPr>
        <w:t>unsubordinated indebtedness and effectively senior to such guarantors’ existing and future obligations to the extent of the value of the assets securing the 2026 Senior Secured Notes.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Unsecured Notes are:</w:t>
      </w:r>
    </w:p>
    <w:p>
      <w:pPr>
        <w:spacing w:after="0" w:line="2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unsecured senior obligations of HSSC;</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and effectively junior to any secured indebtedness up to the value of the assets securing such indebtedness;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2026 Senior Unsecured Notes;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2026 Senior Unsecured Notes; and</w:t>
      </w:r>
    </w:p>
    <w:p>
      <w:pPr>
        <w:spacing w:after="0" w:line="62"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HSSC’s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HSSC’s ability and, in certain instances, the ability of certain of HSSC’s subsidiaries to:</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or make distributions on HSSC’s or their capital stock or repurchase HSSC’s or their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to exist certain restrictions on its or their ability to pay dividends, make distributions, make other payments, or transfer assets.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of a Change of Control, as defined in the respective Indentures, HSSC would be required to make an offer to repurchase all or any part of a holder’s Notes at a purchase price equal to 101.0% of the aggregate principal amount thereof, together with accrued and unpaid interest to the date of repurchase.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the years ended December 31, 2022, 2021 and 2020, we amortized $0.8 million, $2.4 million and $ 4.3 million, respectively, of debt issuance costs incurred for all debt issuances, which are included in </w:t>
      </w:r>
      <w:r>
        <w:rPr>
          <w:rFonts w:ascii="Arial" w:cs="Arial" w:eastAsia="Arial" w:hAnsi="Arial"/>
          <w:sz w:val="18"/>
          <w:szCs w:val="18"/>
          <w:i w:val="1"/>
          <w:iCs w:val="1"/>
          <w:color w:val="auto"/>
        </w:rPr>
        <w:t>Interest expense, net of amounts capitalized</w:t>
      </w:r>
      <w:r>
        <w:rPr>
          <w:rFonts w:ascii="Arial" w:cs="Arial" w:eastAsia="Arial" w:hAnsi="Arial"/>
          <w:sz w:val="18"/>
          <w:szCs w:val="18"/>
          <w:color w:val="auto"/>
        </w:rPr>
        <w:t xml:space="preserve"> in the Consolidated Statements of Operations.</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110" w:name="page111"/>
    <w:bookmarkEnd w:id="110"/>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354,234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269,400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108,078</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rPr>
              <w:t>(121,011)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rPr>
              <w:t>(141,053)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(135,913)</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8"/>
              </w:rPr>
              <w:t>233,223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8"/>
              </w:rPr>
              <w:t>128,347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tax benefit (provision), net</w:t>
      </w:r>
      <w:r>
        <w:rPr>
          <w:rFonts w:ascii="Arial" w:cs="Arial" w:eastAsia="Arial" w:hAnsi="Arial"/>
          <w:sz w:val="18"/>
          <w:szCs w:val="18"/>
          <w:color w:val="auto"/>
        </w:rPr>
        <w:t>, in the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(29,703)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benefit (provision),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r>
      <w:tr>
        <w:trPr>
          <w:trHeight w:val="216"/>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(17,509)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(41,665)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(9,707)</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(14,335)</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actual tax provisions reconciled to the amounts computed by applying the statutory federal tax rate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before income taxes </w:t>
      </w:r>
      <w:r>
        <w:rPr>
          <w:rFonts w:ascii="Arial" w:cs="Arial" w:eastAsia="Arial" w:hAnsi="Arial"/>
          <w:sz w:val="18"/>
          <w:szCs w:val="18"/>
          <w:color w:val="auto"/>
        </w:rPr>
        <w:t>in the 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 (provision)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Tax credits, including withholding tax</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Rates different than statutory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17,180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deferred tax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1"/>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Net operating losses, credit and other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220,675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253,767</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44,651</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31,996</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19,776</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357,257</w:t>
            </w:r>
          </w:p>
        </w:tc>
      </w:tr>
      <w:tr>
        <w:trPr>
          <w:trHeight w:val="229"/>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(234,571)</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122,686</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Property and equipment, regulatory authorizations, and other intangibles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(467,486)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(493,093)</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(520,953)</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(398,267)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 foreign jurisdiction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assets (liabilities) domestic</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(391,025)</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(398,267)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Overall, our net deferred tax assets were offset by a valuation allowance of $224.7 million and $234.6 million as of December 31, 2022 and</w:t>
      </w:r>
    </w:p>
    <w:p>
      <w:pPr>
        <w:jc w:val="both"/>
        <w:spacing w:after="0" w:line="229" w:lineRule="auto"/>
        <w:rPr>
          <w:sz w:val="20"/>
          <w:szCs w:val="20"/>
          <w:color w:val="auto"/>
        </w:rPr>
      </w:pPr>
      <w:r>
        <w:rPr>
          <w:rFonts w:ascii="Arial" w:cs="Arial" w:eastAsia="Arial" w:hAnsi="Arial"/>
          <w:sz w:val="18"/>
          <w:szCs w:val="18"/>
          <w:color w:val="auto"/>
        </w:rPr>
        <w:t>2021, respectively. The valuation allowance decreased due to the removal of the valuation allowance on a disposed investment and on the net operating loss carryforwards of a foreign subsidiary. The decrease was partially offset by an increase in the net operating loss carryforwards of certain foreign subsidiaries that management does not believe will be realized.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2022, we had net operating loss carryforwards of $732.0 million, including $721.2 million of foreign net operating loss carryforwards. The net operating loss carryforwards associated with India will begin to expire in 2027. As of December 31, 2022, we have tax credit carryforwards of $75.7 million and $83.2 million for federal and state income tax purposes, respectively. If not utilized, the federal tax credit carryforwards will begin to expire in 2035.</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December 31, 2022,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As of December 31, 2022 and 2021, we had net deferred tax assets related to our foreign subsidiaries of $8.0 million and $5.4 million, respectively, which were recorded in </w:t>
      </w:r>
      <w:r>
        <w:rPr>
          <w:rFonts w:ascii="Arial" w:cs="Arial" w:eastAsia="Arial" w:hAnsi="Arial"/>
          <w:sz w:val="18"/>
          <w:szCs w:val="18"/>
          <w:i w:val="1"/>
          <w:iCs w:val="1"/>
          <w:color w:val="auto"/>
        </w:rPr>
        <w:t>Other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filing U.S. federal income tax returns, we file income tax returns in all states that impose an income tax. As of December 31, 2022, we are not currently under a U.S. federal income tax examination. However, the IRS could perform tax examinations on years as early as tax year 2008. We are also subject to frequent state income tax audits and have open state examinations on years as early as tax year 2008. We also file income tax returns in the United Kingdom, Germany, Brazil, India and a number of other foreign jurisdictions. We generally are open to income tax examination in these foreign jurisdictions for taxable years beginning in 2004. As of December 31, 2022, we are currently being audited by the Indian tax authorities for fiscal years 2004 through 2021 and the German tax authority for calendar years 2016 through 2019. We have no other on-going significant income tax examinations in process in our foreign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the beginning and ending amount of unrecognized income tax benefits: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balance as of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70,401</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related to prior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76,882</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Reductions based on tax positions related to prior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Reductions based on expirations of statute of limitations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480"/>
              <w:spacing w:after="0"/>
              <w:rPr>
                <w:sz w:val="20"/>
                <w:szCs w:val="20"/>
                <w:color w:val="auto"/>
              </w:rPr>
            </w:pPr>
            <w:r>
              <w:rPr>
                <w:rFonts w:ascii="Arial" w:cs="Arial" w:eastAsia="Arial" w:hAnsi="Arial"/>
                <w:sz w:val="18"/>
                <w:szCs w:val="18"/>
                <w:color w:val="auto"/>
              </w:rPr>
              <w:t>Balance as of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137,961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150,276</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150,060</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and 2021, we had $138.0 million and $150.3 million, respectively, of unrecognized income tax benefits, all of which, if recognized, would affect our effective tax rate. Additions based on tax positions related to prior years in 2020 include amounts in our deferred tax assets previously considered contingent liabilities related to combined state filings with DISH Network Corporation (“DISH”) and its subsidiaries (together with DISH, “Dish Network”). During 2020, we and DISH Network concluded that combined state filings were no longer required. The amounts on this schedule have been reduced by $14.3 million without tax effect to reflect the change in filing status.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2021 and 2020, our income tax provision included an insignificant amount of interest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Charles W. Ergen, our Chairman, and certain entities established for the benefit of his family beneficially own all outstanding Class B common stock. There are no shares of Class C common stock outstanding.</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share of common stock is entitled to receive its pro rata share, based upon the number of shares of common stock held, of dividends and distributions upon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a stock repurchase program approved by our board of directors, we were authorized to repurchase up to $500.0 million of our Class A common stock through December 31, 2022. The following table presents information with respect to purchases made by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2"/>
                <w:szCs w:val="12"/>
                <w:color w:val="auto"/>
              </w:rPr>
            </w:pPr>
          </w:p>
        </w:tc>
        <w:tc>
          <w:tcPr>
            <w:tcW w:w="15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2"/>
                <w:szCs w:val="12"/>
                <w:color w:val="auto"/>
              </w:rPr>
            </w:pPr>
          </w:p>
        </w:tc>
        <w:tc>
          <w:tcPr>
            <w:tcW w:w="16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Per Share (or Unit)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Plans or Program (1)</w:t>
            </w: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1,905,906</w:t>
            </w:r>
          </w:p>
        </w:tc>
        <w:tc>
          <w:tcPr>
            <w:tcW w:w="100" w:type="dxa"/>
            <w:vAlign w:val="bottom"/>
          </w:tcPr>
          <w:p>
            <w:pPr>
              <w:spacing w:after="0"/>
              <w:rPr>
                <w:sz w:val="19"/>
                <w:szCs w:val="19"/>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1,905,906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10,941,872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3,980,612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3,980,612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16,828,390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80" w:firstLine="9"/>
        <w:spacing w:after="0" w:line="267" w:lineRule="auto"/>
        <w:tabs>
          <w:tab w:leader="none" w:pos="22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All shares repurchased reflected in the table above have been converted to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 employee stock purchase plan (the “ESPP”), under which we are authorized to issue 5.0 million shares of Class A common stock. As of December 31, 2022, we had approximately 0.7 million shares of Class A common stock which remain available for issuance under the ESPP. Generally, all full-time employees who have been employed by EchoStar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2022, 2021 and 2020, employee purchases of Class A common stock through the ESPP totaled approximately 580,000 shares, 446,000 shares and 452,000 shares,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We match 50 cents on the dollar for the first 6.0% of each employee’s salary contributions to the Plan for a total of 3.0% match on a pre-tax basis up to a maximum of $7,500 annually. Our match is calculated each pay period there is an employee contribution. In addition, we may make an annual discretionary contribution to the Plan to be made in cash or our stock. Our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matching contributions, discretionary contributions and shares: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Matching contributions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Fair value of discretionary contributions of our Class A common stock,</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1"/>
                <w:szCs w:val="11"/>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08"/>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net of forfeitures, under 401(k) plan</w:t>
            </w: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line="197" w:lineRule="exact"/>
              <w:rPr>
                <w:sz w:val="20"/>
                <w:szCs w:val="20"/>
                <w:color w:val="auto"/>
              </w:rPr>
            </w:pPr>
            <w:r>
              <w:rPr>
                <w:rFonts w:ascii="Arial" w:cs="Arial" w:eastAsia="Arial" w:hAnsi="Arial"/>
                <w:sz w:val="18"/>
                <w:szCs w:val="18"/>
                <w:color w:val="auto"/>
              </w:rPr>
              <w:t>Approximate number of shares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stock incentive plans to attract and retain officers, directors, employees, consultants and advisors. Stock awards under these plans may include both performance-based and non-performance-based stock incentives. As of December 31, 2022, we had outstanding stock options to acquire approximately 6.4 million shares of our Class A common stock under these plans. Stock options granted prior to December 31, 2022 were granted with exercise prices equal to or greater than the market value of our Class A common stock at the date of grant or the last trading day prior to the date of grant (if the grant date is not a trading day) and generally with a maximum term of ten years for our officers and employees and five years for our non-employee directors. While we generally issue stock awards subject to vesting, typically over five years, some stock awards have been granted with immediate or longer vesting periods or that vest only upon the achievement of certain performance objectives. Under these plans, we grant to certain of our employees awards of fully vested shares of Class A common stock under our Employee Innovator Recognition Program, which is available to all of our eligible employees. As of December 31, 2022, we had approximately 4.2 million shares of our Class A common stock available for future grant under our stock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following table presents our exercise prices for stock options outstanding and exercisable as of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rPr>
              <w:t>Options Exercisable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1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Exercise Price Range</w:t>
            </w:r>
          </w:p>
        </w:tc>
        <w:tc>
          <w:tcPr>
            <w:tcW w:w="12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Outstanding as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Exercise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 as of</w:t>
            </w: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$0.00 - $20.00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9"/>
              </w:rPr>
              <w:t>$20.01 - $25.00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290,000</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82,000</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$25.01 - $30.00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2,651,867</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400,267</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$30.01 - $35.00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414,914</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280,269</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$35.01 - $40.00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1,274,771</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885,056</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$40.01 - $45.00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861,303</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858,303</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$45.01 - $50.00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814,925</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786,110</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$50.01 - $55.00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43,142</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41,989</w:t>
            </w: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6,393,422</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3,358,994</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Activity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stock option activity: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Weighted-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57"/>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8"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rPr>
              <w:t>Average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57"/>
              <w:spacing w:after="0" w:line="14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1"/>
                <w:szCs w:val="11"/>
                <w:color w:val="auto"/>
              </w:rPr>
            </w:pP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w:t>
            </w:r>
          </w:p>
        </w:tc>
        <w:tc>
          <w:tcPr>
            <w:tcW w:w="13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Price</w:t>
            </w: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68"/>
        </w:trPr>
        <w:tc>
          <w:tcPr>
            <w:tcW w:w="24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Total options outstanding,</w:t>
            </w: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4,799,255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2,412,253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325,500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and 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options outstanding,</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6,393,422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4,799,255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end of period</w:t>
            </w: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Exercisable at end of period</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3,358,994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40.04</w:t>
            </w: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3,386,174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39.99</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3,045,000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additional share-based compensation disclosures: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benefits from stock options exercised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Aggregate intrinsic value of our stock options exercised</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160" w:type="dxa"/>
            <w:vAlign w:val="bottom"/>
          </w:tcPr>
          <w:p>
            <w:pPr>
              <w:jc w:val="right"/>
              <w:ind w:right="95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238</w:t>
            </w:r>
          </w:p>
        </w:tc>
        <w:tc>
          <w:tcPr>
            <w:tcW w:w="100" w:type="dxa"/>
            <w:vAlign w:val="bottom"/>
          </w:tcPr>
          <w:p>
            <w:pPr>
              <w:spacing w:after="0"/>
              <w:rPr>
                <w:sz w:val="17"/>
                <w:szCs w:val="17"/>
                <w:color w:val="auto"/>
              </w:rPr>
            </w:pPr>
          </w:p>
        </w:tc>
        <w:tc>
          <w:tcPr>
            <w:tcW w:w="560" w:type="dxa"/>
            <w:vAlign w:val="bottom"/>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The following table presents our total non-cash, stock-based compensation expense:</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5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8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29"/>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r>
      <w:tr>
        <w:trPr>
          <w:trHeight w:val="20"/>
        </w:trPr>
        <w:tc>
          <w:tcPr>
            <w:tcW w:w="5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income tax benefits related to stock-based compensation expense was $0.8 million, $1.5 million and $1.7 million for the years ended December 31, 2022, 2021 and 2020, respectively. As of December 31, 2022, total unrecognized stock-based compensation cost, net of estimated forfeitures, related to our unvested stock awards was $27.9 million. This amount is based on an estimated future forfeiture rate of 2.0% per year and will be recognized over a weighted-average period of approximately two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Stock Options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each stock option granted for the years ended December 31, 2022, 2021 and 2020 was estimated at the date of the grant using a Black-Scholes option valuation model. The following table presents the estimated grant-date fair values and related assumptions: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rPr>
              <w:t>For the years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Assumptions: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980" w:type="dxa"/>
            <w:vAlign w:val="bottom"/>
          </w:tcPr>
          <w:p>
            <w:pPr>
              <w:ind w:left="20"/>
              <w:spacing w:after="0"/>
              <w:rPr>
                <w:sz w:val="20"/>
                <w:szCs w:val="20"/>
                <w:color w:val="auto"/>
              </w:rPr>
            </w:pPr>
            <w:r>
              <w:rPr>
                <w:rFonts w:ascii="Arial" w:cs="Arial" w:eastAsia="Arial" w:hAnsi="Arial"/>
                <w:sz w:val="18"/>
                <w:szCs w:val="18"/>
                <w:color w:val="auto"/>
              </w:rPr>
              <w:t>- 4.02%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1000" w:type="dxa"/>
            <w:vAlign w:val="bottom"/>
          </w:tcPr>
          <w:p>
            <w:pPr>
              <w:ind w:left="20"/>
              <w:spacing w:after="0"/>
              <w:rPr>
                <w:sz w:val="20"/>
                <w:szCs w:val="20"/>
                <w:color w:val="auto"/>
              </w:rPr>
            </w:pPr>
            <w:r>
              <w:rPr>
                <w:rFonts w:ascii="Arial" w:cs="Arial" w:eastAsia="Arial" w:hAnsi="Arial"/>
                <w:sz w:val="18"/>
                <w:szCs w:val="18"/>
                <w:color w:val="auto"/>
              </w:rPr>
              <w:t>- 1.11%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1000" w:type="dxa"/>
            <w:vAlign w:val="bottom"/>
          </w:tcPr>
          <w:p>
            <w:pPr>
              <w:ind w:left="40"/>
              <w:spacing w:after="0"/>
              <w:rPr>
                <w:sz w:val="20"/>
                <w:szCs w:val="20"/>
                <w:color w:val="auto"/>
              </w:rPr>
            </w:pPr>
            <w:r>
              <w:rPr>
                <w:rFonts w:ascii="Arial" w:cs="Arial" w:eastAsia="Arial" w:hAnsi="Arial"/>
                <w:sz w:val="18"/>
                <w:szCs w:val="18"/>
                <w:color w:val="auto"/>
              </w:rPr>
              <w:t>- 1.72%</w:t>
            </w:r>
          </w:p>
        </w:tc>
      </w:tr>
      <w:tr>
        <w:trPr>
          <w:trHeight w:val="230"/>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- 34.84%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- 34.51%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- 30.07%</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Expected term of options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ind w:left="20"/>
              <w:spacing w:after="0"/>
              <w:rPr>
                <w:sz w:val="20"/>
                <w:szCs w:val="20"/>
                <w:color w:val="auto"/>
              </w:rPr>
            </w:pPr>
            <w:r>
              <w:rPr>
                <w:rFonts w:ascii="Arial" w:cs="Arial" w:eastAsia="Arial" w:hAnsi="Arial"/>
                <w:sz w:val="18"/>
                <w:szCs w:val="18"/>
                <w:color w:val="auto"/>
              </w:rPr>
              <w:t>- 6.0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ind w:left="20"/>
              <w:spacing w:after="0"/>
              <w:rPr>
                <w:sz w:val="20"/>
                <w:szCs w:val="20"/>
                <w:color w:val="auto"/>
              </w:rPr>
            </w:pPr>
            <w:r>
              <w:rPr>
                <w:rFonts w:ascii="Arial" w:cs="Arial" w:eastAsia="Arial" w:hAnsi="Arial"/>
                <w:sz w:val="18"/>
                <w:szCs w:val="18"/>
                <w:color w:val="auto"/>
              </w:rPr>
              <w:t>- 5.9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ind w:left="40"/>
              <w:spacing w:after="0"/>
              <w:rPr>
                <w:sz w:val="20"/>
                <w:szCs w:val="20"/>
                <w:color w:val="auto"/>
              </w:rPr>
            </w:pPr>
            <w:r>
              <w:rPr>
                <w:rFonts w:ascii="Arial" w:cs="Arial" w:eastAsia="Arial" w:hAnsi="Arial"/>
                <w:sz w:val="18"/>
                <w:szCs w:val="18"/>
                <w:color w:val="auto"/>
              </w:rPr>
              <w:t>- 5.9</w:t>
            </w:r>
          </w:p>
        </w:tc>
      </w:tr>
      <w:tr>
        <w:trPr>
          <w:trHeight w:val="229"/>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grant-date fair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$9.27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$8.32</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$6.56 - $11.63</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on our common stock and accordingly, the dividend yield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that determined using other valuation models. Further, the Black-Scholes option valuation model requires the input of subjective assumptions. Changes in the subjective input assumptions can materially affect the fair value estimate.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closing market price of our Class A common stock on December 31, 2022, the aggregate intrinsic value of our stock options was $0.0 million for options outstanding and $0.0 million for options exercisable as of December 31, 2022.</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61" w:lineRule="auto"/>
        <w:rPr>
          <w:sz w:val="20"/>
          <w:szCs w:val="20"/>
          <w:color w:val="auto"/>
        </w:rPr>
      </w:pPr>
      <w:r>
        <w:rPr>
          <w:rFonts w:ascii="Arial" w:cs="Arial" w:eastAsia="Arial" w:hAnsi="Arial"/>
          <w:sz w:val="18"/>
          <w:szCs w:val="18"/>
          <w:color w:val="auto"/>
        </w:rPr>
        <w:t>Stock”), representing an 80% economic interest in the residential retail satellite broadband business of our Hughes segment, in exchange for 100% of the equity interests of certain EchoStar subsidiaries that held substantially all of our EchoStar Technologies businesses and certain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(collectively, the “Share Exchange”). The Tracking Stock was retired in March 2017.</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Network and our former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33,884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7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As of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3,492</w:t>
            </w: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IX satellite. We terminated the provision of this satellite capacity in December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8" w:name="page119"/>
    <w:bookmarkEnd w:id="118"/>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w:t>
      </w:r>
    </w:p>
    <w:p>
      <w:pPr>
        <w:jc w:val="both"/>
        <w:spacing w:after="0" w:line="260" w:lineRule="auto"/>
        <w:rPr>
          <w:sz w:val="20"/>
          <w:szCs w:val="20"/>
          <w:color w:val="auto"/>
        </w:rPr>
      </w:pPr>
      <w:r>
        <w:rPr>
          <w:rFonts w:ascii="Arial" w:cs="Arial" w:eastAsia="Arial" w:hAnsi="Arial"/>
          <w:sz w:val="18"/>
          <w:szCs w:val="18"/>
          <w:color w:val="auto"/>
        </w:rPr>
        <w:t>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3" w:lineRule="exact"/>
        <w:rPr>
          <w:sz w:val="20"/>
          <w:szCs w:val="20"/>
          <w:color w:val="auto"/>
        </w:rPr>
      </w:pPr>
    </w:p>
    <w:p>
      <w:pPr>
        <w:jc w:val="both"/>
        <w:ind w:left="660" w:hanging="328"/>
        <w:spacing w:after="0"/>
        <w:tabs>
          <w:tab w:leader="none" w:pos="6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to use certain of our space at 100 Inverness Terrace East, Englewood, Colorado for an initial period ending in December 2020. We and DISH Network have amended this lease over time to, among other things, extend the term through December 2023. This agreement may be terminated by either party upon 180 days’ prior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2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2023.</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7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99"/>
              </w:rPr>
              <w:t>As of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w:t>
      </w:r>
    </w:p>
    <w:p>
      <w:pPr>
        <w:jc w:val="both"/>
        <w:spacing w:after="0" w:line="226" w:lineRule="auto"/>
        <w:rPr>
          <w:sz w:val="20"/>
          <w:szCs w:val="20"/>
          <w:color w:val="auto"/>
        </w:rPr>
      </w:pPr>
      <w:r>
        <w:rPr>
          <w:rFonts w:ascii="Arial" w:cs="Arial" w:eastAsia="Arial" w:hAnsi="Arial"/>
          <w:sz w:val="18"/>
          <w:szCs w:val="18"/>
          <w:color w:val="auto"/>
        </w:rPr>
        <w:t>following locations: Cheyenne, Wyoming; Gilbert, Arizona; New Braunfels, Texas; Monee, Illinois; Spokane, Washington; and Englewood, Colorado. In October 2019, we provided a termination notice for our New Braunfels, Texas agreement effective May 2020. In November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both"/>
        <w:ind w:right="20"/>
        <w:spacing w:after="0"/>
        <w:rPr>
          <w:sz w:val="20"/>
          <w:szCs w:val="20"/>
          <w:color w:val="auto"/>
        </w:rPr>
      </w:pPr>
      <w:r>
        <w:rPr>
          <w:rFonts w:ascii="Arial" w:cs="Arial" w:eastAsia="Arial" w:hAnsi="Arial"/>
          <w:sz w:val="18"/>
          <w:szCs w:val="18"/>
          <w:color w:val="auto"/>
        </w:rPr>
        <w:t>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w:t>
      </w:r>
    </w:p>
    <w:p>
      <w:pPr>
        <w:spacing w:after="0" w:line="2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March 2021, we entered into additional agreements pursuant to which DISH Network provides us with antenna space and power in Cheyenne, Wyoming, and the right to use an antenna and certain space in Gilbert, Arizona. Both agreements are for a period of five years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with four three-year renewal terms, with prior written notice of renewal required no more than 120 days but no less than 90 days prior to the end of the then-current term.</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$6.8 million, $8.4 million and $16.6 million for the years ended December 31, 2022, 2021 and 2020, respectively.</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In September 2022, we exercised the option to renew the 2019 TT&amp;C Agreement until September 2023.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Whidbey Island 5G Network Test Bed Subcontract</w:t>
      </w:r>
      <w:r>
        <w:rPr>
          <w:rFonts w:ascii="Arial" w:cs="Arial" w:eastAsia="Arial" w:hAnsi="Arial"/>
          <w:sz w:val="18"/>
          <w:szCs w:val="18"/>
          <w:color w:val="auto"/>
        </w:rPr>
        <w:t>. In June 2022, we and DISH Wireless entered into a subcontract (“DISH Subcontract”)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DISH will provide access and use of a DISH lab, technical support and integration and testing support for the 5G network test bed to be delivered by Hughes to its customer.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receivables owed from DISH Network:</w:t>
      </w:r>
    </w:p>
    <w:p>
      <w:pPr>
        <w:spacing w:after="0" w:line="109"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 current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Other receivables - DISH Network, noncurrent</w:t>
            </w: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74,923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77,920</w:t>
            </w:r>
          </w:p>
        </w:tc>
      </w:tr>
      <w:tr>
        <w:trPr>
          <w:trHeight w:val="20"/>
        </w:trPr>
        <w:tc>
          <w:tcPr>
            <w:tcW w:w="7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2" w:name="page123"/>
    <w:bookmarkEnd w:id="122"/>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2022, we have recorded a decrease to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for $6.3 million for payments received from DISH Network.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51" w:lineRule="auto"/>
        <w:rPr>
          <w:sz w:val="20"/>
          <w:szCs w:val="20"/>
          <w:color w:val="auto"/>
        </w:rPr>
      </w:pPr>
      <w:r>
        <w:rPr>
          <w:rFonts w:ascii="Arial" w:cs="Arial" w:eastAsia="Arial" w:hAnsi="Arial"/>
          <w:sz w:val="18"/>
          <w:szCs w:val="18"/>
          <w:color w:val="auto"/>
        </w:rPr>
        <w:t>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24" w:name="page125"/>
    <w:bookmarkEnd w:id="124"/>
    <w:p>
      <w:pPr>
        <w:jc w:val="both"/>
        <w:spacing w:after="0" w:line="254" w:lineRule="auto"/>
        <w:rPr>
          <w:sz w:val="20"/>
          <w:szCs w:val="20"/>
          <w:color w:val="auto"/>
        </w:rPr>
      </w:pPr>
      <w:r>
        <w:rPr>
          <w:rFonts w:ascii="Arial" w:cs="Arial" w:eastAsia="Arial" w:hAnsi="Arial"/>
          <w:sz w:val="18"/>
          <w:szCs w:val="18"/>
          <w:color w:val="auto"/>
        </w:rPr>
        <w:t>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December 31, 2022.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TerreStar Solutions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$2.0 million, $1.9 million and $4.4 million for the years ended December 31, 2022, 2021 and 2020, respectively. As of December 31, 2022 we had $0.5 million of trade accounts receivable from TSI.</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21.</w:t>
        <w:tab/>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2"/>
          </w:tcPr>
          <w:p>
            <w:pPr>
              <w:ind w:left="20"/>
              <w:spacing w:after="0"/>
              <w:rPr>
                <w:sz w:val="20"/>
                <w:szCs w:val="20"/>
                <w:color w:val="auto"/>
              </w:rPr>
            </w:pPr>
            <w:r>
              <w:rPr>
                <w:rFonts w:ascii="Arial" w:cs="Arial" w:eastAsia="Arial" w:hAnsi="Arial"/>
                <w:sz w:val="16"/>
                <w:szCs w:val="16"/>
                <w:b w:val="1"/>
                <w:bCs w:val="1"/>
                <w:color w:val="auto"/>
              </w:rPr>
              <w:t>Payments Due in the Years Ending December 31,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2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5"/>
              <w:spacing w:after="0" w:line="212" w:lineRule="exact"/>
              <w:rPr>
                <w:sz w:val="20"/>
                <w:szCs w:val="20"/>
                <w:color w:val="auto"/>
              </w:rPr>
            </w:pPr>
            <w:r>
              <w:rPr>
                <w:rFonts w:ascii="Arial" w:cs="Arial" w:eastAsia="Arial" w:hAnsi="Arial"/>
                <w:sz w:val="24"/>
                <w:szCs w:val="24"/>
                <w:b w:val="1"/>
                <w:bCs w:val="1"/>
                <w:color w:val="auto"/>
                <w:vertAlign w:val="subscript"/>
              </w:rPr>
              <w:t>Total</w:t>
            </w:r>
            <w:r>
              <w:rPr>
                <w:rFonts w:ascii="Arial" w:cs="Arial" w:eastAsia="Arial" w:hAnsi="Arial"/>
                <w:sz w:val="9"/>
                <w:szCs w:val="9"/>
                <w:b w:val="1"/>
                <w:bCs w:val="1"/>
                <w:color w:val="auto"/>
              </w:rPr>
              <w:t xml:space="preserve"> (4)(5)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09"/>
        </w:trPr>
        <w:tc>
          <w:tcPr>
            <w:tcW w:w="2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1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356,252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9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Satellite-related commitments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38,091</w:t>
            </w:r>
          </w:p>
        </w:tc>
      </w:tr>
      <w:tr>
        <w:trPr>
          <w:trHeight w:val="216"/>
        </w:trPr>
        <w:tc>
          <w:tcPr>
            <w:tcW w:w="2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201,625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23,180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97,740</w:t>
            </w:r>
          </w:p>
        </w:tc>
      </w:tr>
      <w:tr>
        <w:trPr>
          <w:trHeight w:val="227"/>
        </w:trPr>
        <w:tc>
          <w:tcPr>
            <w:tcW w:w="2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2,227,129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174,986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1,624,989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135,831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Assumes all long-term debt is outstanding until scheduled maturity.</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2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payments pursuant to: i) the EchoStar XXIV launch contract, ii) regulatory authorizations, iii) non-lease costs associated with our finance lease satellites, iv) in-orbit incentives relating to certain satellites and v) commitments for satellite service arrangements.</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Operating leases consist primarily of leases for office space, data centers and satellite-related ground infrastructure.</w:t>
      </w:r>
    </w:p>
    <w:p>
      <w:pPr>
        <w:spacing w:after="0" w:line="14" w:lineRule="exact"/>
        <w:rPr>
          <w:rFonts w:ascii="Arial" w:cs="Arial" w:eastAsia="Arial" w:hAnsi="Arial"/>
          <w:sz w:val="14"/>
          <w:szCs w:val="14"/>
          <w:color w:val="auto"/>
        </w:rPr>
      </w:pPr>
    </w:p>
    <w:p>
      <w:pPr>
        <w:ind w:left="340" w:hanging="332"/>
        <w:spacing w:after="0" w:line="261" w:lineRule="auto"/>
        <w:tabs>
          <w:tab w:leader="none" w:pos="2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table excludes amounts related to deferred tax liabilities, unrecognized tax positions and certain other amounts recorded in our non-current liabilities as the timing of any payments is uncertain.</w:t>
      </w: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table excludes long-term deferred revenue and other long-term liabilities that do not require future cash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26" w:name="page127"/>
    <w:bookmarkEnd w:id="126"/>
    <w:p>
      <w:pPr>
        <w:jc w:val="both"/>
        <w:spacing w:after="0" w:line="252" w:lineRule="auto"/>
        <w:rPr>
          <w:sz w:val="20"/>
          <w:szCs w:val="20"/>
          <w:color w:val="auto"/>
        </w:rPr>
      </w:pPr>
      <w:r>
        <w:rPr>
          <w:rFonts w:ascii="Arial" w:cs="Arial" w:eastAsia="Arial" w:hAnsi="Arial"/>
          <w:sz w:val="18"/>
          <w:szCs w:val="18"/>
          <w:color w:val="auto"/>
        </w:rPr>
        <w:t>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5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our subsidiary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controlling stockholder, breached fiduciary duties to EchoStar’s minority stockholders by structuring the BSS Transaction with inadequate consideration and improperly influencing our and HSSC’s boards of directors to approve the BSS Transaction. The amended complaint also</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18"/>
          <w:szCs w:val="18"/>
          <w:color w:val="auto"/>
        </w:rPr>
        <w:t>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In an order dated October 24, 2022, the Court granted plaintiff’s unopposed motion to approve the class distribution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March 31, 2021 and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99"/>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license fees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Payments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r>
      <w:tr>
        <w:trPr>
          <w:trHeight w:val="22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accrual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80,662</w:t>
            </w: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long-term accrual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29" w:name="page130"/>
    <w:bookmarkEnd w:id="129"/>
    <w:p>
      <w:pPr>
        <w:spacing w:after="0"/>
        <w:tabs>
          <w:tab w:leader="none" w:pos="980" w:val="left"/>
        </w:tabs>
        <w:rPr>
          <w:sz w:val="20"/>
          <w:szCs w:val="20"/>
          <w:color w:val="auto"/>
        </w:rPr>
      </w:pPr>
      <w:r>
        <w:rPr>
          <w:rFonts w:ascii="Arial" w:cs="Arial" w:eastAsia="Arial" w:hAnsi="Arial"/>
          <w:sz w:val="18"/>
          <w:szCs w:val="18"/>
          <w:b w:val="1"/>
          <w:bCs w:val="1"/>
          <w:color w:val="auto"/>
        </w:rPr>
        <w:t>NOTE 22.</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2022</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1,966,587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19,132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12,374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1,998,093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1,966,587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1,998,093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239,403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86,488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325,891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732,929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707,617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17,295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296,303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142,127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438,430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781,824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702,541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16,237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10,836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408,798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727,608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616,875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(39,982)</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491,329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525,011</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702,541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0" w:name="page131"/>
    <w:bookmarkEnd w:id="130"/>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total long-lived assets attributed to the North America, South and Central America and other foreign locations: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2,933,559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2,959,316</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267,429</w:t>
            </w:r>
          </w:p>
        </w:tc>
      </w:tr>
      <w:tr>
        <w:trPr>
          <w:trHeight w:val="229"/>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106,376</w:t>
            </w:r>
          </w:p>
        </w:tc>
      </w:tr>
      <w:tr>
        <w:trPr>
          <w:trHeight w:val="24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3,333,121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31,777</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29,448</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incurred advertising expense of $69.0 million, $82.4 million and $65.1 million for the years ended December 31, 2022,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reconciles cash and cash equivalents and restricted cash, as presented in the Consolidated Balance Sheets to the total of the same as presented in the Consolidated Statements of Cash Flows:</w:t>
      </w: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and cash equivalents, including restricted amounts,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535,894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896,005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1,519,431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168"/>
        </w:trPr>
        <w:tc>
          <w:tcPr>
            <w:tcW w:w="5740" w:type="dxa"/>
            <w:vAlign w:val="bottom"/>
          </w:tcPr>
          <w:p>
            <w:pPr>
              <w:ind w:left="340"/>
              <w:spacing w:after="0" w:line="168" w:lineRule="exact"/>
              <w:rPr>
                <w:sz w:val="20"/>
                <w:szCs w:val="20"/>
                <w:color w:val="auto"/>
              </w:rPr>
            </w:pPr>
            <w:r>
              <w:rPr>
                <w:rFonts w:ascii="Arial" w:cs="Arial" w:eastAsia="Arial" w:hAnsi="Arial"/>
                <w:sz w:val="18"/>
                <w:szCs w:val="18"/>
                <w:color w:val="auto"/>
              </w:rPr>
              <w:t>Total cash and cash equivalents, included restricted amounts,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536,874</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896,812</w:t>
            </w:r>
          </w:p>
        </w:tc>
        <w:tc>
          <w:tcPr>
            <w:tcW w:w="120" w:type="dxa"/>
            <w:vAlign w:val="bottom"/>
          </w:tcPr>
          <w:p>
            <w:pPr>
              <w:spacing w:after="0"/>
              <w:rPr>
                <w:sz w:val="14"/>
                <w:szCs w:val="14"/>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1,521,889</w:t>
            </w:r>
          </w:p>
        </w:tc>
        <w:tc>
          <w:tcPr>
            <w:tcW w:w="0" w:type="dxa"/>
            <w:vAlign w:val="bottom"/>
          </w:tcPr>
          <w:p>
            <w:pPr>
              <w:spacing w:after="0"/>
              <w:rPr>
                <w:sz w:val="1"/>
                <w:szCs w:val="1"/>
                <w:color w:val="auto"/>
              </w:rPr>
            </w:pPr>
          </w:p>
        </w:tc>
      </w:tr>
      <w:tr>
        <w:trPr>
          <w:trHeight w:val="208"/>
        </w:trPr>
        <w:tc>
          <w:tcPr>
            <w:tcW w:w="5740" w:type="dxa"/>
            <w:vAlign w:val="bottom"/>
          </w:tcPr>
          <w:p>
            <w:pPr>
              <w:ind w:left="340"/>
              <w:spacing w:after="0" w:line="203" w:lineRule="exact"/>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Cash and cash equivalents, including restricted amounts, end of</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340"/>
              <w:spacing w:after="0" w:line="168" w:lineRule="exact"/>
              <w:rPr>
                <w:sz w:val="20"/>
                <w:szCs w:val="20"/>
                <w:color w:val="auto"/>
              </w:rPr>
            </w:pPr>
            <w:r>
              <w:rPr>
                <w:rFonts w:ascii="Arial" w:cs="Arial" w:eastAsia="Arial" w:hAnsi="Arial"/>
                <w:sz w:val="18"/>
                <w:szCs w:val="18"/>
                <w:color w:val="auto"/>
              </w:rPr>
              <w:t>Total cash and cash equivalents, included restricted amounts, end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705,883</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536,874</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896,812</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of period</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Current Assets, Net and Other Non-current Assets, Net</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96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123,606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103,084</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deposits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57,287</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4,244</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116,841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124,701</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77,920</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non-current assets,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activity in our allowance for doubtful accounts, which is included within Other, net in each of Other current assets, net and Other non-current assets, net in the table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For the years ended December 31,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1193"/>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173"/>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current</w:t>
            </w:r>
          </w:p>
        </w:tc>
        <w:tc>
          <w:tcPr>
            <w:tcW w:w="200" w:type="dxa"/>
            <w:vAlign w:val="bottom"/>
          </w:tcPr>
          <w:p>
            <w:pPr>
              <w:spacing w:after="0"/>
              <w:rPr>
                <w:sz w:val="13"/>
                <w:szCs w:val="13"/>
                <w:color w:val="auto"/>
              </w:rPr>
            </w:pPr>
          </w:p>
        </w:tc>
        <w:tc>
          <w:tcPr>
            <w:tcW w:w="1300" w:type="dxa"/>
            <w:vAlign w:val="bottom"/>
          </w:tcPr>
          <w:p>
            <w:pPr>
              <w:jc w:val="center"/>
              <w:ind w:right="53"/>
              <w:spacing w:after="0" w:line="155" w:lineRule="exact"/>
              <w:rPr>
                <w:sz w:val="20"/>
                <w:szCs w:val="20"/>
                <w:color w:val="auto"/>
              </w:rPr>
            </w:pPr>
            <w:r>
              <w:rPr>
                <w:rFonts w:ascii="Arial" w:cs="Arial" w:eastAsia="Arial" w:hAnsi="Arial"/>
                <w:sz w:val="16"/>
                <w:szCs w:val="16"/>
                <w:b w:val="1"/>
                <w:bCs w:val="1"/>
                <w:color w:val="auto"/>
              </w:rPr>
              <w:t>Other non-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 current</w:t>
            </w:r>
          </w:p>
        </w:tc>
        <w:tc>
          <w:tcPr>
            <w:tcW w:w="140" w:type="dxa"/>
            <w:vAlign w:val="bottom"/>
          </w:tcPr>
          <w:p>
            <w:pPr>
              <w:spacing w:after="0"/>
              <w:rPr>
                <w:sz w:val="13"/>
                <w:szCs w:val="13"/>
                <w:color w:val="auto"/>
              </w:rPr>
            </w:pPr>
          </w:p>
        </w:tc>
        <w:tc>
          <w:tcPr>
            <w:tcW w:w="1280" w:type="dxa"/>
            <w:vAlign w:val="bottom"/>
          </w:tcPr>
          <w:p>
            <w:pPr>
              <w:jc w:val="center"/>
              <w:ind w:right="53"/>
              <w:spacing w:after="0" w:line="155" w:lineRule="exact"/>
              <w:rPr>
                <w:sz w:val="20"/>
                <w:szCs w:val="20"/>
                <w:color w:val="auto"/>
              </w:rPr>
            </w:pPr>
            <w:r>
              <w:rPr>
                <w:rFonts w:ascii="Arial" w:cs="Arial" w:eastAsia="Arial" w:hAnsi="Arial"/>
                <w:sz w:val="16"/>
                <w:szCs w:val="16"/>
                <w:b w:val="1"/>
                <w:bCs w:val="1"/>
                <w:color w:val="auto"/>
              </w:rPr>
              <w:t>Other non-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current</w:t>
            </w:r>
          </w:p>
        </w:tc>
        <w:tc>
          <w:tcPr>
            <w:tcW w:w="120" w:type="dxa"/>
            <w:vAlign w:val="bottom"/>
          </w:tcPr>
          <w:p>
            <w:pPr>
              <w:spacing w:after="0"/>
              <w:rPr>
                <w:sz w:val="13"/>
                <w:szCs w:val="13"/>
                <w:color w:val="auto"/>
              </w:rPr>
            </w:pPr>
          </w:p>
        </w:tc>
        <w:tc>
          <w:tcPr>
            <w:tcW w:w="1300" w:type="dxa"/>
            <w:vAlign w:val="bottom"/>
          </w:tcPr>
          <w:p>
            <w:pPr>
              <w:jc w:val="center"/>
              <w:ind w:right="33"/>
              <w:spacing w:after="0" w:line="155" w:lineRule="exact"/>
              <w:rPr>
                <w:sz w:val="20"/>
                <w:szCs w:val="20"/>
                <w:color w:val="auto"/>
              </w:rPr>
            </w:pPr>
            <w:r>
              <w:rPr>
                <w:rFonts w:ascii="Arial" w:cs="Arial" w:eastAsia="Arial" w:hAnsi="Arial"/>
                <w:sz w:val="16"/>
                <w:szCs w:val="16"/>
                <w:b w:val="1"/>
                <w:bCs w:val="1"/>
                <w:color w:val="auto"/>
              </w:rPr>
              <w:t>Other non-</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current 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rPr>
              <w:t>current assets,</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assets, net</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9"/>
              </w:rPr>
              <w:t>net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assets, net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9"/>
              </w:rPr>
              <w:t>net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assets, net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Balance at beginning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of period</w:t>
            </w:r>
          </w:p>
        </w:tc>
        <w:tc>
          <w:tcPr>
            <w:tcW w:w="1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40"/>
              <w:spacing w:after="0" w:line="230" w:lineRule="exact"/>
              <w:rPr>
                <w:sz w:val="20"/>
                <w:szCs w:val="20"/>
                <w:color w:val="auto"/>
              </w:rPr>
            </w:pPr>
            <w:r>
              <w:rPr>
                <w:rFonts w:ascii="Arial" w:cs="Arial" w:eastAsia="Arial" w:hAnsi="Arial"/>
                <w:sz w:val="16"/>
                <w:szCs w:val="16"/>
                <w:color w:val="auto"/>
              </w:rPr>
              <w:t xml:space="preserve">Credit losses </w:t>
            </w:r>
            <w:r>
              <w:rPr>
                <w:rFonts w:ascii="Arial" w:cs="Arial" w:eastAsia="Arial" w:hAnsi="Arial"/>
                <w:sz w:val="21"/>
                <w:szCs w:val="21"/>
                <w:color w:val="auto"/>
                <w:vertAlign w:val="superscript"/>
              </w:rPr>
              <w:t>(1)</w:t>
            </w:r>
          </w:p>
        </w:tc>
        <w:tc>
          <w:tcPr>
            <w:tcW w:w="16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40"/>
              <w:spacing w:after="0" w:line="178" w:lineRule="exact"/>
              <w:rPr>
                <w:sz w:val="20"/>
                <w:szCs w:val="20"/>
                <w:color w:val="auto"/>
              </w:rPr>
            </w:pPr>
            <w:r>
              <w:rPr>
                <w:rFonts w:ascii="Arial" w:cs="Arial" w:eastAsia="Arial" w:hAnsi="Arial"/>
                <w:sz w:val="16"/>
                <w:szCs w:val="16"/>
                <w:color w:val="auto"/>
              </w:rPr>
              <w:t>Foreign currency</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w:t>
            </w: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Deductions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28" w:lineRule="auto"/>
        <w:tabs>
          <w:tab w:leader="none" w:pos="23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56,337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63,935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57,292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Inventory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activity related to our capitalized software cost:</w:t>
      </w:r>
    </w:p>
    <w:p>
      <w:pPr>
        <w:spacing w:after="0" w:line="27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91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8540"/>
        <w:spacing w:after="0"/>
        <w:tabs>
          <w:tab w:leader="none" w:pos="102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externally marketed software</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Externally marketed software under development and not yet placed into service</w:t>
            </w: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26,924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57,357</w:t>
            </w:r>
          </w:p>
        </w:tc>
      </w:tr>
      <w:tr>
        <w:trPr>
          <w:trHeight w:val="21"/>
        </w:trPr>
        <w:tc>
          <w:tcPr>
            <w:tcW w:w="7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Capitalized costs related to development of externally marketed</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23,105</w:t>
            </w:r>
          </w:p>
        </w:tc>
        <w:tc>
          <w:tcPr>
            <w:tcW w:w="100" w:type="dxa"/>
            <w:vAlign w:val="bottom"/>
            <w:vMerge w:val="restart"/>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software</w:t>
            </w: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Amortization expense relating to externally marketed software</w:t>
            </w:r>
          </w:p>
        </w:tc>
        <w:tc>
          <w:tcPr>
            <w:tcW w:w="1100" w:type="dxa"/>
            <w:vAlign w:val="bottom"/>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30,965</w:t>
            </w:r>
          </w:p>
        </w:tc>
        <w:tc>
          <w:tcPr>
            <w:tcW w:w="50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25,288</w:t>
            </w:r>
          </w:p>
        </w:tc>
        <w:tc>
          <w:tcPr>
            <w:tcW w:w="120" w:type="dxa"/>
            <w:vAlign w:val="bottom"/>
          </w:tcPr>
          <w:p>
            <w:pPr>
              <w:spacing w:after="0"/>
              <w:rPr>
                <w:sz w:val="17"/>
                <w:szCs w:val="17"/>
                <w:color w:val="auto"/>
              </w:rPr>
            </w:pP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23,780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Employee benefits paid in Class A common stock</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Increase (decrease) in capital expenditures included in accounts</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payable, net</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ind w:left="120"/>
              <w:spacing w:after="0" w:line="203" w:lineRule="exact"/>
              <w:rPr>
                <w:sz w:val="20"/>
                <w:szCs w:val="20"/>
                <w:color w:val="auto"/>
              </w:rPr>
            </w:pPr>
            <w:r>
              <w:rPr>
                <w:rFonts w:ascii="Arial" w:cs="Arial" w:eastAsia="Arial" w:hAnsi="Arial"/>
                <w:sz w:val="18"/>
                <w:szCs w:val="18"/>
                <w:color w:val="auto"/>
              </w:rPr>
              <w:t>Non-cash net assets received as part of the India JV formation</w:t>
            </w:r>
          </w:p>
        </w:tc>
        <w:tc>
          <w:tcPr>
            <w:tcW w:w="1080" w:type="dxa"/>
            <w:vAlign w:val="bottom"/>
          </w:tcPr>
          <w:p>
            <w:pPr>
              <w:jc w:val="right"/>
              <w:ind w:right="87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36,701</w:t>
            </w:r>
          </w:p>
        </w:tc>
        <w:tc>
          <w:tcPr>
            <w:tcW w:w="10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ECHOSTAR CORPORATION AND SUBSIDIARIES</w:t>
            </w:r>
          </w:p>
        </w:tc>
      </w:tr>
      <w:tr>
        <w:trPr>
          <w:trHeight w:val="459"/>
        </w:trPr>
        <w:tc>
          <w:tcPr>
            <w:tcW w:w="4100" w:type="dxa"/>
            <w:vAlign w:val="bottom"/>
          </w:tcPr>
          <w:p>
            <w:pPr>
              <w:spacing w:after="0"/>
              <w:rPr>
                <w:sz w:val="24"/>
                <w:szCs w:val="24"/>
                <w:color w:val="auto"/>
              </w:rPr>
            </w:pPr>
          </w:p>
        </w:tc>
        <w:tc>
          <w:tcPr>
            <w:tcW w:w="710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99"/>
              </w:rPr>
              <w:t>LIST OF SUBSIDIARIES</w:t>
            </w:r>
          </w:p>
        </w:tc>
      </w:tr>
      <w:tr>
        <w:trPr>
          <w:trHeight w:val="459"/>
        </w:trPr>
        <w:tc>
          <w:tcPr>
            <w:tcW w:w="4100" w:type="dxa"/>
            <w:vAlign w:val="bottom"/>
          </w:tcPr>
          <w:p>
            <w:pPr>
              <w:spacing w:after="0"/>
              <w:rPr>
                <w:sz w:val="24"/>
                <w:szCs w:val="24"/>
                <w:color w:val="auto"/>
              </w:rPr>
            </w:pPr>
          </w:p>
        </w:tc>
        <w:tc>
          <w:tcPr>
            <w:tcW w:w="7100" w:type="dxa"/>
            <w:vAlign w:val="bottom"/>
            <w:gridSpan w:val="3"/>
          </w:tcPr>
          <w:p>
            <w:pPr>
              <w:jc w:val="center"/>
              <w:ind w:right="4010"/>
              <w:spacing w:after="0"/>
              <w:rPr>
                <w:sz w:val="20"/>
                <w:szCs w:val="20"/>
                <w:color w:val="auto"/>
              </w:rPr>
            </w:pPr>
            <w:r>
              <w:rPr>
                <w:rFonts w:ascii="Arial" w:cs="Arial" w:eastAsia="Arial" w:hAnsi="Arial"/>
                <w:sz w:val="18"/>
                <w:szCs w:val="18"/>
                <w:b w:val="1"/>
                <w:bCs w:val="1"/>
                <w:color w:val="auto"/>
                <w:w w:val="99"/>
              </w:rPr>
              <w:t>As of December 31, 2022</w:t>
            </w:r>
          </w:p>
        </w:tc>
      </w:tr>
      <w:tr>
        <w:trPr>
          <w:trHeight w:val="56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Entity</w:t>
            </w:r>
          </w:p>
        </w:tc>
        <w:tc>
          <w:tcPr>
            <w:tcW w:w="1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State or Country of Incorporation</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Hughes Satellite Systems Corporation</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Hughes Communications, Inc.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Hughes Network Systems, LLC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EchoStar XXIV L.L.C.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EchoStar Orbital L.L.C.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EchoStar Mexico Holdings Corporation</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EchoStar Corporation L.L.C.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Sawatch Limited</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EchoStar Mobile Limited</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HNS Participacoes e Empreendimentos, Ltda</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HNS de Mexico S.A. de C.V.</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220"/>
          </w:cols>
          <w:pgMar w:left="340" w:top="88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the registration statements (Nos. 333-218658, 333-218657, 333-162339, 333-148416) on Form S-8 of our report dated February 22, 2023, with respect to the consolidated financial statements of EchoStar Corporation and the effectiveness of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886"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2022,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7"/>
                <w:szCs w:val="17"/>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7"/>
                <w:szCs w:val="17"/>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5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W. Ergen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8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Pradman P. Kaul</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Stanton Dodge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Dugan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Michael T. Dugan</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8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 Hershman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Lisa W. Hershman</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R. Tarr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 Michael Schroeder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8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David Wade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22, 2023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ectPr>
          <w:pgSz w:w="11900" w:h="16838" w:orient="portrait"/>
          <w:cols w:equalWidth="0" w:num="1">
            <w:col w:w="11240"/>
          </w:cols>
          <w:pgMar w:left="320" w:top="88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22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firstLine="8"/>
        <w:spacing w:after="0" w:line="261" w:lineRule="auto"/>
        <w:tabs>
          <w:tab w:leader="none" w:pos="3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602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5"/>
        </w:trPr>
        <w:tc>
          <w:tcPr>
            <w:tcW w:w="8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ectPr>
          <w:pgSz w:w="11900" w:h="16838" w:orient="portrait"/>
          <w:cols w:equalWidth="0" w:num="1">
            <w:col w:w="11240"/>
          </w:cols>
          <w:pgMar w:left="320" w:top="886"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for the year ended December 31, 2022 on Form 10-K (the “Annual Report”), of EchoStar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ind w:left="660" w:hanging="328"/>
        <w:spacing w:after="0" w:line="261" w:lineRule="auto"/>
        <w:tabs>
          <w:tab w:leader="none" w:pos="7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8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4"/>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5"/>
        </w:trPr>
        <w:tc>
          <w:tcPr>
            <w:tcW w:w="9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Twelve Months Ended December 31, 2022</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February 22, 2023—</w:t>
      </w:r>
      <w:r>
        <w:rPr>
          <w:rFonts w:ascii="Arial" w:cs="Arial" w:eastAsia="Arial" w:hAnsi="Arial"/>
          <w:sz w:val="18"/>
          <w:szCs w:val="18"/>
          <w:color w:val="auto"/>
        </w:rPr>
        <w:t>EchoStar Corporation (NASDAQ: SATS) announced its financial results for the three and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2022 Financial Highlights:</w:t>
      </w:r>
    </w:p>
    <w:p>
      <w:pPr>
        <w:spacing w:after="0" w:line="27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revenue of $499.9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income of $47.6 million, consolidated net income attributable to EchoStar common stock of $49.3 million, and basic and diluted earnings per share of common stock of $0.59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Adjusted EBITDA of $163.6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December 31, 2022 Financial Highlights:</w:t>
      </w:r>
    </w:p>
    <w:p>
      <w:pPr>
        <w:spacing w:after="0" w:line="27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revenue of $2.0 billion.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income of $166.5 million, consolidated net income attributable to EchoStar common stock of $177.1 million, and basic and diluted earnings per share of common stock of $2.10.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Adjusted EBITDA of $656.0 million (see discussion and the reconciliation of GAAP to this non-GAAP measure below).</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EchoStar team finished 2022 with a solid performance, continuing to optimize operations and asset yields,” said Hamid Akhavan, CEO and President of EchoStar. “In the near term, we remain focused on operating the business in an efficient manner and preparing for the launch of our upcoming EchoStar XXIV/JUPITER 3 satellite as a catalyst for new growth. We have also made tangible strides toward expanding our future capabilities as we begin construction on a global S-band mobile satellite service network.”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2022 - Additional Information:</w:t>
      </w:r>
    </w:p>
    <w:p>
      <w:pPr>
        <w:spacing w:after="0" w:line="274" w:lineRule="exact"/>
        <w:rPr>
          <w:sz w:val="20"/>
          <w:szCs w:val="20"/>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Consolidated revenue increased year over year. Higher equipment sales of $33.1 million to our domestic and international enterprise customers was offset by lower service revenues of $31.9 million, primarily due to lower broadband consumer customers.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increased 2.5% or $4.0 million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Hughes segment Adjusted EBITDA increased $4.2 million year over year. The increase was driven primarily by lower sales and marketing expense for our broadband consumer business.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ESS segment Adjusted EBITDA increased $2.1 million year over year primarily due to higher revenue.</w:t>
      </w:r>
    </w:p>
    <w:p>
      <w:pPr>
        <w:spacing w:after="0" w:line="144"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$2.3 million year over year. The decrease was primarily due to higher corporate expenses, partially offset by higher earnings of unconsolidated affiliates, net, of $1.3 million.</w:t>
      </w:r>
    </w:p>
    <w:p>
      <w:pPr>
        <w:spacing w:after="0" w:line="10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income increased $127.7 million year over year. The increase was primarily due to higher operating income of $16.0 million, a favorable change in net interest expense of $17.0 million, a favorable change in investments of $42.5 million, and $55.3 million related to the impairment of our Dish Mexico equity investment that occurred in 2021. These items were partially offset by higher net income tax expense of $12.7 million.</w:t>
      </w:r>
    </w:p>
    <w:p>
      <w:pPr>
        <w:spacing w:after="0" w:line="1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1,228,000, declining 57,000 from September 30, 2022. Our current capacity limitations and increased competitive pressures are impacting our consumer subscriber levels. In Latin America, subscriber levels were also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impacted by adverse economic conditions and capacity allocation to community WiFi and enterprise opportunities.</w:t>
      </w:r>
    </w:p>
    <w:p>
      <w:pPr>
        <w:spacing w:after="0" w:line="131" w:lineRule="exact"/>
        <w:rPr>
          <w:sz w:val="20"/>
          <w:szCs w:val="20"/>
          <w:color w:val="auto"/>
        </w:rPr>
      </w:pPr>
    </w:p>
    <w:p>
      <w:pPr>
        <w:jc w:val="both"/>
        <w:ind w:left="6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three months ended December 31, 2022, approximately 42% of Hughes segment revenue was attributable to our enterprise customers, increasing from 35% in the same period last year. The increase supports our strong focus on our enterprise business and diversification objectives.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$1.7 billion as of December 31, 2022.</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Jupiter 3/EchoStar XXIV satellite is expected to be launched during the second quarter of 2023.</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for the three and twelve months ended December 31, 2022 and 2021 (amounts in thousands) (all US GAAP amounts reference results from operations):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7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the twelve months ended</w:t>
            </w: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27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79"/>
        </w:trPr>
        <w:tc>
          <w:tcPr>
            <w:tcW w:w="5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491,075</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491,154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1,966,587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1,956,226</w:t>
            </w:r>
          </w:p>
        </w:tc>
        <w:tc>
          <w:tcPr>
            <w:tcW w:w="0" w:type="dxa"/>
            <w:vAlign w:val="bottom"/>
          </w:tcPr>
          <w:p>
            <w:pPr>
              <w:spacing w:after="0"/>
              <w:rPr>
                <w:sz w:val="1"/>
                <w:szCs w:val="1"/>
                <w:color w:val="auto"/>
              </w:rPr>
            </w:pPr>
          </w:p>
        </w:tc>
      </w:tr>
      <w:tr>
        <w:trPr>
          <w:trHeight w:val="270"/>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20,533</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70"/>
        </w:trPr>
        <w:tc>
          <w:tcPr>
            <w:tcW w:w="54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23"/>
        </w:trPr>
        <w:tc>
          <w:tcPr>
            <w:tcW w:w="54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1,998,093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1,985,720</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182,467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178,218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726,752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790,469</w:t>
            </w:r>
          </w:p>
        </w:tc>
        <w:tc>
          <w:tcPr>
            <w:tcW w:w="0" w:type="dxa"/>
            <w:vAlign w:val="bottom"/>
          </w:tcPr>
          <w:p>
            <w:pPr>
              <w:spacing w:after="0"/>
              <w:rPr>
                <w:sz w:val="1"/>
                <w:szCs w:val="1"/>
                <w:color w:val="auto"/>
              </w:rPr>
            </w:pPr>
          </w:p>
        </w:tc>
      </w:tr>
      <w:tr>
        <w:trPr>
          <w:trHeight w:val="270"/>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14,416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546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(24,235)</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(86,502)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(82,615)</w:t>
            </w:r>
          </w:p>
        </w:tc>
        <w:tc>
          <w:tcPr>
            <w:tcW w:w="0" w:type="dxa"/>
            <w:vAlign w:val="bottom"/>
          </w:tcPr>
          <w:p>
            <w:pPr>
              <w:spacing w:after="0"/>
              <w:rPr>
                <w:sz w:val="1"/>
                <w:szCs w:val="1"/>
                <w:color w:val="auto"/>
              </w:rPr>
            </w:pPr>
          </w:p>
        </w:tc>
      </w:tr>
      <w:tr>
        <w:trPr>
          <w:trHeight w:val="270"/>
        </w:trPr>
        <w:tc>
          <w:tcPr>
            <w:tcW w:w="5460" w:type="dxa"/>
            <w:vAlign w:val="bottom"/>
          </w:tcPr>
          <w:p>
            <w:pPr>
              <w:ind w:left="460"/>
              <w:spacing w:after="0"/>
              <w:rPr>
                <w:sz w:val="20"/>
                <w:szCs w:val="20"/>
                <w:color w:val="auto"/>
              </w:rPr>
            </w:pPr>
            <w:r>
              <w:rPr>
                <w:rFonts w:ascii="Arial" w:cs="Arial" w:eastAsia="Arial" w:hAnsi="Arial"/>
                <w:sz w:val="18"/>
                <w:szCs w:val="18"/>
                <w:color w:val="auto"/>
              </w:rPr>
              <w:t>Equity in earnings (losses) of unconsolidated affiliates, net</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50"/>
        </w:trPr>
        <w:tc>
          <w:tcPr>
            <w:tcW w:w="546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(80,723)</w:t>
            </w:r>
          </w:p>
        </w:tc>
        <w:tc>
          <w:tcPr>
            <w:tcW w:w="0" w:type="dxa"/>
            <w:vAlign w:val="bottom"/>
          </w:tcPr>
          <w:p>
            <w:pPr>
              <w:spacing w:after="0"/>
              <w:rPr>
                <w:sz w:val="1"/>
                <w:szCs w:val="1"/>
                <w:color w:val="auto"/>
              </w:rPr>
            </w:pPr>
          </w:p>
        </w:tc>
      </w:tr>
      <w:tr>
        <w:trPr>
          <w:trHeight w:val="223"/>
        </w:trPr>
        <w:tc>
          <w:tcPr>
            <w:tcW w:w="546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166,548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438,430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06"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6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twelve months ended</w:t>
            </w:r>
          </w:p>
        </w:tc>
      </w:tr>
      <w:tr>
        <w:trPr>
          <w:trHeight w:val="241"/>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479"/>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47,580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(80,083)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166,548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62,721</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(22,801)</w:t>
            </w: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95,512</w:t>
            </w: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65,626</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491,329</w:t>
            </w: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r>
      <w:tr>
        <w:trPr>
          <w:trHeight w:val="250"/>
        </w:trPr>
        <w:tc>
          <w:tcPr>
            <w:tcW w:w="5460" w:type="dxa"/>
            <w:vAlign w:val="bottom"/>
          </w:tcPr>
          <w:p>
            <w:pPr>
              <w:ind w:left="46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167,874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707,617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702,541</w:t>
            </w:r>
          </w:p>
        </w:tc>
      </w:tr>
      <w:tr>
        <w:trPr>
          <w:trHeight w:val="270"/>
        </w:trPr>
        <w:tc>
          <w:tcPr>
            <w:tcW w:w="546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(69,531)</w:t>
            </w: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Impairment loss on equity method investment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55,266</w:t>
            </w: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Litigation Expense</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16,800</w:t>
            </w:r>
          </w:p>
        </w:tc>
      </w:tr>
      <w:tr>
        <w:trPr>
          <w:trHeight w:val="270"/>
        </w:trPr>
        <w:tc>
          <w:tcPr>
            <w:tcW w:w="546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Loss on Debt Repurchase</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70"/>
        </w:trPr>
        <w:tc>
          <w:tcPr>
            <w:tcW w:w="546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12,613</w:t>
            </w:r>
          </w:p>
        </w:tc>
      </w:tr>
      <w:tr>
        <w:trPr>
          <w:trHeight w:val="223"/>
        </w:trPr>
        <w:tc>
          <w:tcPr>
            <w:tcW w:w="546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718,931</w:t>
            </w:r>
          </w:p>
        </w:tc>
      </w:tr>
      <w:tr>
        <w:trPr>
          <w:trHeight w:val="21"/>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December 31, 2022 are attached to this press release. Detailed financial data and other information are available in EchoStar’s Annual Report on Form 10-K for the period ended December 31, 2022 filed today with the Securities and Exchange Commission.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EchoStar will host a conference call to discuss its earnings on Thursday, February 23, 2023 at 1:00 p.m. Eastern Time. The conference call will be broadcast live in listen-only mode on EchoStar’s investor relations website at ir.echostar.com. To participate via telephone and ask a</w:t>
      </w:r>
    </w:p>
    <w:p>
      <w:pPr>
        <w:spacing w:after="0" w:line="1" w:lineRule="exact"/>
        <w:rPr>
          <w:sz w:val="20"/>
          <w:szCs w:val="20"/>
          <w:color w:val="auto"/>
        </w:rPr>
      </w:pPr>
    </w:p>
    <w:p>
      <w:pPr>
        <w:spacing w:after="0"/>
        <w:tabs>
          <w:tab w:leader="none" w:pos="1440" w:val="left"/>
          <w:tab w:leader="none" w:pos="3080" w:val="left"/>
          <w:tab w:leader="none" w:pos="4180" w:val="left"/>
          <w:tab w:leader="none" w:pos="5500" w:val="left"/>
          <w:tab w:leader="none" w:pos="6660" w:val="left"/>
          <w:tab w:leader="none" w:pos="7580" w:val="left"/>
          <w:tab w:leader="none" w:pos="8780" w:val="left"/>
          <w:tab w:leader="none" w:pos="9860" w:val="left"/>
          <w:tab w:leader="none" w:pos="11020" w:val="left"/>
        </w:tabs>
        <w:rPr>
          <w:sz w:val="20"/>
          <w:szCs w:val="20"/>
          <w:color w:val="auto"/>
        </w:rPr>
      </w:pPr>
      <w:r>
        <w:rPr>
          <w:rFonts w:ascii="Arial" w:cs="Arial" w:eastAsia="Arial" w:hAnsi="Arial"/>
          <w:sz w:val="18"/>
          <w:szCs w:val="18"/>
          <w:color w:val="auto"/>
        </w:rPr>
        <w:t>question,</w:t>
      </w:r>
      <w:r>
        <w:rPr>
          <w:sz w:val="20"/>
          <w:szCs w:val="20"/>
          <w:color w:val="auto"/>
        </w:rPr>
        <w:tab/>
      </w:r>
      <w:r>
        <w:rPr>
          <w:rFonts w:ascii="Arial" w:cs="Arial" w:eastAsia="Arial" w:hAnsi="Arial"/>
          <w:sz w:val="18"/>
          <w:szCs w:val="18"/>
          <w:color w:val="auto"/>
        </w:rPr>
        <w:t>participants</w:t>
      </w:r>
      <w:r>
        <w:rPr>
          <w:sz w:val="20"/>
          <w:szCs w:val="20"/>
          <w:color w:val="auto"/>
        </w:rPr>
        <w:tab/>
      </w:r>
      <w:r>
        <w:rPr>
          <w:rFonts w:ascii="Arial" w:cs="Arial" w:eastAsia="Arial" w:hAnsi="Arial"/>
          <w:sz w:val="18"/>
          <w:szCs w:val="18"/>
          <w:color w:val="auto"/>
        </w:rPr>
        <w:t>must</w:t>
      </w:r>
      <w:r>
        <w:rPr>
          <w:sz w:val="20"/>
          <w:szCs w:val="20"/>
          <w:color w:val="auto"/>
        </w:rPr>
        <w:tab/>
      </w:r>
      <w:r>
        <w:rPr>
          <w:rFonts w:ascii="Arial" w:cs="Arial" w:eastAsia="Arial" w:hAnsi="Arial"/>
          <w:sz w:val="18"/>
          <w:szCs w:val="18"/>
          <w:color w:val="auto"/>
        </w:rPr>
        <w:t>register</w:t>
      </w:r>
      <w:r>
        <w:rPr>
          <w:sz w:val="20"/>
          <w:szCs w:val="20"/>
          <w:color w:val="auto"/>
        </w:rPr>
        <w:tab/>
      </w:r>
      <w:r>
        <w:rPr>
          <w:rFonts w:ascii="Arial" w:cs="Arial" w:eastAsia="Arial" w:hAnsi="Arial"/>
          <w:sz w:val="18"/>
          <w:szCs w:val="18"/>
          <w:color w:val="auto"/>
        </w:rPr>
        <w:t>using</w:t>
      </w:r>
      <w:r>
        <w:rPr>
          <w:sz w:val="20"/>
          <w:szCs w:val="20"/>
          <w:color w:val="auto"/>
        </w:rPr>
        <w:tab/>
      </w:r>
      <w:r>
        <w:rPr>
          <w:rFonts w:ascii="Arial" w:cs="Arial" w:eastAsia="Arial" w:hAnsi="Arial"/>
          <w:sz w:val="18"/>
          <w:szCs w:val="18"/>
          <w:color w:val="auto"/>
        </w:rPr>
        <w:t>an</w:t>
      </w:r>
      <w:r>
        <w:rPr>
          <w:sz w:val="20"/>
          <w:szCs w:val="20"/>
          <w:color w:val="auto"/>
        </w:rPr>
        <w:tab/>
      </w:r>
      <w:r>
        <w:rPr>
          <w:rFonts w:ascii="Arial" w:cs="Arial" w:eastAsia="Arial" w:hAnsi="Arial"/>
          <w:sz w:val="18"/>
          <w:szCs w:val="18"/>
          <w:color w:val="auto"/>
        </w:rPr>
        <w:t>online</w:t>
      </w:r>
      <w:r>
        <w:rPr>
          <w:sz w:val="20"/>
          <w:szCs w:val="20"/>
          <w:color w:val="auto"/>
        </w:rPr>
        <w:tab/>
      </w:r>
      <w:r>
        <w:rPr>
          <w:rFonts w:ascii="Arial" w:cs="Arial" w:eastAsia="Arial" w:hAnsi="Arial"/>
          <w:sz w:val="18"/>
          <w:szCs w:val="18"/>
          <w:color w:val="auto"/>
        </w:rPr>
        <w:t>form</w:t>
      </w:r>
      <w:r>
        <w:rPr>
          <w:sz w:val="20"/>
          <w:szCs w:val="20"/>
          <w:color w:val="auto"/>
        </w:rPr>
        <w:tab/>
      </w:r>
      <w:r>
        <w:rPr>
          <w:rFonts w:ascii="Arial" w:cs="Arial" w:eastAsia="Arial" w:hAnsi="Arial"/>
          <w:sz w:val="18"/>
          <w:szCs w:val="18"/>
          <w:color w:val="auto"/>
        </w:rPr>
        <w:t>found</w:t>
      </w:r>
      <w:r>
        <w:rPr>
          <w:sz w:val="20"/>
          <w:szCs w:val="20"/>
          <w:color w:val="auto"/>
        </w:rPr>
        <w:tab/>
      </w:r>
      <w:r>
        <w:rPr>
          <w:rFonts w:ascii="Arial" w:cs="Arial" w:eastAsia="Arial" w:hAnsi="Arial"/>
          <w:sz w:val="17"/>
          <w:szCs w:val="17"/>
          <w:color w:val="auto"/>
        </w:rPr>
        <w:t>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https://register.vevent.com/register/BIa7c9b243b8424fd3af6e63301e48fac6.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06"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2022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1170" w:right="339" w:bottom="1440" w:gutter="0" w:footer="0" w:header="0"/>
        </w:sectPr>
      </w:pP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106"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170" w:right="33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2"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704,541</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535,894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973,915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1,010,496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236,479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182,063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210,446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198,444</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2,125,381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1,926,897</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2,237,617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2,338,285</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151,518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149,198</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532,491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511,086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462,531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469,766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13,984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297,747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317,062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4,073,622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4,118,307</w:t>
            </w:r>
          </w:p>
        </w:tc>
        <w:tc>
          <w:tcPr>
            <w:tcW w:w="0" w:type="dxa"/>
            <w:vAlign w:val="bottom"/>
          </w:tcPr>
          <w:p>
            <w:pPr>
              <w:spacing w:after="0"/>
              <w:rPr>
                <w:sz w:val="1"/>
                <w:szCs w:val="1"/>
                <w:color w:val="auto"/>
              </w:rPr>
            </w:pPr>
          </w:p>
        </w:tc>
      </w:tr>
      <w:tr>
        <w:trPr>
          <w:trHeight w:val="209"/>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6,199,003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101,239</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109,338</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121,739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141,343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422,831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460,123</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1,496,777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1,495,994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424,621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403,684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135,932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134,897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119,787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136,426</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2,177,117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2,171,001</w:t>
            </w:r>
          </w:p>
        </w:tc>
        <w:tc>
          <w:tcPr>
            <w:tcW w:w="0" w:type="dxa"/>
            <w:vAlign w:val="bottom"/>
          </w:tcPr>
          <w:p>
            <w:pPr>
              <w:spacing w:after="0"/>
              <w:rPr>
                <w:sz w:val="1"/>
                <w:szCs w:val="1"/>
                <w:color w:val="auto"/>
              </w:rPr>
            </w:pPr>
          </w:p>
        </w:tc>
      </w:tr>
      <w:tr>
        <w:trPr>
          <w:trHeight w:val="213"/>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2,599,948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2,631,124</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220"/>
          </w:cols>
          <w:pgMar w:left="34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40" w:top="684" w:right="339" w:bottom="1440" w:gutter="0" w:footer="0" w:header="0"/>
          <w:type w:val="continuous"/>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3"/>
        </w:trPr>
        <w:tc>
          <w:tcPr>
            <w:tcW w:w="7440" w:type="dxa"/>
            <w:vAlign w:val="bottom"/>
          </w:tcPr>
          <w:p>
            <w:pPr>
              <w:ind w:left="200"/>
              <w:spacing w:after="0"/>
              <w:rPr>
                <w:sz w:val="20"/>
                <w:szCs w:val="20"/>
                <w:color w:val="auto"/>
              </w:rPr>
            </w:pPr>
            <w:r>
              <w:rPr>
                <w:rFonts w:ascii="Arial" w:cs="Arial" w:eastAsia="Arial" w:hAnsi="Arial"/>
                <w:sz w:val="16"/>
                <w:szCs w:val="16"/>
                <w:color w:val="auto"/>
              </w:rPr>
              <w:t>Preferred stock, $0.001 par value, 20,000,000 shares authorized, none issued and outstanding at</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1"/>
        </w:trPr>
        <w:tc>
          <w:tcPr>
            <w:tcW w:w="7440" w:type="dxa"/>
            <w:vAlign w:val="bottom"/>
          </w:tcPr>
          <w:p>
            <w:pPr>
              <w:ind w:left="200"/>
              <w:spacing w:after="0"/>
              <w:rPr>
                <w:sz w:val="20"/>
                <w:szCs w:val="20"/>
                <w:color w:val="auto"/>
              </w:rPr>
            </w:pPr>
            <w:r>
              <w:rPr>
                <w:rFonts w:ascii="Arial" w:cs="Arial" w:eastAsia="Arial" w:hAnsi="Arial"/>
                <w:sz w:val="16"/>
                <w:szCs w:val="16"/>
                <w:color w:val="auto"/>
              </w:rPr>
              <w:t>both December 31, 2022 and December 31, 2021</w:t>
            </w:r>
          </w:p>
        </w:tc>
        <w:tc>
          <w:tcPr>
            <w:tcW w:w="5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77"/>
        </w:trPr>
        <w:tc>
          <w:tcPr>
            <w:tcW w:w="7440" w:type="dxa"/>
            <w:vAlign w:val="bottom"/>
          </w:tcPr>
          <w:p>
            <w:pPr>
              <w:ind w:left="460"/>
              <w:spacing w:after="0" w:line="178" w:lineRule="exact"/>
              <w:rPr>
                <w:sz w:val="20"/>
                <w:szCs w:val="20"/>
                <w:color w:val="auto"/>
              </w:rPr>
            </w:pPr>
            <w:r>
              <w:rPr>
                <w:rFonts w:ascii="Arial" w:cs="Arial" w:eastAsia="Arial" w:hAnsi="Arial"/>
                <w:sz w:val="16"/>
                <w:szCs w:val="16"/>
                <w:color w:val="auto"/>
              </w:rPr>
              <w:t>Class A common stock, $0.001 par value, 1,600,000,000 shares authorized, 58,604,927 shares</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7440" w:type="dxa"/>
            <w:vAlign w:val="bottom"/>
          </w:tcPr>
          <w:p>
            <w:pPr>
              <w:ind w:left="460"/>
              <w:spacing w:after="0" w:line="162" w:lineRule="exact"/>
              <w:rPr>
                <w:sz w:val="20"/>
                <w:szCs w:val="20"/>
                <w:color w:val="auto"/>
              </w:rPr>
            </w:pPr>
            <w:r>
              <w:rPr>
                <w:rFonts w:ascii="Arial" w:cs="Arial" w:eastAsia="Arial" w:hAnsi="Arial"/>
                <w:sz w:val="16"/>
                <w:szCs w:val="16"/>
                <w:color w:val="auto"/>
              </w:rPr>
              <w:t>issued and 35,291,616 shares outstanding at December 31, 2022 and 58,059,622 shares</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5"/>
        </w:trPr>
        <w:tc>
          <w:tcPr>
            <w:tcW w:w="7440" w:type="dxa"/>
            <w:vAlign w:val="bottom"/>
          </w:tcPr>
          <w:p>
            <w:pPr>
              <w:ind w:left="460"/>
              <w:spacing w:after="0"/>
              <w:rPr>
                <w:sz w:val="20"/>
                <w:szCs w:val="20"/>
                <w:color w:val="auto"/>
              </w:rPr>
            </w:pPr>
            <w:r>
              <w:rPr>
                <w:rFonts w:ascii="Arial" w:cs="Arial" w:eastAsia="Arial" w:hAnsi="Arial"/>
                <w:sz w:val="16"/>
                <w:szCs w:val="16"/>
                <w:color w:val="auto"/>
              </w:rPr>
              <w:t>issued and 38,726,923 shares outstanding at December 31, 2021</w:t>
            </w:r>
          </w:p>
        </w:tc>
        <w:tc>
          <w:tcPr>
            <w:tcW w:w="5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3"/>
        </w:trPr>
        <w:tc>
          <w:tcPr>
            <w:tcW w:w="744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7440" w:type="dxa"/>
            <w:vAlign w:val="bottom"/>
          </w:tcPr>
          <w:p>
            <w:pPr>
              <w:ind w:left="460"/>
              <w:spacing w:after="0"/>
              <w:rPr>
                <w:sz w:val="20"/>
                <w:szCs w:val="20"/>
                <w:color w:val="auto"/>
              </w:rPr>
            </w:pPr>
            <w:r>
              <w:rPr>
                <w:rFonts w:ascii="Arial" w:cs="Arial" w:eastAsia="Arial" w:hAnsi="Arial"/>
                <w:sz w:val="16"/>
                <w:szCs w:val="16"/>
                <w:color w:val="auto"/>
              </w:rPr>
              <w:t>47,687,039 shares issued and outstanding at both December 31, 2022 and December 31, 2021</w:t>
            </w:r>
          </w:p>
        </w:tc>
        <w:tc>
          <w:tcPr>
            <w:tcW w:w="5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744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7440" w:type="dxa"/>
            <w:vAlign w:val="bottom"/>
          </w:tcPr>
          <w:p>
            <w:pPr>
              <w:ind w:left="460"/>
              <w:spacing w:after="0"/>
              <w:rPr>
                <w:sz w:val="20"/>
                <w:szCs w:val="20"/>
                <w:color w:val="auto"/>
              </w:rPr>
            </w:pPr>
            <w:r>
              <w:rPr>
                <w:rFonts w:ascii="Arial" w:cs="Arial" w:eastAsia="Arial" w:hAnsi="Arial"/>
                <w:sz w:val="16"/>
                <w:szCs w:val="16"/>
                <w:color w:val="auto"/>
              </w:rPr>
              <w:t>issued and outstanding at both December 31, 2022 and December 31, 2021</w:t>
            </w:r>
          </w:p>
        </w:tc>
        <w:tc>
          <w:tcPr>
            <w:tcW w:w="5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44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7440" w:type="dxa"/>
            <w:vAlign w:val="bottom"/>
          </w:tcPr>
          <w:p>
            <w:pPr>
              <w:ind w:left="460"/>
              <w:spacing w:after="0"/>
              <w:rPr>
                <w:sz w:val="20"/>
                <w:szCs w:val="20"/>
                <w:color w:val="auto"/>
              </w:rPr>
            </w:pPr>
            <w:r>
              <w:rPr>
                <w:rFonts w:ascii="Arial" w:cs="Arial" w:eastAsia="Arial" w:hAnsi="Arial"/>
                <w:sz w:val="16"/>
                <w:szCs w:val="16"/>
                <w:color w:val="auto"/>
              </w:rPr>
              <w:t>outstanding at both December 31, 2022 and December 31, 2021</w:t>
            </w:r>
          </w:p>
        </w:tc>
        <w:tc>
          <w:tcPr>
            <w:tcW w:w="5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3,367,058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3,345,878</w:t>
            </w:r>
          </w:p>
        </w:tc>
      </w:tr>
      <w:tr>
        <w:trPr>
          <w:trHeight w:val="216"/>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(172,239)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(212,102)</w:t>
            </w:r>
          </w:p>
        </w:tc>
      </w:tr>
      <w:tr>
        <w:trPr>
          <w:trHeight w:val="216"/>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833,517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656,466</w:t>
            </w:r>
          </w:p>
        </w:tc>
      </w:tr>
      <w:tr>
        <w:trPr>
          <w:trHeight w:val="183"/>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shares, at cost, 23,313,311 and 19,332,699 shares at December 31, 2022 and 2021,</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744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(525,824)</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(436,521)</w:t>
            </w:r>
          </w:p>
        </w:tc>
      </w:tr>
      <w:tr>
        <w:trPr>
          <w:trHeight w:val="210"/>
        </w:trPr>
        <w:tc>
          <w:tcPr>
            <w:tcW w:w="744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3,502,619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3,353,827</w:t>
            </w:r>
          </w:p>
        </w:tc>
      </w:tr>
      <w:tr>
        <w:trPr>
          <w:trHeight w:val="216"/>
        </w:trPr>
        <w:tc>
          <w:tcPr>
            <w:tcW w:w="74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96,436</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60,253</w:t>
            </w:r>
          </w:p>
        </w:tc>
      </w:tr>
      <w:tr>
        <w:trPr>
          <w:trHeight w:val="209"/>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3,599,055</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3,414,080</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6,199,003</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r>
      <w:tr>
        <w:trPr>
          <w:trHeight w:val="23"/>
        </w:trPr>
        <w:tc>
          <w:tcPr>
            <w:tcW w:w="7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84" w:right="33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8"/>
                <w:szCs w:val="18"/>
                <w:b w:val="1"/>
                <w:bCs w:val="1"/>
                <w:color w:val="auto"/>
              </w:rPr>
              <w:t>For the years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60"/>
        </w:trPr>
        <w:tc>
          <w:tcPr>
            <w:tcW w:w="51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1,623,931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1,715,287</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1,682,304</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374,162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270,433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205,603</w:t>
            </w:r>
          </w:p>
        </w:tc>
        <w:tc>
          <w:tcPr>
            <w:tcW w:w="0" w:type="dxa"/>
            <w:vAlign w:val="bottom"/>
          </w:tcPr>
          <w:p>
            <w:pPr>
              <w:spacing w:after="0"/>
              <w:rPr>
                <w:sz w:val="1"/>
                <w:szCs w:val="1"/>
                <w:color w:val="auto"/>
              </w:rPr>
            </w:pPr>
          </w:p>
        </w:tc>
      </w:tr>
      <w:tr>
        <w:trPr>
          <w:trHeight w:val="210"/>
        </w:trPr>
        <w:tc>
          <w:tcPr>
            <w:tcW w:w="518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1,998,093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1,985,720</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569,755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551,679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577,943</w:t>
            </w: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292,318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231,975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166,435</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455,234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461,705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474,912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32,810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29,448</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457,621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525,011</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09"/>
        </w:trPr>
        <w:tc>
          <w:tcPr>
            <w:tcW w:w="518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1,808,449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1,768,710</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1,775,434</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6"/>
                <w:szCs w:val="16"/>
                <w:color w:val="auto"/>
              </w:rPr>
              <w:t>Operating income (loss)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189,644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217,010</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112,473</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50,900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39,982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(57,170)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(95,512)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(147,927)</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47,107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69,531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(31,306)</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Other-than-temporary impairment losses on equity method</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4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518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43,579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(140,308)</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233,223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128,347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(27,835)</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(65,626)</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(24,069)</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Net income (loss)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166,548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(51,904)</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11,754</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177,051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72,875</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(40,150)</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51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1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684" w:right="35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460"/>
        </w:trPr>
        <w:tc>
          <w:tcPr>
            <w:tcW w:w="51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166,548</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(51,904)</w:t>
            </w:r>
          </w:p>
        </w:tc>
      </w:tr>
      <w:tr>
        <w:trPr>
          <w:trHeight w:val="168"/>
        </w:trPr>
        <w:tc>
          <w:tcPr>
            <w:tcW w:w="518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Adjustments to reconcile net income (loss) to cash flows</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b w:val="1"/>
                <w:bCs w:val="1"/>
                <w:color w:val="auto"/>
              </w:rPr>
              <w:t>provided by (used for) operating activities: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1"/>
        </w:trPr>
        <w:tc>
          <w:tcPr>
            <w:tcW w:w="518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457,621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525,011</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Impairment of long-lived assets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1,685</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Losses (gains) on investments,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(47,107)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(69,531)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31,306</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7,267</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(6,015)</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Deferred tax provision (benefit),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21,430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18,147</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8,887</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4,324</w:t>
            </w:r>
          </w:p>
        </w:tc>
      </w:tr>
      <w:tr>
        <w:trPr>
          <w:trHeight w:val="194"/>
        </w:trPr>
        <w:tc>
          <w:tcPr>
            <w:tcW w:w="5180" w:type="dxa"/>
            <w:vAlign w:val="bottom"/>
          </w:tcPr>
          <w:p>
            <w:pPr>
              <w:ind w:left="440"/>
              <w:spacing w:after="0" w:line="195" w:lineRule="exact"/>
              <w:rPr>
                <w:sz w:val="20"/>
                <w:szCs w:val="20"/>
                <w:color w:val="auto"/>
              </w:rPr>
            </w:pPr>
            <w:r>
              <w:rPr>
                <w:rFonts w:ascii="Arial" w:cs="Arial" w:eastAsia="Arial" w:hAnsi="Arial"/>
                <w:sz w:val="18"/>
                <w:szCs w:val="18"/>
                <w:color w:val="auto"/>
              </w:rPr>
              <w:t>Other-than-temporary impairment losses on equity</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5180" w:type="dxa"/>
            <w:vAlign w:val="bottom"/>
          </w:tcPr>
          <w:p>
            <w:pPr>
              <w:ind w:left="440"/>
              <w:spacing w:after="0"/>
              <w:rPr>
                <w:sz w:val="20"/>
                <w:szCs w:val="20"/>
                <w:color w:val="auto"/>
              </w:rPr>
            </w:pPr>
            <w:r>
              <w:rPr>
                <w:rFonts w:ascii="Arial" w:cs="Arial" w:eastAsia="Arial" w:hAnsi="Arial"/>
                <w:sz w:val="18"/>
                <w:szCs w:val="18"/>
                <w:color w:val="auto"/>
              </w:rPr>
              <w:t>method investments</w:t>
            </w:r>
          </w:p>
        </w:tc>
        <w:tc>
          <w:tcPr>
            <w:tcW w:w="4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ind w:left="460"/>
              <w:spacing w:after="0"/>
              <w:rPr>
                <w:sz w:val="20"/>
                <w:szCs w:val="20"/>
                <w:color w:val="auto"/>
              </w:rPr>
            </w:pPr>
            <w:r>
              <w:rPr>
                <w:rFonts w:ascii="Arial" w:cs="Arial" w:eastAsia="Arial" w:hAnsi="Arial"/>
                <w:sz w:val="16"/>
                <w:szCs w:val="16"/>
                <w:color w:val="auto"/>
              </w:rPr>
              <w:t>Other,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(12,501)</w:t>
            </w:r>
          </w:p>
        </w:tc>
      </w:tr>
      <w:tr>
        <w:trPr>
          <w:trHeight w:val="216"/>
        </w:trPr>
        <w:tc>
          <w:tcPr>
            <w:tcW w:w="5180" w:type="dxa"/>
            <w:vAlign w:val="bottom"/>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(50,959)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2,237</w:t>
            </w: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Other current assets,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(12,984)</w:t>
            </w: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Trade accounts payable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(12,339)</w:t>
            </w: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Contract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(19,604)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36,774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3,509</w:t>
            </w: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42,822</w:t>
            </w:r>
          </w:p>
        </w:tc>
      </w:tr>
      <w:tr>
        <w:trPr>
          <w:trHeight w:val="216"/>
        </w:trPr>
        <w:tc>
          <w:tcPr>
            <w:tcW w:w="5180" w:type="dxa"/>
            <w:vAlign w:val="bottom"/>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80,012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(15,064)</w:t>
            </w:r>
          </w:p>
        </w:tc>
      </w:tr>
      <w:tr>
        <w:trPr>
          <w:trHeight w:val="210"/>
        </w:trPr>
        <w:tc>
          <w:tcPr>
            <w:tcW w:w="518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529,605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534,388</w:t>
            </w:r>
          </w:p>
        </w:tc>
      </w:tr>
      <w:tr>
        <w:trPr>
          <w:trHeight w:val="466"/>
        </w:trPr>
        <w:tc>
          <w:tcPr>
            <w:tcW w:w="51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(1,067,461)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(1,651,608)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(2,799,838)</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1,136,594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2,321,560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2,110,336</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(325,891)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(438,430)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(408,798)</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(23,105)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(33,543)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(38,655)</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India JV formation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Sale of unconsolidated affiliate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(275,185)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684" w:right="3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52" w:lineRule="exact"/>
        <w:rPr>
          <w:sz w:val="20"/>
          <w:szCs w:val="20"/>
          <w:color w:val="auto"/>
        </w:rPr>
      </w:pPr>
    </w:p>
    <w:p>
      <w:pPr>
        <w:ind w:left="200" w:right="1040"/>
        <w:spacing w:after="0" w:line="281" w:lineRule="auto"/>
        <w:rPr>
          <w:sz w:val="20"/>
          <w:szCs w:val="20"/>
          <w:color w:val="auto"/>
        </w:rPr>
      </w:pPr>
      <w:r>
        <w:rPr>
          <w:rFonts w:ascii="Arial" w:cs="Arial" w:eastAsia="Arial" w:hAnsi="Arial"/>
          <w:sz w:val="16"/>
          <w:szCs w:val="16"/>
          <w:color w:val="auto"/>
        </w:rPr>
        <w:t>Repurchase and maturity of the 2021 Senior Unsecured Notes Payment of finance lease obligations Payment of in-orbit incentive obligations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Proceeds from Class A common stock options exercised</w:t>
      </w:r>
    </w:p>
    <w:p>
      <w:pPr>
        <w:spacing w:after="0" w:line="32" w:lineRule="exact"/>
        <w:rPr>
          <w:sz w:val="20"/>
          <w:szCs w:val="20"/>
          <w:color w:val="auto"/>
        </w:rPr>
      </w:pPr>
    </w:p>
    <w:p>
      <w:pPr>
        <w:ind w:left="200" w:right="760"/>
        <w:spacing w:after="0" w:line="232" w:lineRule="auto"/>
        <w:rPr>
          <w:sz w:val="20"/>
          <w:szCs w:val="20"/>
          <w:color w:val="auto"/>
        </w:rPr>
      </w:pPr>
      <w:r>
        <w:rPr>
          <w:rFonts w:ascii="Arial" w:cs="Arial" w:eastAsia="Arial" w:hAnsi="Arial"/>
          <w:sz w:val="16"/>
          <w:szCs w:val="16"/>
          <w:color w:val="auto"/>
        </w:rPr>
        <w:t>Proceeds from Class A common stock issued under the Employee Stock Purchase Plan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Treasury share repurchase</w:t>
      </w:r>
    </w:p>
    <w:p>
      <w:pPr>
        <w:spacing w:after="0" w:line="32" w:lineRule="exact"/>
        <w:rPr>
          <w:sz w:val="20"/>
          <w:szCs w:val="20"/>
          <w:color w:val="auto"/>
        </w:rPr>
      </w:pPr>
    </w:p>
    <w:p>
      <w:pPr>
        <w:ind w:left="200" w:right="2240"/>
        <w:spacing w:after="0" w:line="277" w:lineRule="auto"/>
        <w:rPr>
          <w:sz w:val="20"/>
          <w:szCs w:val="20"/>
          <w:color w:val="auto"/>
        </w:rPr>
      </w:pPr>
      <w:r>
        <w:rPr>
          <w:rFonts w:ascii="Arial" w:cs="Arial" w:eastAsia="Arial" w:hAnsi="Arial"/>
          <w:sz w:val="16"/>
          <w:szCs w:val="16"/>
          <w:color w:val="auto"/>
        </w:rPr>
        <w:t>Contribution by non-controlling interest holder Other,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period</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(901,818)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16"/>
        </w:trPr>
        <w:tc>
          <w:tcPr>
            <w:tcW w:w="780" w:type="dxa"/>
            <w:vAlign w:val="bottom"/>
          </w:tcPr>
          <w:p>
            <w:pPr>
              <w:jc w:val="right"/>
              <w:ind w:right="59"/>
              <w:spacing w:after="0"/>
              <w:rPr>
                <w:sz w:val="20"/>
                <w:szCs w:val="20"/>
                <w:color w:val="auto"/>
              </w:rPr>
            </w:pPr>
            <w:r>
              <w:rPr>
                <w:rFonts w:ascii="Arial" w:cs="Arial" w:eastAsia="Arial" w:hAnsi="Arial"/>
                <w:sz w:val="16"/>
                <w:szCs w:val="16"/>
                <w:color w:val="auto"/>
              </w:rPr>
              <w:t>(2,988)</w:t>
            </w: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216"/>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378"/>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9,306</w:t>
            </w:r>
          </w:p>
        </w:tc>
        <w:tc>
          <w:tcPr>
            <w:tcW w:w="5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9,471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10,109</w:t>
            </w:r>
          </w:p>
        </w:tc>
      </w:tr>
      <w:tr>
        <w:trPr>
          <w:trHeight w:val="216"/>
        </w:trPr>
        <w:tc>
          <w:tcPr>
            <w:tcW w:w="780" w:type="dxa"/>
            <w:vAlign w:val="bottom"/>
          </w:tcPr>
          <w:p>
            <w:pPr>
              <w:jc w:val="right"/>
              <w:ind w:right="59"/>
              <w:spacing w:after="0"/>
              <w:rPr>
                <w:sz w:val="20"/>
                <w:szCs w:val="20"/>
                <w:color w:val="auto"/>
              </w:rPr>
            </w:pPr>
            <w:r>
              <w:rPr>
                <w:rFonts w:ascii="Arial" w:cs="Arial" w:eastAsia="Arial" w:hAnsi="Arial"/>
                <w:sz w:val="16"/>
                <w:szCs w:val="16"/>
                <w:color w:val="auto"/>
              </w:rPr>
              <w:t>(89,303)</w:t>
            </w: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(261,436)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(43,458)</w:t>
            </w:r>
          </w:p>
        </w:tc>
      </w:tr>
      <w:tr>
        <w:trPr>
          <w:trHeight w:val="216"/>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18,241</w:t>
            </w:r>
          </w:p>
        </w:tc>
      </w:tr>
      <w:tr>
        <w:trPr>
          <w:trHeight w:val="219"/>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09"/>
        </w:trPr>
        <w:tc>
          <w:tcPr>
            <w:tcW w:w="780" w:type="dxa"/>
            <w:vAlign w:val="bottom"/>
          </w:tcPr>
          <w:p>
            <w:pPr>
              <w:jc w:val="right"/>
              <w:ind w:right="59"/>
              <w:spacing w:after="0"/>
              <w:rPr>
                <w:sz w:val="20"/>
                <w:szCs w:val="20"/>
                <w:color w:val="auto"/>
              </w:rPr>
            </w:pPr>
            <w:r>
              <w:rPr>
                <w:rFonts w:ascii="Arial" w:cs="Arial" w:eastAsia="Arial" w:hAnsi="Arial"/>
                <w:sz w:val="16"/>
                <w:szCs w:val="16"/>
                <w:color w:val="auto"/>
              </w:rPr>
              <w:t>(83,105)</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(1,147,345)</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(15,620)</w:t>
            </w:r>
          </w:p>
        </w:tc>
      </w:tr>
      <w:tr>
        <w:trPr>
          <w:trHeight w:val="466"/>
        </w:trPr>
        <w:tc>
          <w:tcPr>
            <w:tcW w:w="780" w:type="dxa"/>
            <w:vAlign w:val="bottom"/>
          </w:tcPr>
          <w:p>
            <w:pPr>
              <w:jc w:val="right"/>
              <w:ind w:right="59"/>
              <w:spacing w:after="0"/>
              <w:rPr>
                <w:sz w:val="20"/>
                <w:szCs w:val="20"/>
                <w:color w:val="auto"/>
              </w:rPr>
            </w:pPr>
            <w:r>
              <w:rPr>
                <w:rFonts w:ascii="Arial" w:cs="Arial" w:eastAsia="Arial" w:hAnsi="Arial"/>
                <w:sz w:val="16"/>
                <w:szCs w:val="16"/>
                <w:color w:val="auto"/>
              </w:rPr>
              <w:t>(2,306)</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r>
      <w:tr>
        <w:trPr>
          <w:trHeight w:val="207"/>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169,009</w:t>
            </w:r>
          </w:p>
        </w:tc>
        <w:tc>
          <w:tcPr>
            <w:tcW w:w="5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(359,938)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(625,077)</w:t>
            </w:r>
          </w:p>
        </w:tc>
      </w:tr>
      <w:tr>
        <w:trPr>
          <w:trHeight w:val="381"/>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536,874</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331"/>
        </w:trPr>
        <w:tc>
          <w:tcPr>
            <w:tcW w:w="780" w:type="dxa"/>
            <w:vAlign w:val="bottom"/>
          </w:tcPr>
          <w:p>
            <w:pPr>
              <w:jc w:val="right"/>
              <w:ind w:right="99"/>
              <w:spacing w:after="0"/>
              <w:rPr>
                <w:sz w:val="20"/>
                <w:szCs w:val="20"/>
                <w:color w:val="auto"/>
              </w:rPr>
            </w:pPr>
            <w:r>
              <w:rPr>
                <w:rFonts w:ascii="Arial" w:cs="Arial" w:eastAsia="Arial" w:hAnsi="Arial"/>
                <w:sz w:val="16"/>
                <w:szCs w:val="16"/>
                <w:color w:val="auto"/>
              </w:rPr>
              <w:t>705,883</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20" w:type="dxa"/>
            <w:vAlign w:val="bottom"/>
          </w:tcPr>
          <w:p>
            <w:pPr>
              <w:spacing w:after="0"/>
              <w:rPr>
                <w:sz w:val="24"/>
                <w:szCs w:val="24"/>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3"/>
        </w:trPr>
        <w:tc>
          <w:tcPr>
            <w:tcW w:w="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2255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2255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12255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-642620</wp:posOffset>
            </wp:positionV>
            <wp:extent cx="12255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-950595</wp:posOffset>
            </wp:positionV>
            <wp:extent cx="12255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-1096645</wp:posOffset>
            </wp:positionV>
            <wp:extent cx="12255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sectPr>
      <w:pgSz w:w="11900" w:h="16838" w:orient="portrait"/>
      <w:cols w:equalWidth="0" w:num="2">
        <w:col w:w="5720" w:space="720"/>
        <w:col w:w="4740"/>
      </w:cols>
      <w:pgMar w:left="360" w:top="7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303"/>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3"/>
    </w:lvl>
  </w:abstractNum>
  <w:abstractNum w:abstractNumId="27">
    <w:nsid w:val="580BD78F"/>
    <w:multiLevelType w:val="hybridMultilevel"/>
    <w:lvl w:ilvl="0">
      <w:lvlJc w:val="left"/>
      <w:lvlText w:val="(%1)"/>
      <w:numFmt w:val="lowerRoman"/>
      <w:start w:val="1"/>
    </w:lvl>
  </w:abstractNum>
  <w:abstractNum w:abstractNumId="28">
    <w:nsid w:val="153EA438"/>
    <w:multiLevelType w:val="hybridMultilevel"/>
    <w:lvl w:ilvl="0">
      <w:lvlJc w:val="left"/>
      <w:lvlText w:val="(%1)"/>
      <w:numFmt w:val="upperLetter"/>
      <w:start w:val="8"/>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lowerRoman"/>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lvl w:ilvl="1">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7" Type="http://schemas.openxmlformats.org/officeDocument/2006/relationships/image" Target="media/image62.png"/><Relationship Id="rId88" Type="http://schemas.openxmlformats.org/officeDocument/2006/relationships/image" Target="media/image63.png"/><Relationship Id="rId100" Type="http://schemas.openxmlformats.org/officeDocument/2006/relationships/image" Target="media/image64.png"/><Relationship Id="rId112"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36" Type="http://schemas.openxmlformats.org/officeDocument/2006/relationships/image" Target="media/image68.png"/><Relationship Id="rId137" Type="http://schemas.openxmlformats.org/officeDocument/2006/relationships/image" Target="media/image69.png"/><Relationship Id="rId138" Type="http://schemas.openxmlformats.org/officeDocument/2006/relationships/image" Target="media/image70.png"/><Relationship Id="rId139" Type="http://schemas.openxmlformats.org/officeDocument/2006/relationships/image" Target="media/image71.png"/><Relationship Id="rId140" Type="http://schemas.openxmlformats.org/officeDocument/2006/relationships/image" Target="media/image72.png"/><Relationship Id="rId141" Type="http://schemas.openxmlformats.org/officeDocument/2006/relationships/image" Target="media/image73.png"/><Relationship Id="rId142" Type="http://schemas.openxmlformats.org/officeDocument/2006/relationships/image" Target="media/image74.png"/><Relationship Id="rId143" Type="http://schemas.openxmlformats.org/officeDocument/2006/relationships/image" Target="media/image75.png"/><Relationship Id="rId144" Type="http://schemas.openxmlformats.org/officeDocument/2006/relationships/image" Target="media/image76.png"/><Relationship Id="rId145" Type="http://schemas.openxmlformats.org/officeDocument/2006/relationships/image" Target="media/image77.png"/><Relationship Id="rId146" Type="http://schemas.openxmlformats.org/officeDocument/2006/relationships/image" Target="media/image78.png"/><Relationship Id="rId147" Type="http://schemas.openxmlformats.org/officeDocument/2006/relationships/image" Target="media/image79.png"/><Relationship Id="rId148" Type="http://schemas.openxmlformats.org/officeDocument/2006/relationships/image" Target="media/image80.png"/><Relationship Id="rId149" Type="http://schemas.openxmlformats.org/officeDocument/2006/relationships/image" Target="media/image81.png"/><Relationship Id="rId150" Type="http://schemas.openxmlformats.org/officeDocument/2006/relationships/image" Target="media/image82.png"/><Relationship Id="rId151" Type="http://schemas.openxmlformats.org/officeDocument/2006/relationships/image" Target="media/image83.png"/><Relationship Id="rId152" Type="http://schemas.openxmlformats.org/officeDocument/2006/relationships/image" Target="media/image84.png"/><Relationship Id="rId153" Type="http://schemas.openxmlformats.org/officeDocument/2006/relationships/image" Target="media/image85.png"/><Relationship Id="rId154" Type="http://schemas.openxmlformats.org/officeDocument/2006/relationships/image" Target="media/image86.png"/><Relationship Id="rId155" Type="http://schemas.openxmlformats.org/officeDocument/2006/relationships/image" Target="media/image87.png"/><Relationship Id="rId156" Type="http://schemas.openxmlformats.org/officeDocument/2006/relationships/image" Target="media/image88.png"/><Relationship Id="rId157" Type="http://schemas.openxmlformats.org/officeDocument/2006/relationships/image" Target="media/image89.png"/><Relationship Id="rId158" Type="http://schemas.openxmlformats.org/officeDocument/2006/relationships/image" Target="media/image90.png"/><Relationship Id="rId159" Type="http://schemas.openxmlformats.org/officeDocument/2006/relationships/image" Target="media/image91.png"/><Relationship Id="rId160"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69" Type="http://schemas.openxmlformats.org/officeDocument/2006/relationships/hyperlink" Target="http://www.sec.gov/Archives/edgar/data/1415404/000103570407000816/d50150a1exv2w1.htm" TargetMode="External"/><Relationship Id="rId70" Type="http://schemas.openxmlformats.org/officeDocument/2006/relationships/hyperlink" Target="http://www.sec.gov/Archives/edgar/data/1345840/000119312511036322/dex21.htm" TargetMode="External"/><Relationship Id="rId71" Type="http://schemas.openxmlformats.org/officeDocument/2006/relationships/hyperlink" Target="http://www.sec.gov/Archives/edgar/data/1415404/000141540419000033/sats063019ex-21.htm" TargetMode="External"/><Relationship Id="rId72" Type="http://schemas.openxmlformats.org/officeDocument/2006/relationships/hyperlink" Target="http://www.sec.gov/Archives/edgar/data/1415404/000103570407000816/d50150a1exv3w1.htm" TargetMode="External"/><Relationship Id="rId73" Type="http://schemas.openxmlformats.org/officeDocument/2006/relationships/hyperlink" Target="http://www.sec.gov/Archives/edgar/data/1415404/000103570408000039/d53368exv3w1.htm" TargetMode="External"/><Relationship Id="rId74" Type="http://schemas.openxmlformats.org/officeDocument/2006/relationships/hyperlink" Target="http://www.sec.gov/Archives/edgar/data/1415404/000141540416000008/exhibit31echostarcorpora.htm" TargetMode="External"/><Relationship Id="rId75" Type="http://schemas.openxmlformats.org/officeDocument/2006/relationships/hyperlink" Target="http://www.sec.gov/Archives/edgar/data/1415404/000141540417000016/ex31certofwithdrawal.htm" TargetMode="External"/><Relationship Id="rId76" Type="http://schemas.openxmlformats.org/officeDocument/2006/relationships/hyperlink" Target="http://www.sec.gov/Archives/edgar/data/1415404/000103570407000816/d50150a1exv3w2.htm" TargetMode="External"/><Relationship Id="rId78" Type="http://schemas.openxmlformats.org/officeDocument/2006/relationships/hyperlink" Target="http://www.sec.gov/Archives/edgar/data/1415404/000103570407000816/d50150a1exv4w1.htm" TargetMode="External"/><Relationship Id="rId79" Type="http://schemas.openxmlformats.org/officeDocument/2006/relationships/hyperlink" Target="http://www.sec.gov/Archives/edgar/data/1415404/000110465911033872/a11-14479_1ex4d1.htm" TargetMode="External"/><Relationship Id="rId80" Type="http://schemas.openxmlformats.org/officeDocument/2006/relationships/hyperlink" Target="http://www.sec.gov/Archives/edgar/data/1415404/000110465916134602/a16-15573_1ex4d1.htm" TargetMode="External"/><Relationship Id="rId81" Type="http://schemas.openxmlformats.org/officeDocument/2006/relationships/hyperlink" Target="http://www.sec.gov/Archives/edgar/data/1415404/000110465916134602/a16-15573_1ex4d2.htm" TargetMode="External"/><Relationship Id="rId82" Type="http://schemas.openxmlformats.org/officeDocument/2006/relationships/hyperlink" Target="http://www.sec.gov/Archives/edgar/data/1415404/000110465916134602/a16-15573_1ex4d3.htm" TargetMode="External"/><Relationship Id="rId83" Type="http://schemas.openxmlformats.org/officeDocument/2006/relationships/hyperlink" Target="http://www.sec.gov/Archives/edgar/data/1415404/000110465916134602/a16-15573_1ex4d4.htm" TargetMode="External"/><Relationship Id="rId84" Type="http://schemas.openxmlformats.org/officeDocument/2006/relationships/hyperlink" Target="http://www.sec.gov/Archives/edgar/data/1345840/000153375817000023/hssc_2017exchexhibit4d19.htm" TargetMode="External"/><Relationship Id="rId85" Type="http://schemas.openxmlformats.org/officeDocument/2006/relationships/hyperlink" Target="http://www.sec.gov/Archives/edgar/data/1345840/000153375817000023/hssc_2017exchexhibitx4d20.htm" TargetMode="External"/><Relationship Id="rId86" Type="http://schemas.openxmlformats.org/officeDocument/2006/relationships/hyperlink" Target="http://www.sec.gov/Archives/edgar/data/1415404/000141540418000005/exhibit424-xjoinderagr.htm" TargetMode="External"/><Relationship Id="rId87" Type="http://schemas.openxmlformats.org/officeDocument/2006/relationships/hyperlink" Target="http://www.sec.gov/Archives/edgar/data/1415404/000141540418000005/exhibit425-xhsscxsecon.htm" TargetMode="External"/><Relationship Id="rId89" Type="http://schemas.openxmlformats.org/officeDocument/2006/relationships/hyperlink" Target="http://www.sec.gov/Archives/edgar/data/1415404/000141540418000005/exhibit426-xhsscxsecon.htm" TargetMode="External"/><Relationship Id="rId90" Type="http://schemas.openxmlformats.org/officeDocument/2006/relationships/hyperlink" Target="http://www.sec.gov/Archives/edgar/data/1415404/000141540419000033/ex41-joinderagreement.htm" TargetMode="External"/><Relationship Id="rId91" Type="http://schemas.openxmlformats.org/officeDocument/2006/relationships/hyperlink" Target="http://www.sec.gov/Archives/edgar/data/1415404/000141540419000033/ex42-thirdsupplemental.htm" TargetMode="External"/><Relationship Id="rId92" Type="http://schemas.openxmlformats.org/officeDocument/2006/relationships/hyperlink" Target="http://www.sec.gov/Archives/edgar/data/1415404/000141540419000033/ex43-thirdsupplemental.htm" TargetMode="External"/><Relationship Id="rId93" Type="http://schemas.openxmlformats.org/officeDocument/2006/relationships/hyperlink" Target="https://www.sec.gov/Archives/edgar/data/1415404/000141540420000005/ex425descriptionofourc.htm" TargetMode="External"/><Relationship Id="rId94" Type="http://schemas.openxmlformats.org/officeDocument/2006/relationships/hyperlink" Target="http://www.sec.gov/Archives/edgar/data/1415404/000103570407000816/d50150a1exv10w2.htm" TargetMode="External"/><Relationship Id="rId95" Type="http://schemas.openxmlformats.org/officeDocument/2006/relationships/hyperlink" Target="http://www.sec.gov/Archives/edgar/data/1415404/000103570407000816/d50150a1exv10w25.htm" TargetMode="External"/><Relationship Id="rId96" Type="http://schemas.openxmlformats.org/officeDocument/2006/relationships/hyperlink" Target="http://www.sec.gov/Archives/edgar/data/1415404/000110465914067061/a14-20006_2def14a.htm#Appendix1_041118" TargetMode="External"/><Relationship Id="rId97" Type="http://schemas.openxmlformats.org/officeDocument/2006/relationships/hyperlink" Target="http://www.sec.gov/Archives/edgar/data/1415404/000103570409000020/d67044ddef14a.htm#018" TargetMode="External"/><Relationship Id="rId98" Type="http://schemas.openxmlformats.org/officeDocument/2006/relationships/hyperlink" Target="http://www.sec.gov/Archives/edgar/data/1415404/000104746909009775/a2195329zex-10_4.htm" TargetMode="External"/><Relationship Id="rId99" Type="http://schemas.openxmlformats.org/officeDocument/2006/relationships/hyperlink" Target="http://www.sec.gov/Archives/edgar/data/1415404/000110465915076360/a15-17922_1ex10d1.htm" TargetMode="External"/><Relationship Id="rId101" Type="http://schemas.openxmlformats.org/officeDocument/2006/relationships/hyperlink" Target="http://www.sec.gov/Archives/edgar/data/1415404/000110465916099355/a15-23459_3ex10d39.htm" TargetMode="External"/><Relationship Id="rId102" Type="http://schemas.openxmlformats.org/officeDocument/2006/relationships/hyperlink" Target="http://www.sec.gov/Archives/edgar/data/1415404/000110465916099355/a15-23459_3ex10d40.htm" TargetMode="External"/><Relationship Id="rId103" Type="http://schemas.openxmlformats.org/officeDocument/2006/relationships/hyperlink" Target="http://www.sec.gov/Archives/edgar/data/1415404/000110465916099355/a15-23459_3ex10d41.htm" TargetMode="External"/><Relationship Id="rId104" Type="http://schemas.openxmlformats.org/officeDocument/2006/relationships/hyperlink" Target="http://www.sec.gov/Archives/edgar/data/1415404/000110465916099355/a15-23459_3ex10d42.htm" TargetMode="External"/><Relationship Id="rId105" Type="http://schemas.openxmlformats.org/officeDocument/2006/relationships/hyperlink" Target="http://www.sec.gov/Archives/edgar/data/1415404/000110465916099355/a15-23459_3ex10d43.htm" TargetMode="External"/><Relationship Id="rId106" Type="http://schemas.openxmlformats.org/officeDocument/2006/relationships/hyperlink" Target="http://www.sec.gov/Archives/edgar/data/1415404/000110465916099355/a15-23459_3ex10d44.htm" TargetMode="External"/><Relationship Id="rId107" Type="http://schemas.openxmlformats.org/officeDocument/2006/relationships/hyperlink" Target="http://www.sec.gov/Archives/edgar/data/1415404/000110465916099355/a15-23459_3ex10d45.htm" TargetMode="External"/><Relationship Id="rId108" Type="http://schemas.openxmlformats.org/officeDocument/2006/relationships/hyperlink" Target="http://www.sec.gov/Archives/edgar/data/1415404/000141540417000029/shareexchangeagreementreda.htm" TargetMode="External"/><Relationship Id="rId109" Type="http://schemas.openxmlformats.org/officeDocument/2006/relationships/hyperlink" Target="http://www.sec.gov/Archives/edgar/data/1415404/000141540417000022/sats2017proxystatement.htm" TargetMode="External"/><Relationship Id="rId110" Type="http://schemas.openxmlformats.org/officeDocument/2006/relationships/hyperlink" Target="https://www.sec.gov/Archives/edgar/data/1415404/000141540422000080/sats093022-ex105xamendedan.htm" TargetMode="External"/><Relationship Id="rId111" Type="http://schemas.openxmlformats.org/officeDocument/2006/relationships/hyperlink" Target="http://www.sec.gov/Archives/edgar/data/1415404/000141540417000045/a101echostarnon-qualifiedp.htm" TargetMode="External"/><Relationship Id="rId113" Type="http://schemas.openxmlformats.org/officeDocument/2006/relationships/hyperlink" Target="http://www.sec.gov/Archives/edgar/data/1415404/000141540417000045/ex102-formofstockoptionagr.htm" TargetMode="External"/><Relationship Id="rId114" Type="http://schemas.openxmlformats.org/officeDocument/2006/relationships/hyperlink" Target="http://www.sec.gov/Archives/edgar/data/1415404/000141540417000045/ex103-formofstockoptionagr.htm" TargetMode="External"/><Relationship Id="rId115" Type="http://schemas.openxmlformats.org/officeDocument/2006/relationships/hyperlink" Target="http://www.sec.gov/Archives/edgar/data/1415404/000141540417000045/ex104formofnon-employeedir.htm" TargetMode="External"/><Relationship Id="rId116" Type="http://schemas.openxmlformats.org/officeDocument/2006/relationships/hyperlink" Target="http://www.sec.gov/Archives/edgar/data/1415404/000141540417000045/ex105formofrsuagreementfor.htm" TargetMode="External"/><Relationship Id="rId117" Type="http://schemas.openxmlformats.org/officeDocument/2006/relationships/hyperlink" Target="https://www.sec.gov/Archives/edgar/data/1415404/000141540422000080/sats093022-ex101xformofsto.htm" TargetMode="External"/><Relationship Id="rId118" Type="http://schemas.openxmlformats.org/officeDocument/2006/relationships/hyperlink" Target="https://www.sec.gov/Archives/edgar/data/1415404/000141540422000080/sats093022-ex102xformofsto.htm" TargetMode="External"/><Relationship Id="rId119" Type="http://schemas.openxmlformats.org/officeDocument/2006/relationships/hyperlink" Target="https://www.sec.gov/Archives/edgar/data/1415404/000141540422000080/sats093022-ex103xformofnon.htm" TargetMode="External"/><Relationship Id="rId120" Type="http://schemas.openxmlformats.org/officeDocument/2006/relationships/hyperlink" Target="https://www.sec.gov/Archives/edgar/data/1415404/000141540422000080/sats093022-ex104xformofrsu.htm" TargetMode="External"/><Relationship Id="rId121" Type="http://schemas.openxmlformats.org/officeDocument/2006/relationships/hyperlink" Target="https://www.sec.gov/Archives/edgar/data/1415404/000141540422000002/exhibit101-offerletter.htm" TargetMode="External"/><Relationship Id="rId122" Type="http://schemas.openxmlformats.org/officeDocument/2006/relationships/hyperlink" Target="https://www.sec.gov/Archives/edgar/data/1415404/000141540422000042/sats03312210-qxexx102.htm" TargetMode="External"/><Relationship Id="rId123" Type="http://schemas.openxmlformats.org/officeDocument/2006/relationships/hyperlink" Target="https://www.sec.gov/Archives/edgar/data/1415404/000141540422000042/sats03312210-qxexx103.htm" TargetMode="External"/><Relationship Id="rId124" Type="http://schemas.openxmlformats.org/officeDocument/2006/relationships/hyperlink" Target="https://www.sec.gov/Archives/edgar/data/1415404/000110465922131346/tm2233724d1_ex10-1.htm" TargetMode="External"/><Relationship Id="rId125" Type="http://schemas.openxmlformats.org/officeDocument/2006/relationships/hyperlink" Target="http://www.sec.gov/Archives/edgar/data/1415404/000141540418000034/ex-101htaxsharingagree.htm" TargetMode="External"/><Relationship Id="rId126" Type="http://schemas.openxmlformats.org/officeDocument/2006/relationships/hyperlink" Target="http://www.sec.gov/Archives/edgar/data/1415404/000141540419000003/ex1035amendmenttonon-q.htm" TargetMode="External"/><Relationship Id="rId129" Type="http://schemas.openxmlformats.org/officeDocument/2006/relationships/hyperlink" Target="http://www.sec.gov/Archives/edgar/data/1415404/000141540419000033/sats063019ex-101.htm" TargetMode="External"/><Relationship Id="rId130" Type="http://schemas.openxmlformats.org/officeDocument/2006/relationships/hyperlink" Target="https://www.sec.gov/Archives/edgar/data/1415404/000141540420000033/ex-101xadoptionagreeme.htm" TargetMode="External"/><Relationship Id="rId131" Type="http://schemas.openxmlformats.org/officeDocument/2006/relationships/hyperlink" Target="https://www.sec.gov/Archives/edgar/data/1415404/000141540420000005/ex123120191030echostar.htm" TargetMode="External"/><Relationship Id="rId132" Type="http://schemas.openxmlformats.org/officeDocument/2006/relationships/hyperlink" Target="https://www.sec.gov/Archives/edgar/data/1415404/000141540420000033/ex-102xamdt1tosslxecho.htm" TargetMode="External"/><Relationship Id="rId133" Type="http://schemas.openxmlformats.org/officeDocument/2006/relationships/hyperlink" Target="https://www.sec.gov/Archives/edgar/data/1415404/000110465922121208/tm2231124d1_ex10-1.htm" TargetMode="External"/><Relationship Id="rId134" Type="http://schemas.openxmlformats.org/officeDocument/2006/relationships/hyperlink" Target="https://www.sec.gov/Archives/edgar/data/1415404/000141540421000011/a2021satsproxystatement.htm#i6d1879bc289540a3ba8fc082b625c96b_1265" TargetMode="External"/><Relationship Id="rId135" Type="http://schemas.openxmlformats.org/officeDocument/2006/relationships/hyperlink" Target="https://www.sec.gov/Archives/edgar/data/1415404/000141540422000005/sats202110-kxex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2023-02-23T05:49:57Z</dcterms:created>
  <dcterms:modified xsi:type="dcterms:W3CDTF">2023-02-23T05:49:57Z</dcterms:modified>
</cp:coreProperties>
</file>