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Table of Contents</w:t>
      </w:r>
    </w:p>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WASHINGTON, D.C.  20549</w:t>
      </w:r>
    </w:p>
    <w:p>
      <w:pPr>
        <w:pStyle w:val="TextBody"/>
        <w:spacing w:lineRule="auto" w:line="288" w:before="0" w:after="0"/>
        <w:jc w:val="both"/>
        <w:rPr>
          <w:color w:val="000000"/>
        </w:rPr>
      </w:pPr>
      <w:r>
        <w:rPr>
          <w:color w:val="000000"/>
        </w:rPr>
        <w:t> </w:t>
      </w:r>
    </w:p>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FORM 10-Q </w:t>
      </w:r>
    </w:p>
    <w:p>
      <w:pPr>
        <w:pStyle w:val="TextBody"/>
        <w:spacing w:before="0" w:after="0"/>
        <w:jc w:val="center"/>
        <w:rPr/>
      </w:pPr>
      <w:r>
        <w:rPr/>
      </w:r>
    </w:p>
    <w:p>
      <w:pPr>
        <w:pStyle w:val="TextBody"/>
        <w:spacing w:lineRule="auto" w:line="288" w:before="0" w:after="0"/>
        <w:jc w:val="both"/>
        <w:rPr/>
      </w:pPr>
      <w:r>
        <w:rPr>
          <w:rFonts w:ascii="Arial;sans-serif" w:hAnsi="Arial;sans-serif"/>
          <w:b/>
          <w:color w:val="000000"/>
          <w:sz w:val="16"/>
        </w:rPr>
        <w:t>(Mark One)</w:t>
      </w:r>
      <w:r>
        <w:rPr>
          <w:color w:val="000000"/>
        </w:rPr>
        <w:t> </w:t>
      </w:r>
    </w:p>
    <w:p>
      <w:pPr>
        <w:pStyle w:val="TextBody"/>
        <w:spacing w:lineRule="auto" w:line="288" w:before="0" w:after="0"/>
        <w:jc w:val="both"/>
        <w:rPr/>
      </w:pPr>
      <w:r>
        <w:rPr>
          <w:color w:val="000000"/>
        </w:rPr>
        <w:t>☒    </w:t>
      </w:r>
      <w:r>
        <w:rPr>
          <w:rFonts w:ascii="Arial;sans-serif" w:hAnsi="Arial;sans-serif"/>
          <w:b/>
          <w:color w:val="000000"/>
          <w:sz w:val="16"/>
        </w:rPr>
        <w:t xml:space="preserve">QUARTERLY REPORT PURSUANT TO SECTION 13 OR 15(d) OF THE SECURITIES EXCHANGE ACT OF 1934 FOR THE FISCAL QUARTERLY PERIOD ENDED MARCH 31, 2023. </w:t>
      </w:r>
    </w:p>
    <w:p>
      <w:pPr>
        <w:pStyle w:val="TextBody"/>
        <w:spacing w:lineRule="auto" w:line="288" w:before="0" w:after="0"/>
        <w:jc w:val="center"/>
        <w:rPr>
          <w:rFonts w:ascii="Arial;sans-serif" w:hAnsi="Arial;sans-serif"/>
          <w:b/>
          <w:color w:val="000000"/>
          <w:sz w:val="14"/>
        </w:rPr>
      </w:pPr>
      <w:r>
        <w:rPr>
          <w:rFonts w:ascii="Arial;sans-serif" w:hAnsi="Arial;sans-serif"/>
          <w:b/>
          <w:color w:val="000000"/>
          <w:sz w:val="14"/>
        </w:rPr>
        <w:t>OR</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color w:val="000000"/>
        </w:rPr>
        <w:t>☐    </w:t>
      </w:r>
      <w:r>
        <w:rPr>
          <w:rFonts w:ascii="Arial;sans-serif" w:hAnsi="Arial;sans-serif"/>
          <w:b/>
          <w:color w:val="000000"/>
          <w:sz w:val="16"/>
        </w:rPr>
        <w:t>TRANSITION REPORT PURSUANT TO SECTION 13 OR 15(d) OF THE SECURITIES EXCHANGE ACT OF 1934 FOR THE TRANSITION PERIOD FROM                 TO                 .</w:t>
      </w:r>
    </w:p>
    <w:p>
      <w:pPr>
        <w:pStyle w:val="TextBody"/>
        <w:spacing w:lineRule="auto" w:line="288" w:before="0" w:after="0"/>
        <w:jc w:val="both"/>
        <w:rPr>
          <w:color w:val="000000"/>
        </w:rPr>
      </w:pPr>
      <w:r>
        <w:rPr>
          <w:color w:val="000000"/>
        </w:rPr>
        <w:t> </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 xml:space="preserve">Commission File Number: 001-33807 </w:t>
      </w:r>
    </w:p>
    <w:p>
      <w:pPr>
        <w:pStyle w:val="TextBody"/>
        <w:spacing w:before="0" w:after="0"/>
        <w:jc w:val="center"/>
        <w:rPr/>
      </w:pPr>
      <w:r>
        <w:rPr/>
      </w:r>
    </w:p>
    <w:p>
      <w:pPr>
        <w:pStyle w:val="TextBody"/>
        <w:spacing w:lineRule="auto" w:line="288" w:before="0" w:after="0"/>
        <w:jc w:val="center"/>
        <w:rPr/>
      </w:pPr>
      <w:r>
        <w:rPr>
          <w:color w:val="000000"/>
        </w:rPr>
        <w:t> </w:t>
      </w:r>
      <w:r>
        <w:rPr/>
        <w:drawing>
          <wp:inline distT="0" distB="63500" distL="0" distR="0">
            <wp:extent cx="19050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76250"/>
                    </a:xfrm>
                    <a:prstGeom prst="rect">
                      <a:avLst/>
                    </a:prstGeom>
                  </pic:spPr>
                </pic:pic>
              </a:graphicData>
            </a:graphic>
          </wp:inline>
        </w:drawing>
      </w:r>
    </w:p>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 xml:space="preserve">EchoStar Corporation </w:t>
      </w:r>
    </w:p>
    <w:p>
      <w:pPr>
        <w:pStyle w:val="TextBody"/>
        <w:spacing w:lineRule="auto" w:line="288" w:before="0" w:after="0"/>
        <w:jc w:val="center"/>
        <w:rPr>
          <w:rFonts w:ascii="Arial;sans-serif" w:hAnsi="Arial;sans-serif"/>
          <w:b w:val="false"/>
          <w:color w:val="000000"/>
          <w:sz w:val="14"/>
        </w:rPr>
      </w:pPr>
      <w:r>
        <w:rPr>
          <w:rFonts w:ascii="Arial;sans-serif" w:hAnsi="Arial;sans-serif"/>
          <w:b w:val="false"/>
          <w:color w:val="000000"/>
          <w:sz w:val="14"/>
        </w:rPr>
        <w:t>(Exact name of registrant as specified in its charter) </w:t>
      </w:r>
    </w:p>
    <w:tbl>
      <w:tblPr>
        <w:tblW w:w="10205" w:type="dxa"/>
        <w:jc w:val="center"/>
        <w:tblInd w:w="0" w:type="dxa"/>
        <w:tblCellMar>
          <w:top w:w="28" w:type="dxa"/>
          <w:left w:w="28" w:type="dxa"/>
          <w:bottom w:w="28" w:type="dxa"/>
          <w:right w:w="28" w:type="dxa"/>
        </w:tblCellMar>
      </w:tblPr>
      <w:tblGrid>
        <w:gridCol w:w="767"/>
        <w:gridCol w:w="630"/>
        <w:gridCol w:w="608"/>
        <w:gridCol w:w="471"/>
        <w:gridCol w:w="461"/>
        <w:gridCol w:w="404"/>
        <w:gridCol w:w="471"/>
        <w:gridCol w:w="429"/>
        <w:gridCol w:w="426"/>
        <w:gridCol w:w="109"/>
        <w:gridCol w:w="109"/>
        <w:gridCol w:w="109"/>
        <w:gridCol w:w="1516"/>
        <w:gridCol w:w="1516"/>
        <w:gridCol w:w="2179"/>
      </w:tblGrid>
      <w:tr>
        <w:trPr/>
        <w:tc>
          <w:tcPr>
            <w:tcW w:w="76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2179" w:type="dxa"/>
            <w:tcBorders/>
            <w:shd w:fill="auto" w:val="clear"/>
            <w:vAlign w:val="center"/>
          </w:tcPr>
          <w:p>
            <w:pPr>
              <w:pStyle w:val="TableContents"/>
              <w:spacing w:before="0" w:after="283"/>
              <w:rPr>
                <w:sz w:val="4"/>
                <w:szCs w:val="4"/>
              </w:rPr>
            </w:pPr>
            <w:r>
              <w:rPr>
                <w:sz w:val="4"/>
                <w:szCs w:val="4"/>
              </w:rPr>
            </w:r>
          </w:p>
        </w:tc>
      </w:tr>
      <w:tr>
        <w:trPr/>
        <w:tc>
          <w:tcPr>
            <w:tcW w:w="4667"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Nevada</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26-1232727</w:t>
            </w:r>
          </w:p>
        </w:tc>
      </w:tr>
      <w:tr>
        <w:trPr/>
        <w:tc>
          <w:tcPr>
            <w:tcW w:w="46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20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200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color w:val="000000"/>
                <w:sz w:val="16"/>
              </w:rPr>
            </w:pPr>
            <w:r>
              <w:rPr>
                <w:rFonts w:ascii="Arial;sans-serif" w:hAnsi="Arial;sans-serif"/>
                <w:b/>
                <w:color w:val="000000"/>
                <w:sz w:val="16"/>
              </w:rPr>
              <w:t>100 Inverness Terrace East,</w:t>
            </w:r>
          </w:p>
        </w:tc>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Englewood,</w:t>
            </w:r>
          </w:p>
        </w:tc>
        <w:tc>
          <w:tcPr>
            <w:tcW w:w="13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Colorado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80112-5308</w:t>
            </w:r>
          </w:p>
        </w:tc>
      </w:tr>
      <w:tr>
        <w:trPr/>
        <w:tc>
          <w:tcPr>
            <w:tcW w:w="46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2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color w:val="000000"/>
                <w:sz w:val="16"/>
              </w:rPr>
            </w:pPr>
            <w:r>
              <w:rPr>
                <w:rFonts w:ascii="Arial;sans-serif" w:hAnsi="Arial;sans-serif"/>
                <w:b/>
                <w:color w:val="000000"/>
                <w:sz w:val="16"/>
              </w:rPr>
              <w:t xml:space="preserve">(303) </w:t>
            </w:r>
          </w:p>
        </w:tc>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706-4000</w:t>
            </w:r>
          </w:p>
        </w:tc>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Not Applicable</w:t>
            </w:r>
          </w:p>
        </w:tc>
      </w:tr>
      <w:tr>
        <w:trPr/>
        <w:tc>
          <w:tcPr>
            <w:tcW w:w="46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(Former name, former address and former fiscal year, if changed since last report)</w:t>
            </w:r>
          </w:p>
        </w:tc>
      </w:tr>
      <w:tr>
        <w:trPr/>
        <w:tc>
          <w:tcPr>
            <w:tcW w:w="2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color w:val="000000"/>
                <w:sz w:val="16"/>
              </w:rPr>
            </w:pPr>
            <w:r>
              <w:rPr>
                <w:rFonts w:ascii="Arial;sans-serif" w:hAnsi="Arial;sans-serif"/>
                <w:b/>
                <w:color w:val="000000"/>
                <w:sz w:val="16"/>
              </w:rPr>
              <w:t>Class A common stock</w:t>
            </w:r>
          </w:p>
        </w:tc>
        <w:tc>
          <w:tcPr>
            <w:tcW w:w="266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color w:val="000000"/>
                <w:sz w:val="16"/>
              </w:rPr>
              <w:t>$0.001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The NASDAQ Stock Market LLC</w:t>
            </w:r>
          </w:p>
        </w:tc>
      </w:tr>
      <w:tr>
        <w:trPr/>
        <w:tc>
          <w:tcPr>
            <w:tcW w:w="46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4667"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SATS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(Ticker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6"/>
        </w:rPr>
        <w:t xml:space="preserve">No </w:t>
      </w:r>
      <w:r>
        <w:rPr>
          <w:color w:val="000000"/>
        </w:rPr>
        <w:t>☐</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p>
    <w:p>
      <w:pPr>
        <w:pStyle w:val="TextBody"/>
        <w:spacing w:lineRule="auto" w:line="288" w:before="0" w:after="0"/>
        <w:jc w:val="both"/>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6875" w:type="dxa"/>
        <w:jc w:val="center"/>
        <w:tblInd w:w="0" w:type="dxa"/>
        <w:tblCellMar>
          <w:top w:w="28" w:type="dxa"/>
          <w:left w:w="28" w:type="dxa"/>
          <w:bottom w:w="28" w:type="dxa"/>
          <w:right w:w="28" w:type="dxa"/>
        </w:tblCellMar>
      </w:tblPr>
      <w:tblGrid>
        <w:gridCol w:w="629"/>
        <w:gridCol w:w="554"/>
        <w:gridCol w:w="556"/>
        <w:gridCol w:w="109"/>
        <w:gridCol w:w="109"/>
        <w:gridCol w:w="109"/>
        <w:gridCol w:w="684"/>
        <w:gridCol w:w="684"/>
        <w:gridCol w:w="687"/>
        <w:gridCol w:w="109"/>
        <w:gridCol w:w="109"/>
        <w:gridCol w:w="109"/>
        <w:gridCol w:w="684"/>
        <w:gridCol w:w="684"/>
        <w:gridCol w:w="687"/>
        <w:gridCol w:w="109"/>
        <w:gridCol w:w="109"/>
        <w:gridCol w:w="154"/>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spacing w:lineRule="auto" w:line="288" w:before="0" w:after="0"/>
        <w:jc w:val="both"/>
        <w:rPr/>
      </w:pPr>
      <w:r>
        <w:rPr>
          <w:rFonts w:ascii="Arial;sans-serif" w:hAnsi="Arial;sans-serif"/>
          <w:b w:val="false"/>
          <w:color w:val="000000"/>
          <w:sz w:val="16"/>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6"/>
        </w:rPr>
        <w:t xml:space="preserve">No </w:t>
      </w:r>
      <w:r>
        <w:rPr>
          <w:color w:val="000000"/>
        </w:rPr>
        <w: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16"/>
        </w:rPr>
      </w:pPr>
      <w:r>
        <w:rPr>
          <w:rFonts w:ascii="Arial;sans-serif" w:hAnsi="Arial;sans-serif"/>
          <w:b w:val="false"/>
          <w:color w:val="000000"/>
          <w:sz w:val="16"/>
        </w:rPr>
        <w:t>As of April 26, 2023, the registrant’s outstanding common stock consisted of 36,090,106 shares of Class A common stock and 47,687,039 shares of Class B common stock, each $0.001 par value.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525780"/>
                <wp:effectExtent l="0" t="0" r="0" b="0"/>
                <wp:wrapNone/>
                <wp:docPr id="2" name="Frame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txbxContent>
                </v:textbox>
              </v:rect>
            </w:pict>
          </mc:Fallback>
        </mc:AlternateConten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Table of Contents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spacing w:lineRule="auto" w:line="288" w:before="0" w:after="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637"/>
        <w:gridCol w:w="560"/>
        <w:gridCol w:w="560"/>
        <w:gridCol w:w="2754"/>
        <w:gridCol w:w="2698"/>
        <w:gridCol w:w="2622"/>
        <w:gridCol w:w="109"/>
        <w:gridCol w:w="109"/>
        <w:gridCol w:w="156"/>
      </w:tblGrid>
      <w:tr>
        <w:trPr/>
        <w:tc>
          <w:tcPr>
            <w:tcW w:w="637"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754" w:type="dxa"/>
            <w:tcBorders/>
            <w:shd w:fill="auto" w:val="clear"/>
            <w:vAlign w:val="center"/>
          </w:tcPr>
          <w:p>
            <w:pPr>
              <w:pStyle w:val="TableContents"/>
              <w:spacing w:before="0" w:after="283"/>
              <w:rPr>
                <w:sz w:val="4"/>
                <w:szCs w:val="4"/>
              </w:rPr>
            </w:pPr>
            <w:r>
              <w:rPr>
                <w:sz w:val="4"/>
                <w:szCs w:val="4"/>
              </w:rPr>
            </w:r>
          </w:p>
        </w:tc>
        <w:tc>
          <w:tcPr>
            <w:tcW w:w="2698" w:type="dxa"/>
            <w:tcBorders/>
            <w:shd w:fill="auto" w:val="clear"/>
            <w:vAlign w:val="center"/>
          </w:tcPr>
          <w:p>
            <w:pPr>
              <w:pStyle w:val="TableContents"/>
              <w:spacing w:before="0" w:after="283"/>
              <w:rPr>
                <w:sz w:val="4"/>
                <w:szCs w:val="4"/>
              </w:rPr>
            </w:pPr>
            <w:r>
              <w:rPr>
                <w:sz w:val="4"/>
                <w:szCs w:val="4"/>
              </w:rPr>
            </w:r>
          </w:p>
        </w:tc>
        <w:tc>
          <w:tcPr>
            <w:tcW w:w="26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9831"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790">
              <w:r>
                <w:rPr>
                  <w:rStyle w:val="InternetLink"/>
                  <w:rFonts w:ascii="Arial;sans-serif" w:hAnsi="Arial;sans-serif"/>
                  <w:b w:val="false"/>
                  <w:color w:val="0000FF"/>
                  <w:sz w:val="20"/>
                  <w:u w:val="single"/>
                </w:rPr>
                <w:t>Disclosure Regarding Forward Looking Statements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i</w:t>
            </w:r>
          </w:p>
        </w:tc>
      </w:tr>
      <w:tr>
        <w:trPr/>
        <w:tc>
          <w:tcPr>
            <w:tcW w:w="1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FF"/>
                <w:sz w:val="20"/>
                <w:u w:val="single"/>
              </w:rPr>
            </w:pPr>
            <w:r>
              <w:rPr>
                <w:rFonts w:ascii="Arial;sans-serif" w:hAnsi="Arial;sans-serif"/>
                <w:b/>
                <w:color w:val="0000FF"/>
                <w:sz w:val="20"/>
                <w:u w:val="single"/>
              </w:rPr>
              <w:t>PART I - FINANCIAL INFORMATION</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 xml:space="preserve">Item 1. </w:t>
            </w:r>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Financial Statements</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fcdad348b3c4a57aa352cc8de1ffc2f_214">
              <w:bookmarkStart w:id="0" w:name="i5df87fbad8d14ba3b817a7c7b2163096_4-2-1-"/>
              <w:bookmarkEnd w:id="0"/>
              <w:r>
                <w:rPr>
                  <w:rStyle w:val="InternetLink"/>
                  <w:rFonts w:ascii="Arial;sans-serif" w:hAnsi="Arial;sans-serif"/>
                  <w:b w:val="false"/>
                  <w:color w:val="0000FF"/>
                  <w:sz w:val="20"/>
                  <w:u w:val="single"/>
                </w:rPr>
                <w:t>1</w:t>
              </w:r>
            </w:hyperlink>
          </w:p>
        </w:tc>
      </w:tr>
      <w:tr>
        <w:trPr/>
        <w:tc>
          <w:tcPr>
            <w:tcW w:w="1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196">
              <w:r>
                <w:rPr>
                  <w:rStyle w:val="InternetLink"/>
                </w:rPr>
                <w:t>Consolidated Balance Sheets as of March 31, 202</w:t>
              </w:r>
            </w:hyperlink>
            <w:hyperlink w:anchor="iffcdad348b3c4a57aa352cc8de1ffc2f_196">
              <w:r>
                <w:rPr>
                  <w:rStyle w:val="InternetLink"/>
                </w:rPr>
                <w:t>3</w:t>
              </w:r>
            </w:hyperlink>
            <w:hyperlink w:anchor="iffcdad348b3c4a57aa352cc8de1ffc2f_196">
              <w:r>
                <w:rPr>
                  <w:rStyle w:val="InternetLink"/>
                </w:rPr>
                <w:t xml:space="preserve"> (unaudited) and December 31, 202</w:t>
              </w:r>
            </w:hyperlink>
            <w:hyperlink w:anchor="iffcdad348b3c4a57aa352cc8de1ffc2f_196">
              <w:r>
                <w:rPr>
                  <w:rStyle w:val="InternetLink"/>
                </w:rPr>
                <w:t>2</w:t>
              </w:r>
            </w:hyperlink>
            <w:hyperlink w:anchor="iffcdad348b3c4a57aa352cc8de1ffc2f_196">
              <w:r>
                <w:rPr>
                  <w:rStyle w:val="InternetLink"/>
                </w:rPr>
                <w:t xml:space="preserve"> (audited)</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fcdad348b3c4a57aa352cc8de1ffc2f_6764">
              <w:r>
                <w:rPr>
                  <w:rStyle w:val="InternetLink"/>
                  <w:rFonts w:ascii="Arial;sans-serif" w:hAnsi="Arial;sans-serif"/>
                  <w:b w:val="false"/>
                  <w:color w:val="0000FF"/>
                  <w:sz w:val="20"/>
                  <w:u w:val="single"/>
                </w:rPr>
                <w:t>1</w:t>
              </w:r>
            </w:hyperlink>
          </w:p>
        </w:tc>
      </w:tr>
      <w:tr>
        <w:trPr/>
        <w:tc>
          <w:tcPr>
            <w:tcW w:w="1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199">
              <w:r>
                <w:rPr>
                  <w:rStyle w:val="InternetLink"/>
                </w:rPr>
                <w:t>Consolidated Statements of Operations for the three months ended March 31, 202</w:t>
              </w:r>
            </w:hyperlink>
            <w:hyperlink w:anchor="iffcdad348b3c4a57aa352cc8de1ffc2f_199">
              <w:r>
                <w:rPr>
                  <w:rStyle w:val="InternetLink"/>
                </w:rPr>
                <w:t>3</w:t>
              </w:r>
            </w:hyperlink>
            <w:hyperlink w:anchor="iffcdad348b3c4a57aa352cc8de1ffc2f_199">
              <w:r>
                <w:rPr>
                  <w:rStyle w:val="InternetLink"/>
                </w:rPr>
                <w:t xml:space="preserve"> and 202</w:t>
              </w:r>
            </w:hyperlink>
            <w:hyperlink w:anchor="iffcdad348b3c4a57aa352cc8de1ffc2f_199">
              <w:r>
                <w:rPr>
                  <w:rStyle w:val="InternetLink"/>
                </w:rPr>
                <w:t>2</w:t>
              </w:r>
            </w:hyperlink>
            <w:hyperlink w:anchor="iffcdad348b3c4a57aa352cc8de1ffc2f_199">
              <w:r>
                <w:rPr>
                  <w:rStyle w:val="InternetLink"/>
                </w:rPr>
                <w:t xml:space="preserve"> (unaudited)</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fcdad348b3c4a57aa352cc8de1ffc2f_223">
              <w:r>
                <w:rPr>
                  <w:rStyle w:val="InternetLink"/>
                  <w:rFonts w:ascii="Arial;sans-serif" w:hAnsi="Arial;sans-serif"/>
                  <w:b w:val="false"/>
                  <w:color w:val="0000FF"/>
                  <w:sz w:val="20"/>
                  <w:u w:val="single"/>
                </w:rPr>
                <w:t>3</w:t>
              </w:r>
            </w:hyperlink>
          </w:p>
        </w:tc>
      </w:tr>
      <w:tr>
        <w:trPr/>
        <w:tc>
          <w:tcPr>
            <w:tcW w:w="1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202">
              <w:r>
                <w:rPr>
                  <w:rStyle w:val="InternetLink"/>
                </w:rPr>
                <w:t>Consolidated Statements of Comprehensive Income (Loss) for the three months ended March 31, 202</w:t>
              </w:r>
            </w:hyperlink>
            <w:hyperlink w:anchor="iffcdad348b3c4a57aa352cc8de1ffc2f_202">
              <w:r>
                <w:rPr>
                  <w:rStyle w:val="InternetLink"/>
                </w:rPr>
                <w:t>3</w:t>
              </w:r>
            </w:hyperlink>
            <w:hyperlink w:anchor="iffcdad348b3c4a57aa352cc8de1ffc2f_202">
              <w:r>
                <w:rPr>
                  <w:rStyle w:val="InternetLink"/>
                </w:rPr>
                <w:t xml:space="preserve"> and 202</w:t>
              </w:r>
            </w:hyperlink>
            <w:hyperlink w:anchor="iffcdad348b3c4a57aa352cc8de1ffc2f_202">
              <w:r>
                <w:rPr>
                  <w:rStyle w:val="InternetLink"/>
                </w:rPr>
                <w:t>2</w:t>
              </w:r>
            </w:hyperlink>
            <w:hyperlink w:anchor="iffcdad348b3c4a57aa352cc8de1ffc2f_202">
              <w:r>
                <w:rPr>
                  <w:rStyle w:val="InternetLink"/>
                </w:rPr>
                <w:t xml:space="preserve"> (unaudited)</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fcdad348b3c4a57aa352cc8de1ffc2f_226">
              <w:r>
                <w:rPr>
                  <w:rStyle w:val="InternetLink"/>
                  <w:rFonts w:ascii="Arial;sans-serif" w:hAnsi="Arial;sans-serif"/>
                  <w:b w:val="false"/>
                  <w:color w:val="0000FF"/>
                  <w:sz w:val="20"/>
                  <w:u w:val="single"/>
                </w:rPr>
                <w:t>4</w:t>
              </w:r>
            </w:hyperlink>
          </w:p>
        </w:tc>
      </w:tr>
      <w:tr>
        <w:trPr/>
        <w:tc>
          <w:tcPr>
            <w:tcW w:w="1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Consolidated Statements of Changes in Stockholders’ Equity for the three months ended March 31, 2023 and 2022 (unaudited)</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fcdad348b3c4a57aa352cc8de1ffc2f_229">
              <w:r>
                <w:rPr>
                  <w:rStyle w:val="InternetLink"/>
                  <w:rFonts w:ascii="Arial;sans-serif" w:hAnsi="Arial;sans-serif"/>
                  <w:b w:val="false"/>
                  <w:color w:val="0000FF"/>
                  <w:sz w:val="20"/>
                  <w:u w:val="single"/>
                </w:rPr>
                <w:t>5</w:t>
              </w:r>
            </w:hyperlink>
          </w:p>
        </w:tc>
      </w:tr>
      <w:tr>
        <w:trPr/>
        <w:tc>
          <w:tcPr>
            <w:tcW w:w="1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Consolidated Statements of Cash Flows for the three months ended March 31, 2023 and 2022 (unaudited)</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fcdad348b3c4a57aa352cc8de1ffc2f_232">
              <w:r>
                <w:rPr>
                  <w:rStyle w:val="InternetLink"/>
                  <w:rFonts w:ascii="Arial;sans-serif" w:hAnsi="Arial;sans-serif"/>
                  <w:b w:val="false"/>
                  <w:color w:val="0000FF"/>
                  <w:sz w:val="20"/>
                  <w:u w:val="single"/>
                </w:rPr>
                <w:t>6</w:t>
              </w:r>
            </w:hyperlink>
          </w:p>
        </w:tc>
      </w:tr>
      <w:tr>
        <w:trPr/>
        <w:tc>
          <w:tcPr>
            <w:tcW w:w="1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211">
              <w:r>
                <w:rPr>
                  <w:rStyle w:val="InternetLink"/>
                  <w:rFonts w:ascii="Arial;sans-serif" w:hAnsi="Arial;sans-serif"/>
                  <w:b w:val="false"/>
                  <w:color w:val="0000FF"/>
                  <w:sz w:val="20"/>
                  <w:u w:val="single"/>
                </w:rPr>
                <w:t>Notes to the Consolidated Financial Statements (unaudited)</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fcdad348b3c4a57aa352cc8de1ffc2f_235">
              <w:r>
                <w:rPr>
                  <w:rStyle w:val="InternetLink"/>
                  <w:rFonts w:ascii="Arial;sans-serif" w:hAnsi="Arial;sans-serif"/>
                  <w:b w:val="false"/>
                  <w:color w:val="0000FF"/>
                  <w:sz w:val="20"/>
                  <w:u w:val="single"/>
                </w:rPr>
                <w:t>7</w:t>
              </w:r>
            </w:hyperlink>
          </w:p>
        </w:tc>
      </w:tr>
      <w:tr>
        <w:trPr/>
        <w:tc>
          <w:tcPr>
            <w:tcW w:w="17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805">
              <w:r>
                <w:rPr>
                  <w:rStyle w:val="InternetLink"/>
                  <w:rFonts w:ascii="Arial;sans-serif" w:hAnsi="Arial;sans-serif"/>
                  <w:b w:val="false"/>
                  <w:color w:val="0000FF"/>
                  <w:sz w:val="20"/>
                  <w:u w:val="single"/>
                </w:rPr>
                <w:t>Item 2.</w:t>
              </w:r>
            </w:hyperlink>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805">
              <w:r>
                <w:rPr>
                  <w:rStyle w:val="InternetLink"/>
                  <w:rFonts w:ascii="Arial;sans-serif" w:hAnsi="Arial;sans-serif"/>
                  <w:b w:val="false"/>
                  <w:color w:val="0000FF"/>
                  <w:sz w:val="20"/>
                  <w:u w:val="single"/>
                </w:rPr>
                <w:t>Management’s Discussion and Analysis of Financial Condition and Results of Operations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fcdad348b3c4a57aa352cc8de1ffc2f_115">
              <w:r>
                <w:rPr>
                  <w:rStyle w:val="InternetLink"/>
                  <w:rFonts w:ascii="Arial;sans-serif" w:hAnsi="Arial;sans-serif"/>
                  <w:b w:val="false"/>
                  <w:color w:val="0000FF"/>
                  <w:sz w:val="20"/>
                  <w:u w:val="single"/>
                </w:rPr>
                <w:t>34</w:t>
              </w:r>
            </w:hyperlink>
          </w:p>
        </w:tc>
      </w:tr>
      <w:tr>
        <w:trPr/>
        <w:tc>
          <w:tcPr>
            <w:tcW w:w="17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811">
              <w:r>
                <w:rPr>
                  <w:rStyle w:val="InternetLink"/>
                  <w:rFonts w:ascii="Arial;sans-serif" w:hAnsi="Arial;sans-serif"/>
                  <w:b w:val="false"/>
                  <w:color w:val="0000FF"/>
                  <w:sz w:val="20"/>
                  <w:u w:val="single"/>
                </w:rPr>
                <w:t>Item 3.</w:t>
              </w:r>
            </w:hyperlink>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811">
              <w:r>
                <w:rPr>
                  <w:rStyle w:val="InternetLink"/>
                  <w:rFonts w:ascii="Arial;sans-serif" w:hAnsi="Arial;sans-serif"/>
                  <w:b w:val="false"/>
                  <w:color w:val="0000FF"/>
                  <w:sz w:val="20"/>
                  <w:u w:val="single"/>
                </w:rPr>
                <w:t>Quantitative and Qualitative Disclosures about Market Risk</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fcdad348b3c4a57aa352cc8de1ffc2f_7027">
              <w:r>
                <w:rPr>
                  <w:rStyle w:val="InternetLink"/>
                  <w:rFonts w:ascii="Arial;sans-serif" w:hAnsi="Arial;sans-serif"/>
                  <w:b w:val="false"/>
                  <w:color w:val="0000FF"/>
                  <w:sz w:val="20"/>
                  <w:u w:val="single"/>
                </w:rPr>
                <w:t>48</w:t>
              </w:r>
            </w:hyperlink>
          </w:p>
        </w:tc>
      </w:tr>
      <w:tr>
        <w:trPr/>
        <w:tc>
          <w:tcPr>
            <w:tcW w:w="17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Item 4.</w:t>
            </w:r>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Controls and Procedures</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fcdad348b3c4a57aa352cc8de1ffc2f_7034">
              <w:r>
                <w:rPr>
                  <w:rStyle w:val="InternetLink"/>
                  <w:rFonts w:ascii="Arial;sans-serif" w:hAnsi="Arial;sans-serif"/>
                  <w:b w:val="false"/>
                  <w:color w:val="0000FF"/>
                  <w:sz w:val="20"/>
                  <w:u w:val="single"/>
                </w:rPr>
                <w:t>48</w:t>
              </w:r>
            </w:hyperlink>
          </w:p>
        </w:tc>
      </w:tr>
      <w:tr>
        <w:trPr/>
        <w:tc>
          <w:tcPr>
            <w:tcW w:w="1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FF"/>
                <w:sz w:val="20"/>
                <w:u w:val="single"/>
              </w:rPr>
            </w:pPr>
            <w:r>
              <w:rPr>
                <w:rFonts w:ascii="Arial;sans-serif" w:hAnsi="Arial;sans-serif"/>
                <w:b/>
                <w:color w:val="0000FF"/>
                <w:sz w:val="20"/>
                <w:u w:val="single"/>
              </w:rPr>
              <w:t>PART II - OTHER INFORMATION</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814">
              <w:r>
                <w:rPr>
                  <w:rStyle w:val="InternetLink"/>
                  <w:rFonts w:ascii="Arial;sans-serif" w:hAnsi="Arial;sans-serif"/>
                  <w:b w:val="false"/>
                  <w:color w:val="0000FF"/>
                  <w:sz w:val="20"/>
                  <w:u w:val="single"/>
                </w:rPr>
                <w:t>Item 1.</w:t>
              </w:r>
            </w:hyperlink>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814">
              <w:r>
                <w:rPr>
                  <w:rStyle w:val="InternetLink"/>
                  <w:rFonts w:ascii="Arial;sans-serif" w:hAnsi="Arial;sans-serif"/>
                  <w:b w:val="false"/>
                  <w:color w:val="0000FF"/>
                  <w:sz w:val="20"/>
                  <w:u w:val="single"/>
                </w:rPr>
                <w:t>Legal Proceedings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fcdad348b3c4a57aa352cc8de1ffc2f_7044">
              <w:r>
                <w:rPr>
                  <w:rStyle w:val="InternetLink"/>
                  <w:rFonts w:ascii="Arial;sans-serif" w:hAnsi="Arial;sans-serif"/>
                  <w:b w:val="false"/>
                  <w:color w:val="0000FF"/>
                  <w:sz w:val="20"/>
                  <w:u w:val="single"/>
                </w:rPr>
                <w:t>49</w:t>
              </w:r>
            </w:hyperlink>
          </w:p>
        </w:tc>
      </w:tr>
      <w:tr>
        <w:trPr/>
        <w:tc>
          <w:tcPr>
            <w:tcW w:w="17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817">
              <w:r>
                <w:rPr>
                  <w:rStyle w:val="InternetLink"/>
                  <w:rFonts w:ascii="Arial;sans-serif" w:hAnsi="Arial;sans-serif"/>
                  <w:b w:val="false"/>
                  <w:color w:val="0000FF"/>
                  <w:sz w:val="20"/>
                  <w:u w:val="single"/>
                </w:rPr>
                <w:t>Item 1A.</w:t>
              </w:r>
            </w:hyperlink>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817">
              <w:r>
                <w:rPr>
                  <w:rStyle w:val="InternetLink"/>
                  <w:rFonts w:ascii="Arial;sans-serif" w:hAnsi="Arial;sans-serif"/>
                  <w:b w:val="false"/>
                  <w:color w:val="0000FF"/>
                  <w:sz w:val="20"/>
                  <w:u w:val="single"/>
                </w:rPr>
                <w:t>Risk Factors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fcdad348b3c4a57aa352cc8de1ffc2f_7053">
              <w:r>
                <w:rPr>
                  <w:rStyle w:val="InternetLink"/>
                  <w:rFonts w:ascii="Arial;sans-serif" w:hAnsi="Arial;sans-serif"/>
                  <w:b w:val="false"/>
                  <w:color w:val="0000FF"/>
                  <w:sz w:val="20"/>
                  <w:u w:val="single"/>
                </w:rPr>
                <w:t>49</w:t>
              </w:r>
            </w:hyperlink>
          </w:p>
        </w:tc>
      </w:tr>
      <w:tr>
        <w:trPr/>
        <w:tc>
          <w:tcPr>
            <w:tcW w:w="17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820">
              <w:r>
                <w:rPr>
                  <w:rStyle w:val="InternetLink"/>
                  <w:rFonts w:ascii="Arial;sans-serif" w:hAnsi="Arial;sans-serif"/>
                  <w:b w:val="false"/>
                  <w:color w:val="0000FF"/>
                  <w:sz w:val="20"/>
                  <w:u w:val="single"/>
                </w:rPr>
                <w:t>Item 2.</w:t>
              </w:r>
            </w:hyperlink>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820">
              <w:r>
                <w:rPr>
                  <w:rStyle w:val="InternetLink"/>
                  <w:rFonts w:ascii="Arial;sans-serif" w:hAnsi="Arial;sans-serif"/>
                  <w:b w:val="false"/>
                  <w:color w:val="0000FF"/>
                  <w:sz w:val="20"/>
                  <w:u w:val="single"/>
                </w:rPr>
                <w:t>Unregistered Sales of Equity Securities and Use of Proceeds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fcdad348b3c4a57aa352cc8de1ffc2f_109">
              <w:r>
                <w:rPr>
                  <w:rStyle w:val="InternetLink"/>
                  <w:rFonts w:ascii="Arial;sans-serif" w:hAnsi="Arial;sans-serif"/>
                  <w:b w:val="false"/>
                  <w:color w:val="0000FF"/>
                  <w:sz w:val="20"/>
                  <w:u w:val="single"/>
                </w:rPr>
                <w:t>49</w:t>
              </w:r>
            </w:hyperlink>
          </w:p>
        </w:tc>
      </w:tr>
      <w:tr>
        <w:trPr/>
        <w:tc>
          <w:tcPr>
            <w:tcW w:w="17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823">
              <w:r>
                <w:rPr>
                  <w:rStyle w:val="InternetLink"/>
                  <w:rFonts w:ascii="Arial;sans-serif" w:hAnsi="Arial;sans-serif"/>
                  <w:b w:val="false"/>
                  <w:color w:val="0000FF"/>
                  <w:sz w:val="20"/>
                  <w:u w:val="single"/>
                </w:rPr>
                <w:t>Item 3.</w:t>
              </w:r>
            </w:hyperlink>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823">
              <w:r>
                <w:rPr>
                  <w:rStyle w:val="InternetLink"/>
                  <w:rFonts w:ascii="Arial;sans-serif" w:hAnsi="Arial;sans-serif"/>
                  <w:b w:val="false"/>
                  <w:color w:val="0000FF"/>
                  <w:sz w:val="20"/>
                  <w:u w:val="single"/>
                </w:rPr>
                <w:t>Defaults Upon Senior Securities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fcdad348b3c4a57aa352cc8de1ffc2f_7063">
              <w:r>
                <w:rPr>
                  <w:rStyle w:val="InternetLink"/>
                  <w:rFonts w:ascii="Arial;sans-serif" w:hAnsi="Arial;sans-serif"/>
                  <w:b w:val="false"/>
                  <w:color w:val="0000FF"/>
                  <w:sz w:val="20"/>
                  <w:u w:val="single"/>
                </w:rPr>
                <w:t>49</w:t>
              </w:r>
            </w:hyperlink>
          </w:p>
        </w:tc>
      </w:tr>
      <w:tr>
        <w:trPr/>
        <w:tc>
          <w:tcPr>
            <w:tcW w:w="17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103">
              <w:r>
                <w:rPr>
                  <w:rStyle w:val="InternetLink"/>
                  <w:rFonts w:ascii="Arial;sans-serif" w:hAnsi="Arial;sans-serif"/>
                  <w:b w:val="false"/>
                  <w:color w:val="0000FF"/>
                  <w:sz w:val="20"/>
                  <w:u w:val="single"/>
                </w:rPr>
                <w:t>Item 4.</w:t>
              </w:r>
            </w:hyperlink>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103">
              <w:r>
                <w:rPr>
                  <w:rStyle w:val="InternetLink"/>
                  <w:rFonts w:ascii="Arial;sans-serif" w:hAnsi="Arial;sans-serif"/>
                  <w:b w:val="false"/>
                  <w:color w:val="0000FF"/>
                  <w:sz w:val="20"/>
                  <w:u w:val="single"/>
                </w:rPr>
                <w:t>Mine Safety Disclosures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fcdad348b3c4a57aa352cc8de1ffc2f_7070">
              <w:r>
                <w:rPr>
                  <w:rStyle w:val="InternetLink"/>
                  <w:rFonts w:ascii="Arial;sans-serif" w:hAnsi="Arial;sans-serif"/>
                  <w:b w:val="false"/>
                  <w:color w:val="0000FF"/>
                  <w:sz w:val="20"/>
                  <w:u w:val="single"/>
                </w:rPr>
                <w:t>49</w:t>
              </w:r>
            </w:hyperlink>
          </w:p>
        </w:tc>
      </w:tr>
      <w:tr>
        <w:trPr/>
        <w:tc>
          <w:tcPr>
            <w:tcW w:w="17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Item 5.</w:t>
            </w:r>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Other Information</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fcdad348b3c4a57aa352cc8de1ffc2f_7077">
              <w:r>
                <w:rPr>
                  <w:rStyle w:val="InternetLink"/>
                  <w:rFonts w:ascii="Arial;sans-serif" w:hAnsi="Arial;sans-serif"/>
                  <w:b w:val="false"/>
                  <w:color w:val="0000FF"/>
                  <w:sz w:val="20"/>
                  <w:u w:val="single"/>
                </w:rPr>
                <w:t>49</w:t>
              </w:r>
            </w:hyperlink>
          </w:p>
        </w:tc>
      </w:tr>
      <w:tr>
        <w:trPr/>
        <w:tc>
          <w:tcPr>
            <w:tcW w:w="17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826">
              <w:r>
                <w:rPr>
                  <w:rStyle w:val="InternetLink"/>
                  <w:rFonts w:ascii="Arial;sans-serif" w:hAnsi="Arial;sans-serif"/>
                  <w:b w:val="false"/>
                  <w:color w:val="0000FF"/>
                  <w:sz w:val="20"/>
                  <w:u w:val="single"/>
                </w:rPr>
                <w:t>Item 6.</w:t>
              </w:r>
            </w:hyperlink>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826">
              <w:r>
                <w:rPr>
                  <w:rStyle w:val="InternetLink"/>
                  <w:rFonts w:ascii="Arial;sans-serif" w:hAnsi="Arial;sans-serif"/>
                  <w:b w:val="false"/>
                  <w:color w:val="0000FF"/>
                  <w:sz w:val="20"/>
                  <w:u w:val="single"/>
                </w:rPr>
                <w:t>Exhibits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fcdad348b3c4a57aa352cc8de1ffc2f_868">
              <w:r>
                <w:rPr>
                  <w:rStyle w:val="InternetLink"/>
                  <w:rFonts w:ascii="Arial;sans-serif" w:hAnsi="Arial;sans-serif"/>
                  <w:b w:val="false"/>
                  <w:color w:val="0000FF"/>
                  <w:sz w:val="20"/>
                  <w:u w:val="single"/>
                </w:rPr>
                <w:t>50</w:t>
              </w:r>
            </w:hyperlink>
          </w:p>
        </w:tc>
      </w:tr>
      <w:tr>
        <w:trPr/>
        <w:tc>
          <w:tcPr>
            <w:tcW w:w="17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fcdad348b3c4a57aa352cc8de1ffc2f_829">
              <w:r>
                <w:rPr>
                  <w:rStyle w:val="InternetLink"/>
                  <w:rFonts w:ascii="Arial;sans-serif" w:hAnsi="Arial;sans-serif"/>
                  <w:b w:val="false"/>
                  <w:color w:val="0000FF"/>
                  <w:sz w:val="20"/>
                  <w:u w:val="single"/>
                </w:rPr>
                <w:t>Signatures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fcdad348b3c4a57aa352cc8de1ffc2f_871">
              <w:r>
                <w:rPr>
                  <w:rStyle w:val="InternetLink"/>
                  <w:rFonts w:ascii="Arial;sans-serif" w:hAnsi="Arial;sans-serif"/>
                  <w:b w:val="false"/>
                  <w:color w:val="0000FF"/>
                  <w:sz w:val="20"/>
                  <w:u w:val="single"/>
                </w:rPr>
                <w:t>51</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Table of Contents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DISCLOSURE REGARDING FORWARD-LOOKING STATEMENTS</w:t>
      </w:r>
    </w:p>
    <w:p>
      <w:pPr>
        <w:pStyle w:val="TextBody"/>
        <w:spacing w:before="0" w:after="0"/>
        <w:jc w:val="center"/>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future developments, plans, objectives, strategies,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“project,” “continue,” “future,” “will,” “would,” “could,” “can,” “may” and similar terms.  These forward-looking statements are based on information available to us as of the date of this Form 10-Q and represent management’s current views and assumptions based on past experience and trends, current economic and industry conditions, expected future developments and other relevant factors.  Forward-looking statements are not guarantees of future performance, events or results and involve potential known and unknown risks, uncertainties, including the impact of the coronavirus pandemic (COVID-19), and other factors, many of which may be beyond our control and may pose a risk to our operating and financial condition both the near- and long-term.  Accordingly, actual performance, events or results could differ materially from those expressed or implied in the forward-looking statements due to a number of factors including, but not limited to:  </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 xml:space="preserve">significant risks related to our ability to operate and control our satellites, operational and environmental risks related to our owned and leased satellites, and risks related to our satellites under construction; </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 xml:space="preserve">our ability and the ability of third parties with whom we engage to operate our business as a result of the COVID-19 pandemic, including regulatory and competitive considerations; </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 xml:space="preserve">our ability to implement and/or realize benefits of our investments and other strategic initiatives; </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 xml:space="preserve">legal proceedings relating to the BSS Transaction or other matters that could result in substantial costs and material adverse effects to our business; </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risks related to our foreign operations and other uncertainties associated with doing business internationally;</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risks related to our dependency upon third-party providers, including supply chain disruptions and inflation;</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risks related to cybersecurity incidents; and</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 xml:space="preserve">risks related to our human capital resources. </w:t>
      </w:r>
    </w:p>
    <w:p>
      <w:pPr>
        <w:pStyle w:val="TextBody"/>
        <w:spacing w:lineRule="auto" w:line="288" w:before="0" w:after="0"/>
        <w:ind w:left="0" w:right="0" w:hanging="36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Discussion and Analysis of Financial Condition and Results of Operations in Part I, Item 2 of this Form 10-Q and in Part II, Item 7 of our Form 10-K and those discussed in other documents we file with the SEC.</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Should one or more of the risks or uncertainties described herein or in any documents we file with the SEC occur, or should underlying assumptions prove incorrect, our actual results and plans could differ materially from those expressed in any forward-looking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310"/>
                <wp:effectExtent l="0" t="0" r="0" b="0"/>
                <wp:wrapNone/>
                <wp:docPr id="4" name="Frame3"/>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v:textbox>
              </v:rect>
            </w:pict>
          </mc:Fallback>
        </mc:AlternateConten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Table of Contents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PART I — FINANCIAL INFORMATION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 except share and per share amounts)</w:t>
      </w:r>
    </w:p>
    <w:p>
      <w:pPr>
        <w:pStyle w:val="TextBody"/>
        <w:spacing w:before="0" w:after="0"/>
        <w:jc w:val="center"/>
        <w:rPr/>
      </w:pPr>
      <w:r>
        <w:rPr/>
      </w:r>
    </w:p>
    <w:tbl>
      <w:tblPr>
        <w:tblW w:w="8617" w:type="dxa"/>
        <w:jc w:val="center"/>
        <w:tblInd w:w="0" w:type="dxa"/>
        <w:tblCellMar>
          <w:top w:w="28" w:type="dxa"/>
          <w:left w:w="28" w:type="dxa"/>
          <w:bottom w:w="28" w:type="dxa"/>
          <w:right w:w="28" w:type="dxa"/>
        </w:tblCellMar>
      </w:tblPr>
      <w:tblGrid>
        <w:gridCol w:w="1658"/>
        <w:gridCol w:w="1455"/>
        <w:gridCol w:w="1476"/>
        <w:gridCol w:w="109"/>
        <w:gridCol w:w="109"/>
        <w:gridCol w:w="109"/>
        <w:gridCol w:w="233"/>
        <w:gridCol w:w="1131"/>
        <w:gridCol w:w="120"/>
        <w:gridCol w:w="109"/>
        <w:gridCol w:w="109"/>
        <w:gridCol w:w="109"/>
        <w:gridCol w:w="287"/>
        <w:gridCol w:w="1393"/>
        <w:gridCol w:w="210"/>
      </w:tblGrid>
      <w:tr>
        <w:trPr/>
        <w:tc>
          <w:tcPr>
            <w:tcW w:w="1658"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4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4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920,105 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704,541 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755,169 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973,915 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and contract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251,871 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236,479 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252,596 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210,446 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2,179,741 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2,125,381 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2,175,861 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2,237,617 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147,707 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151,518 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532,858 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532,491 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Regulatory authorizations,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461,556 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462,531 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15,698 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364,954 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356,705 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315,960 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317,062 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4,014,047 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4,073,622 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6,193,788 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6,199,003 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85,772 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101,239 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129,292 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121,739 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163,109 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199,853 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378,173 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422,831 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1,496,981 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1,496,777 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430,957 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424,621 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131,881 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135,932 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112,534 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119,787 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2,172,353 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2,177,117 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2,550,526 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2,599,948 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310"/>
                <wp:effectExtent l="0" t="0" r="0" b="0"/>
                <wp:wrapNone/>
                <wp:docPr id="5" name="Frame4"/>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lineRule="auto" w:line="288" w:before="0" w:after="0"/>
        <w:jc w:val="both"/>
        <w:rPr/>
      </w:pPr>
      <w:hyperlink w:anchor="iffcdad348b3c4a57aa352cc8de1ffc2f_7">
        <w:r>
          <w:rPr>
            <w:rStyle w:val="InternetLink"/>
            <w:rFonts w:ascii="Arial;sans-serif" w:hAnsi="Arial;sans-serif"/>
            <w:b w:val="false"/>
            <w:color w:val="0000FF"/>
            <w:sz w:val="20"/>
            <w:u w:val="single"/>
          </w:rPr>
          <w:t xml:space="preserve">Table of Contents </w:t>
        </w:r>
      </w:hyperlink>
    </w:p>
    <w:p>
      <w:pPr>
        <w:pStyle w:val="TextBody"/>
        <w:spacing w:before="0" w:after="0"/>
        <w:jc w:val="both"/>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 except share and per share amounts)</w:t>
      </w:r>
    </w:p>
    <w:p>
      <w:pPr>
        <w:pStyle w:val="TextBody"/>
        <w:spacing w:before="0" w:after="0"/>
        <w:jc w:val="center"/>
        <w:rPr/>
      </w:pPr>
      <w:r>
        <w:rPr/>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495"/>
        <w:gridCol w:w="2159"/>
        <w:gridCol w:w="2169"/>
        <w:gridCol w:w="109"/>
        <w:gridCol w:w="109"/>
        <w:gridCol w:w="109"/>
        <w:gridCol w:w="211"/>
        <w:gridCol w:w="1021"/>
        <w:gridCol w:w="109"/>
        <w:gridCol w:w="109"/>
        <w:gridCol w:w="109"/>
        <w:gridCol w:w="109"/>
        <w:gridCol w:w="211"/>
        <w:gridCol w:w="1021"/>
        <w:gridCol w:w="155"/>
      </w:tblGrid>
      <w:tr>
        <w:trPr/>
        <w:tc>
          <w:tcPr>
            <w:tcW w:w="2495" w:type="dxa"/>
            <w:tcBorders/>
            <w:shd w:fill="auto" w:val="clear"/>
            <w:vAlign w:val="center"/>
          </w:tcPr>
          <w:p>
            <w:pPr>
              <w:pStyle w:val="TableContents"/>
              <w:spacing w:before="0" w:after="283"/>
              <w:rPr>
                <w:sz w:val="4"/>
                <w:szCs w:val="4"/>
              </w:rPr>
            </w:pPr>
            <w:r>
              <w:rPr>
                <w:sz w:val="4"/>
                <w:szCs w:val="4"/>
              </w:rPr>
            </w:r>
          </w:p>
        </w:tc>
        <w:tc>
          <w:tcPr>
            <w:tcW w:w="2159" w:type="dxa"/>
            <w:tcBorders/>
            <w:shd w:fill="auto" w:val="clear"/>
            <w:vAlign w:val="center"/>
          </w:tcPr>
          <w:p>
            <w:pPr>
              <w:pStyle w:val="TableContents"/>
              <w:spacing w:before="0" w:after="283"/>
              <w:rPr>
                <w:sz w:val="4"/>
                <w:szCs w:val="4"/>
              </w:rPr>
            </w:pPr>
            <w:r>
              <w:rPr>
                <w:sz w:val="4"/>
                <w:szCs w:val="4"/>
              </w:rPr>
            </w:r>
          </w:p>
        </w:tc>
        <w:tc>
          <w:tcPr>
            <w:tcW w:w="2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8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82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$0.001 par value, 20,000,000 shares authorized, none issued and outstanding at both March 31, 2023 and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Common stock, $0.001 par value, 4,000,000,000 shares authorized: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Class A common stock, $0.001 par value, 1,600,000,000 shares authorized, 59,303,237 shares issued and 35,989,926 shares outstanding at March 31, 2023 and 58,604,927 shares issued and 35,291,616 shares outstanding at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Class B convertible common stock, $0.001 par value, 800,000,000 shares authorized, 47,687,039 shares issued and outstanding at both March 31, 2023 and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Class C convertible common stock, $0.001 par value, 800,000,000 shares authorized, none issued and outstanding at both March 31, 2023 and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Class D common stock, $0.001 par value, 800,000,000 shares authorized, none issued and outstanding at both March 31, 2023 and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3,376,169 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3,367,058 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(166,931)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(172,239)</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earnings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862,558 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833,517 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shares, at cost, 23,313,311 shares at both March 31, 2023 and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(525,824)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(525,824)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EchoStar Corporation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3,546,079 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3,502,619 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96,436 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3,643,262 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3,599,055 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6,193,788 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6,199,003 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310"/>
                <wp:effectExtent l="0" t="0" r="0" b="0"/>
                <wp:wrapNone/>
                <wp:docPr id="6" name="Frame5"/>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lineRule="auto" w:line="288" w:before="0" w:after="0"/>
        <w:jc w:val="both"/>
        <w:rPr/>
      </w:pPr>
      <w:hyperlink w:anchor="iffcdad348b3c4a57aa352cc8de1ffc2f_7">
        <w:r>
          <w:rPr>
            <w:rStyle w:val="InternetLink"/>
            <w:rFonts w:ascii="Arial;sans-serif" w:hAnsi="Arial;sans-serif"/>
            <w:b w:val="false"/>
            <w:color w:val="0000FF"/>
            <w:sz w:val="20"/>
            <w:u w:val="single"/>
          </w:rPr>
          <w:t xml:space="preserve">Table of Contents </w:t>
        </w:r>
      </w:hyperlink>
    </w:p>
    <w:p>
      <w:pPr>
        <w:pStyle w:val="TextBody"/>
        <w:spacing w:before="0" w:after="0"/>
        <w:jc w:val="both"/>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 except per share amounts)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148"/>
        <w:gridCol w:w="1790"/>
        <w:gridCol w:w="1801"/>
        <w:gridCol w:w="109"/>
        <w:gridCol w:w="109"/>
        <w:gridCol w:w="109"/>
        <w:gridCol w:w="270"/>
        <w:gridCol w:w="1098"/>
        <w:gridCol w:w="139"/>
        <w:gridCol w:w="139"/>
        <w:gridCol w:w="139"/>
        <w:gridCol w:w="139"/>
        <w:gridCol w:w="270"/>
        <w:gridCol w:w="1098"/>
        <w:gridCol w:w="139"/>
        <w:gridCol w:w="109"/>
        <w:gridCol w:w="109"/>
        <w:gridCol w:w="109"/>
        <w:gridCol w:w="109"/>
        <w:gridCol w:w="109"/>
        <w:gridCol w:w="163"/>
      </w:tblGrid>
      <w:tr>
        <w:trPr/>
        <w:tc>
          <w:tcPr>
            <w:tcW w:w="2148"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1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0" w:type="dxa"/>
            <w:gridSpan w:val="4"/>
            <w:tcBorders/>
            <w:shd w:fill="auto" w:val="clear"/>
          </w:tcPr>
          <w:p>
            <w:pPr>
              <w:pStyle w:val="TableContents"/>
              <w:spacing w:before="0" w:after="283"/>
              <w:rPr>
                <w:sz w:val="4"/>
                <w:szCs w:val="4"/>
              </w:rPr>
            </w:pPr>
            <w:r>
              <w:rPr>
                <w:sz w:val="4"/>
                <w:szCs w:val="4"/>
              </w:rPr>
            </w:r>
          </w:p>
        </w:tc>
      </w:tr>
      <w:tr>
        <w:trPr/>
        <w:tc>
          <w:tcPr>
            <w:tcW w:w="5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377,527 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418,811 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Equipment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62,070 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82,723 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439,597 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501,534 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 - services and other (exclusive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135,372 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141,129 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 - equipment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51,662 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69,114 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110,061 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118,170 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8,255 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7,617 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102,858 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120,436 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411,350 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456,466 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28,247 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45,068 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28,596 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amounts capitalized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(13,286)</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(14,973)</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(7,109)</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80,686 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earnings (losses) of unconsolidated affiliates,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(1,714)</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transaction gains (losses),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3,313 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6,394 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7"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50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76,659 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39,280 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121,727 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(provision),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(11,460)</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(32,782)</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88,945 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EchoStar Corporation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29,041 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91,433 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Earnings (losses) per share - Class A and B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0.35 </w:t>
            </w:r>
          </w:p>
        </w:tc>
        <w:tc>
          <w:tcPr>
            <w:tcW w:w="1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310"/>
                <wp:effectExtent l="0" t="0" r="0" b="0"/>
                <wp:wrapNone/>
                <wp:docPr id="7" name="Frame6"/>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lineRule="auto" w:line="288" w:before="0" w:after="0"/>
        <w:jc w:val="both"/>
        <w:rPr/>
      </w:pPr>
      <w:hyperlink w:anchor="iffcdad348b3c4a57aa352cc8de1ffc2f_7">
        <w:r>
          <w:rPr>
            <w:rStyle w:val="InternetLink"/>
            <w:rFonts w:ascii="Arial;sans-serif" w:hAnsi="Arial;sans-serif"/>
            <w:b w:val="false"/>
            <w:color w:val="0000FF"/>
            <w:sz w:val="20"/>
            <w:u w:val="single"/>
          </w:rPr>
          <w:t xml:space="preserve">Table of Contents </w:t>
        </w:r>
      </w:hyperlink>
    </w:p>
    <w:p>
      <w:pPr>
        <w:pStyle w:val="TextBody"/>
        <w:spacing w:before="0" w:after="0"/>
        <w:jc w:val="both"/>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 (LOSS)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272"/>
        <w:gridCol w:w="1995"/>
        <w:gridCol w:w="1996"/>
        <w:gridCol w:w="109"/>
        <w:gridCol w:w="109"/>
        <w:gridCol w:w="109"/>
        <w:gridCol w:w="291"/>
        <w:gridCol w:w="1036"/>
        <w:gridCol w:w="149"/>
        <w:gridCol w:w="149"/>
        <w:gridCol w:w="149"/>
        <w:gridCol w:w="149"/>
        <w:gridCol w:w="291"/>
        <w:gridCol w:w="1181"/>
        <w:gridCol w:w="220"/>
      </w:tblGrid>
      <w:tr>
        <w:trPr/>
        <w:tc>
          <w:tcPr>
            <w:tcW w:w="2272" w:type="dxa"/>
            <w:tcBorders/>
            <w:shd w:fill="auto" w:val="clear"/>
            <w:vAlign w:val="center"/>
          </w:tcPr>
          <w:p>
            <w:pPr>
              <w:pStyle w:val="TableContents"/>
              <w:spacing w:before="0" w:after="283"/>
              <w:rPr>
                <w:sz w:val="4"/>
                <w:szCs w:val="4"/>
              </w:rPr>
            </w:pPr>
            <w:r>
              <w:rPr>
                <w:sz w:val="4"/>
                <w:szCs w:val="4"/>
              </w:rPr>
            </w:r>
          </w:p>
        </w:tc>
        <w:tc>
          <w:tcPr>
            <w:tcW w:w="1995" w:type="dxa"/>
            <w:tcBorders/>
            <w:shd w:fill="auto" w:val="clear"/>
            <w:vAlign w:val="center"/>
          </w:tcPr>
          <w:p>
            <w:pPr>
              <w:pStyle w:val="TableContents"/>
              <w:spacing w:before="0" w:after="283"/>
              <w:rPr>
                <w:sz w:val="4"/>
                <w:szCs w:val="4"/>
              </w:rPr>
            </w:pPr>
            <w:r>
              <w:rPr>
                <w:sz w:val="4"/>
                <w:szCs w:val="4"/>
              </w:rPr>
            </w:r>
          </w:p>
        </w:tc>
        <w:tc>
          <w:tcPr>
            <w:tcW w:w="19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62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62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2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88,945 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7,491 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48,945 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 (losses)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692" w:type="dxa"/>
            <w:gridSpan w:val="3"/>
            <w:tcBorders/>
            <w:shd w:fill="auto" w:val="clear"/>
            <w:vAlign w:val="center"/>
          </w:tcPr>
          <w:p>
            <w:pPr>
              <w:pStyle w:val="TableContents"/>
              <w:spacing w:before="0" w:after="283"/>
              <w:rPr>
                <w:sz w:val="4"/>
                <w:szCs w:val="4"/>
              </w:rPr>
            </w:pPr>
            <w:r>
              <w:rPr>
                <w:sz w:val="4"/>
                <w:szCs w:val="4"/>
              </w:rPr>
            </w:r>
          </w:p>
        </w:tc>
      </w:tr>
      <w:tr>
        <w:trPr/>
        <w:tc>
          <w:tcPr>
            <w:tcW w:w="6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692" w:type="dxa"/>
            <w:gridSpan w:val="3"/>
            <w:tcBorders/>
            <w:shd w:fill="auto" w:val="clear"/>
            <w:vAlign w:val="center"/>
          </w:tcPr>
          <w:p>
            <w:pPr>
              <w:pStyle w:val="TableContents"/>
              <w:spacing w:before="0" w:after="283"/>
              <w:rPr>
                <w:sz w:val="4"/>
                <w:szCs w:val="4"/>
              </w:rPr>
            </w:pPr>
            <w:r>
              <w:rPr>
                <w:sz w:val="4"/>
                <w:szCs w:val="4"/>
              </w:rPr>
            </w:r>
          </w:p>
        </w:tc>
      </w:tr>
      <w:tr>
        <w:trPr/>
        <w:tc>
          <w:tcPr>
            <w:tcW w:w="6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692" w:type="dxa"/>
            <w:gridSpan w:val="3"/>
            <w:tcBorders/>
            <w:shd w:fill="auto" w:val="clear"/>
            <w:vAlign w:val="center"/>
          </w:tcPr>
          <w:p>
            <w:pPr>
              <w:pStyle w:val="TableContents"/>
              <w:spacing w:before="0" w:after="283"/>
              <w:rPr>
                <w:sz w:val="4"/>
                <w:szCs w:val="4"/>
              </w:rPr>
            </w:pPr>
            <w:r>
              <w:rPr>
                <w:sz w:val="4"/>
                <w:szCs w:val="4"/>
              </w:rPr>
            </w:r>
          </w:p>
        </w:tc>
      </w:tr>
      <w:tr>
        <w:trPr/>
        <w:tc>
          <w:tcPr>
            <w:tcW w:w="62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48,378 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35,096 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137,323 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Comprehensive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(7,068)</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 attributable to EchoStar Corporation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34,349 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130,255 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310"/>
                <wp:effectExtent l="0" t="0" r="0" b="0"/>
                <wp:wrapNone/>
                <wp:docPr id="8" name="Frame7"/>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lineRule="auto" w:line="288" w:before="0" w:after="0"/>
        <w:jc w:val="both"/>
        <w:rPr/>
      </w:pPr>
      <w:hyperlink w:anchor="iffcdad348b3c4a57aa352cc8de1ffc2f_7">
        <w:r>
          <w:rPr>
            <w:rStyle w:val="InternetLink"/>
            <w:rFonts w:ascii="Arial;sans-serif" w:hAnsi="Arial;sans-serif"/>
            <w:b w:val="false"/>
            <w:color w:val="0000FF"/>
            <w:sz w:val="20"/>
            <w:u w:val="single"/>
          </w:rPr>
          <w:t xml:space="preserve">Table of Contents </w:t>
        </w:r>
      </w:hyperlink>
    </w:p>
    <w:p>
      <w:pPr>
        <w:pStyle w:val="TextBody"/>
        <w:spacing w:before="0" w:after="0"/>
        <w:jc w:val="both"/>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CHANGES IN STOCKHOLDERS’ EQUITY</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FOR THE THREE MONTHS ENDED MARCH 31, 2023 AND 2022</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spacing w:before="0" w:after="0"/>
        <w:jc w:val="center"/>
        <w:rPr/>
      </w:pPr>
      <w:r>
        <w:rPr/>
      </w:r>
    </w:p>
    <w:tbl>
      <w:tblPr>
        <w:tblW w:w="12367" w:type="dxa"/>
        <w:jc w:val="center"/>
        <w:tblInd w:w="0" w:type="dxa"/>
        <w:tblCellMar>
          <w:top w:w="28" w:type="dxa"/>
          <w:left w:w="28" w:type="dxa"/>
          <w:bottom w:w="28" w:type="dxa"/>
          <w:right w:w="28" w:type="dxa"/>
        </w:tblCellMar>
      </w:tblPr>
      <w:tblGrid>
        <w:gridCol w:w="857"/>
        <w:gridCol w:w="291"/>
        <w:gridCol w:w="293"/>
        <w:gridCol w:w="109"/>
        <w:gridCol w:w="109"/>
        <w:gridCol w:w="109"/>
        <w:gridCol w:w="221"/>
        <w:gridCol w:w="505"/>
        <w:gridCol w:w="115"/>
        <w:gridCol w:w="109"/>
        <w:gridCol w:w="109"/>
        <w:gridCol w:w="109"/>
        <w:gridCol w:w="211"/>
        <w:gridCol w:w="1021"/>
        <w:gridCol w:w="109"/>
        <w:gridCol w:w="109"/>
        <w:gridCol w:w="109"/>
        <w:gridCol w:w="109"/>
        <w:gridCol w:w="242"/>
        <w:gridCol w:w="983"/>
        <w:gridCol w:w="126"/>
        <w:gridCol w:w="109"/>
        <w:gridCol w:w="109"/>
        <w:gridCol w:w="109"/>
        <w:gridCol w:w="211"/>
        <w:gridCol w:w="856"/>
        <w:gridCol w:w="109"/>
        <w:gridCol w:w="109"/>
        <w:gridCol w:w="109"/>
        <w:gridCol w:w="109"/>
        <w:gridCol w:w="211"/>
        <w:gridCol w:w="856"/>
        <w:gridCol w:w="109"/>
        <w:gridCol w:w="109"/>
        <w:gridCol w:w="109"/>
        <w:gridCol w:w="109"/>
        <w:gridCol w:w="245"/>
        <w:gridCol w:w="994"/>
        <w:gridCol w:w="127"/>
        <w:gridCol w:w="109"/>
        <w:gridCol w:w="109"/>
        <w:gridCol w:w="109"/>
        <w:gridCol w:w="211"/>
        <w:gridCol w:w="1021"/>
        <w:gridCol w:w="154"/>
      </w:tblGrid>
      <w:tr>
        <w:trPr/>
        <w:tc>
          <w:tcPr>
            <w:tcW w:w="85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 Earnings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Treasury Shares, at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3,345,878 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(212,102)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60,253 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3,414,080 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Issuance of Class A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benefits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and contribution of assets pursuant to the India JV formation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share repurchase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(35,061)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3,343,056 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(173,280)</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(471,582)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111,714 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3,557,913 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3,367,058 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(172,239)</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833,517 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(525,824)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96,436 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3,599,055 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Issuance of Class A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benefits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Balance,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3,376,169 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(166,931)</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(525,824)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97,183 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3,643,262 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310"/>
                <wp:effectExtent l="0" t="0" r="0" b="0"/>
                <wp:wrapNone/>
                <wp:docPr id="9" name="Frame8"/>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lineRule="auto" w:line="288" w:before="0" w:after="0"/>
        <w:jc w:val="both"/>
        <w:rPr/>
      </w:pPr>
      <w:hyperlink w:anchor="iffcdad348b3c4a57aa352cc8de1ffc2f_7">
        <w:r>
          <w:rPr>
            <w:rStyle w:val="InternetLink"/>
            <w:rFonts w:ascii="Arial;sans-serif" w:hAnsi="Arial;sans-serif"/>
            <w:b w:val="false"/>
            <w:color w:val="0000FF"/>
            <w:sz w:val="20"/>
            <w:u w:val="single"/>
          </w:rPr>
          <w:t xml:space="preserve">Table of Contents </w:t>
        </w:r>
      </w:hyperlink>
    </w:p>
    <w:p>
      <w:pPr>
        <w:pStyle w:val="TextBody"/>
        <w:spacing w:before="0" w:after="0"/>
        <w:jc w:val="both"/>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CellMar>
          <w:top w:w="28" w:type="dxa"/>
          <w:left w:w="28" w:type="dxa"/>
          <w:bottom w:w="28" w:type="dxa"/>
          <w:right w:w="28" w:type="dxa"/>
        </w:tblCellMar>
      </w:tblPr>
      <w:tblGrid>
        <w:gridCol w:w="2421"/>
        <w:gridCol w:w="1990"/>
        <w:gridCol w:w="2002"/>
        <w:gridCol w:w="109"/>
        <w:gridCol w:w="109"/>
        <w:gridCol w:w="109"/>
        <w:gridCol w:w="273"/>
        <w:gridCol w:w="974"/>
        <w:gridCol w:w="140"/>
        <w:gridCol w:w="140"/>
        <w:gridCol w:w="140"/>
        <w:gridCol w:w="140"/>
        <w:gridCol w:w="273"/>
        <w:gridCol w:w="974"/>
        <w:gridCol w:w="140"/>
        <w:gridCol w:w="109"/>
        <w:gridCol w:w="162"/>
      </w:tblGrid>
      <w:tr>
        <w:trPr/>
        <w:tc>
          <w:tcPr>
            <w:tcW w:w="2421" w:type="dxa"/>
            <w:tcBorders/>
            <w:shd w:fill="auto" w:val="clear"/>
            <w:vAlign w:val="center"/>
          </w:tcPr>
          <w:p>
            <w:pPr>
              <w:pStyle w:val="TableContents"/>
              <w:spacing w:before="0" w:after="283"/>
              <w:rPr>
                <w:sz w:val="4"/>
                <w:szCs w:val="4"/>
              </w:rPr>
            </w:pPr>
            <w:r>
              <w:rPr>
                <w:sz w:val="4"/>
                <w:szCs w:val="4"/>
              </w:rPr>
            </w:r>
          </w:p>
        </w:tc>
        <w:tc>
          <w:tcPr>
            <w:tcW w:w="1990" w:type="dxa"/>
            <w:tcBorders/>
            <w:shd w:fill="auto" w:val="clear"/>
            <w:vAlign w:val="center"/>
          </w:tcPr>
          <w:p>
            <w:pPr>
              <w:pStyle w:val="TableContents"/>
              <w:spacing w:before="0" w:after="283"/>
              <w:rPr>
                <w:sz w:val="4"/>
                <w:szCs w:val="4"/>
              </w:rPr>
            </w:pPr>
            <w:r>
              <w:rPr>
                <w:sz w:val="4"/>
                <w:szCs w:val="4"/>
              </w:rPr>
            </w:r>
          </w:p>
        </w:tc>
        <w:tc>
          <w:tcPr>
            <w:tcW w:w="20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271" w:type="dxa"/>
            <w:gridSpan w:val="2"/>
            <w:tcBorders/>
            <w:shd w:fill="auto" w:val="clear"/>
          </w:tcPr>
          <w:p>
            <w:pPr>
              <w:pStyle w:val="TableContents"/>
              <w:spacing w:before="0" w:after="283"/>
              <w:rPr>
                <w:sz w:val="4"/>
                <w:szCs w:val="4"/>
              </w:rPr>
            </w:pPr>
            <w:r>
              <w:rPr>
                <w:sz w:val="4"/>
                <w:szCs w:val="4"/>
              </w:rPr>
            </w:r>
          </w:p>
        </w:tc>
      </w:tr>
      <w:tr>
        <w:trPr/>
        <w:tc>
          <w:tcPr>
            <w:tcW w:w="64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88,945 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Adjustments to reconcile net income (loss) to cash flows provided by (used for)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102,858 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120,436 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3,142 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Losses (gains) on investments,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7,109 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(80,686)</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losses (earnings) of unconsolidated affiliates,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1,714 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transaction losses (gains),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(3,313)</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(6,394)</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provision (benefit),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6,521 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25,538 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2,592 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(24,078)</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(2,528)</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Changes in assets and liabilities,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and contract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(14,041)</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(8,480)</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(27,153)</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(3,340)</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(13,797)</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7,046 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7,553 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(3,142)</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(28,257)</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(27,033)</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assets and non-current liabilities,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(9,774)</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(used for)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46,425 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104,353 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(238,585)</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(88,578)</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maturities of marketable investment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457,776 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492,812 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Expenditures for 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(59,071)</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(112,138)</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Refunds and other receipts related to 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Expenditures for externally marketed software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(6,962)</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(5,093)</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India JV formation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(7,892)</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(used for)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168,158 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279,111 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601"/>
        <w:gridCol w:w="2268"/>
        <w:gridCol w:w="2283"/>
        <w:gridCol w:w="109"/>
        <w:gridCol w:w="109"/>
        <w:gridCol w:w="109"/>
        <w:gridCol w:w="211"/>
        <w:gridCol w:w="856"/>
        <w:gridCol w:w="109"/>
        <w:gridCol w:w="109"/>
        <w:gridCol w:w="109"/>
        <w:gridCol w:w="109"/>
        <w:gridCol w:w="211"/>
        <w:gridCol w:w="856"/>
        <w:gridCol w:w="156"/>
      </w:tblGrid>
      <w:tr>
        <w:trPr/>
        <w:tc>
          <w:tcPr>
            <w:tcW w:w="2601" w:type="dxa"/>
            <w:tcBorders/>
            <w:shd w:fill="auto" w:val="clear"/>
            <w:vAlign w:val="center"/>
          </w:tcPr>
          <w:p>
            <w:pPr>
              <w:pStyle w:val="TableContents"/>
              <w:spacing w:before="0" w:after="283"/>
              <w:rPr>
                <w:sz w:val="4"/>
                <w:szCs w:val="4"/>
              </w:rPr>
            </w:pPr>
            <w:r>
              <w:rPr>
                <w:sz w:val="4"/>
                <w:szCs w:val="4"/>
              </w:rPr>
            </w:r>
          </w:p>
        </w:tc>
        <w:tc>
          <w:tcPr>
            <w:tcW w:w="2268" w:type="dxa"/>
            <w:tcBorders/>
            <w:shd w:fill="auto" w:val="clear"/>
            <w:vAlign w:val="center"/>
          </w:tcPr>
          <w:p>
            <w:pPr>
              <w:pStyle w:val="TableContents"/>
              <w:spacing w:before="0" w:after="283"/>
              <w:rPr>
                <w:sz w:val="4"/>
                <w:szCs w:val="4"/>
              </w:rPr>
            </w:pPr>
            <w:r>
              <w:rPr>
                <w:sz w:val="4"/>
                <w:szCs w:val="4"/>
              </w:rPr>
            </w:r>
          </w:p>
        </w:tc>
        <w:tc>
          <w:tcPr>
            <w:tcW w:w="2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finance 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in-orbit incentive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Class A common stock issued under the Employee Stock Purchase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share repurchase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(33,307)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7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(used for)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(32,469)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354,475 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including restricted amounts, beginning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705,883 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536,874 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including restricted amounts,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891,349 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310"/>
                <wp:effectExtent l="0" t="0" r="0" b="0"/>
                <wp:wrapNone/>
                <wp:docPr id="10" name="Frame9"/>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lineRule="auto" w:line="288" w:before="0" w:after="0"/>
        <w:jc w:val="both"/>
        <w:rPr/>
      </w:pPr>
      <w:hyperlink w:anchor="iffcdad348b3c4a57aa352cc8de1ffc2f_802">
        <w:r>
          <w:rPr>
            <w:rStyle w:val="InternetLink"/>
            <w:rFonts w:ascii="Arial;sans-serif" w:hAnsi="Arial;sans-serif"/>
            <w:b w:val="false"/>
            <w:color w:val="0000FF"/>
            <w:sz w:val="20"/>
            <w:u w:val="single"/>
          </w:rPr>
          <w:t xml:space="preserve">Table of Contents </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1.    ORGANIZATION AND BUSINESS ACTIVITIES</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Principal Business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EchoStar Corporation (which, together with its subsidiaries, is referred to as “EchoStar,” the “Company,” “we,” “us” and “our”) is a holding company that was organized in October 2007 as a corporation under the laws of the State of Nevada. Our Class A common stock is publicly traded on the NASDAQ Global Select Market (“NASDAQ”) under the symbol “SATS.”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an industry leader in both networking technologies and services, innovating to deliver the global solutions that power a connected future for people, enterprises and things everywhere. We provide internet services to consumer customers, which include home and small to medium-sized businesses, and satellite and multi-transport technologies and managed network services to enterprise customers, telecommunications providers, aeronautical service providers and government entities, including the U.S. Department of Defense. We operate in the following two business segments:</w:t>
      </w:r>
    </w:p>
    <w:p>
      <w:pPr>
        <w:pStyle w:val="TextBody"/>
        <w:spacing w:lineRule="auto" w:line="288" w:before="0" w:after="0"/>
        <w:jc w:val="both"/>
        <w:rPr>
          <w:color w:val="000000"/>
        </w:rPr>
      </w:pPr>
      <w:r>
        <w:rPr>
          <w:color w:val="000000"/>
        </w:rPr>
        <w:t> </w:t>
      </w:r>
    </w:p>
    <w:p>
      <w:pPr>
        <w:pStyle w:val="TextBody"/>
        <w:spacing w:lineRule="auto" w:line="288" w:before="0" w:after="90"/>
        <w:ind w:left="0" w:right="0" w:hanging="360"/>
        <w:jc w:val="both"/>
        <w:rPr/>
      </w:pPr>
      <w:r>
        <w:rPr>
          <w:color w:val="000000"/>
        </w:rPr>
        <w:t>•</w:t>
      </w:r>
      <w:r>
        <w:rPr>
          <w:rFonts w:ascii="Arial;sans-serif" w:hAnsi="Arial;sans-serif"/>
          <w:b/>
          <w:i/>
          <w:color w:val="000000"/>
          <w:sz w:val="20"/>
        </w:rPr>
        <w:t xml:space="preserve">Hughes segment </w:t>
      </w:r>
      <w:r>
        <w:rPr>
          <w:color w:val="000000"/>
        </w:rPr>
        <w:t xml:space="preserve">— </w:t>
      </w:r>
      <w:r>
        <w:rPr>
          <w:rFonts w:ascii="Arial;sans-serif" w:hAnsi="Arial;sans-serif"/>
          <w:b w:val="false"/>
          <w:color w:val="000000"/>
          <w:sz w:val="20"/>
        </w:rPr>
        <w:t>which provides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pStyle w:val="TextBody"/>
        <w:spacing w:lineRule="auto" w:line="288" w:before="0" w:after="90"/>
        <w:ind w:left="0" w:right="0" w:hanging="360"/>
        <w:jc w:val="both"/>
        <w:rPr/>
      </w:pPr>
      <w:r>
        <w:rPr>
          <w:color w:val="000000"/>
        </w:rPr>
        <w:t>•</w:t>
      </w:r>
      <w:r>
        <w:rPr>
          <w:rFonts w:ascii="Arial;sans-serif" w:hAnsi="Arial;sans-serif"/>
          <w:b/>
          <w:i/>
          <w:color w:val="000000"/>
          <w:sz w:val="20"/>
        </w:rPr>
        <w:t>EchoStar Satellite Services segment (“ESS segment”)</w:t>
      </w:r>
      <w:r>
        <w:rPr>
          <w:color w:val="000000"/>
        </w:rPr>
        <w:t xml:space="preserve"> — </w:t>
      </w:r>
      <w:r>
        <w:rPr>
          <w:rFonts w:ascii="Arial;sans-serif" w:hAnsi="Arial;sans-serif"/>
          <w:b w:val="false"/>
          <w:color w:val="000000"/>
          <w:sz w:val="20"/>
        </w:rPr>
        <w:t>which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 During the first quarter of 2023, we transitioned the EchoStar IX satellite into inclined operations to extend its usable life for our customers. With this inclined mode of operation, we are expecting to extend the life of the spacecraft into 2024.</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Our operations also include various corporate functions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Corporate and Other segment in our segment reporting. We also divide our operations by primary geographic market as follows: (i) North America (the U.S. and its territories, Mexico, and Canada); (ii) South and Central America and (iii) Other (Asia, Africa, Australia, Europe, India, and the Middle East). Refer to </w:t>
      </w:r>
      <w:r>
        <w:rPr>
          <w:rFonts w:ascii="Arial;sans-serif" w:hAnsi="Arial;sans-serif"/>
          <w:b w:val="false"/>
          <w:i/>
          <w:color w:val="000000"/>
          <w:sz w:val="20"/>
        </w:rPr>
        <w:t>Note 14. Segment Reporting</w:t>
      </w:r>
      <w:r>
        <w:rPr>
          <w:color w:val="000000"/>
        </w:rPr>
        <w:t xml:space="preserve"> </w:t>
      </w:r>
      <w:r>
        <w:rPr>
          <w:rFonts w:ascii="Arial;sans-serif" w:hAnsi="Arial;sans-serif"/>
          <w:b w:val="false"/>
          <w:color w:val="000000"/>
          <w:sz w:val="20"/>
        </w:rPr>
        <w:t>for further detail.</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2.    SUMMARY OF SIGNIFICANT ACCOUNTING POLICIES</w:t>
      </w:r>
    </w:p>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Basis of Presentation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unaudited Consolidated Financial Statements and the accompanying notes (collectively, the “Consolidated Financial Statements”) are prepared in conformity with U.S. generally accepted accounting principles (“GAAP”) and the instructions to Form 10-Q and Article 10 of Regulation S-X for interim financial information. Accordingly, they do not include all of the information and notes required for complete financial statements prepared in conformity with GAAP. In our opinion, all adjustments, consisting of normal recurring adjustments, considered necessary for a fair presentation have been included. However, our results of operations for the interim periods presented are not necessarily indicative of the results that may be expected for the full year.</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lineRule="auto" w:line="288" w:before="0" w:after="0"/>
        <w:rPr/>
      </w:pPr>
      <w:hyperlink w:anchor="iffcdad348b3c4a57aa352cc8de1ffc2f_802">
        <w:r>
          <w:rPr>
            <w:rStyle w:val="InternetLink"/>
            <w:rFonts w:ascii="Arial;sans-serif" w:hAnsi="Arial;sans-serif"/>
            <w:b w:val="false"/>
            <w:color w:val="0000FF"/>
            <w:sz w:val="20"/>
            <w:u w:val="single"/>
          </w:rPr>
          <w:t xml:space="preserve">Table of Contents </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amounts presented in these Consolidated Financial Statements are expressed in thousands of U.S. dollars, except share and per share amounts and unless otherwise noted.</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Refer to </w:t>
      </w:r>
      <w:r>
        <w:rPr>
          <w:rFonts w:ascii="Arial;sans-serif" w:hAnsi="Arial;sans-serif"/>
          <w:b w:val="false"/>
          <w:i/>
          <w:color w:val="000000"/>
          <w:sz w:val="20"/>
        </w:rPr>
        <w:t>Note 2. Summary of Significant Accounting Policies</w:t>
      </w:r>
      <w:r>
        <w:rPr>
          <w:color w:val="000000"/>
        </w:rPr>
        <w:t xml:space="preserve"> </w:t>
      </w:r>
      <w:r>
        <w:rPr>
          <w:rFonts w:ascii="Arial;sans-serif" w:hAnsi="Arial;sans-serif"/>
          <w:b w:val="false"/>
          <w:color w:val="000000"/>
          <w:sz w:val="20"/>
        </w:rPr>
        <w:t>to the Consolidated Financial Statements in our Form 10-K for a summary and discussion of our significant accounting policies, except as updated below.</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Use of Estimates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required to make certain estimates and assumptions that affect the amounts reported in these Consolidated Financial Statements. The most significant estimates and assumptions are used in determining: (i) inputs used to recognize revenue over time, including amortization periods for deferred contract acquisition costs; (ii) allowances for doubtful accounts, and estimated credit losses on investments; (iii) deferred taxes and related valuation allowances, including uncertain tax positions; (iv) loss contingencies; (v) fair value of financial instruments; (vi) fair value of assets and liabilities acquired in business combinations; and (vii) assets and goodwill impairment testing.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financial statements. Additionally,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Principles of Consolidation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consolidate all entities in which we have a controlling financial interest. We are deemed to have a controlling financial interest in variable interest entities in which we are the primary beneficiary and in other entities in which we own more than 50% of the outstanding voting shares and other shareholders do not have substantive rights to participate in management. For entities we control but do not wholly own, we record a non-controlling interest within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stockholders’ equity for the portion of the entity’s equity attributed to the non-controlling ownership interests. All significant intercompany balances and transactions have been eliminated in consolidation.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Recently Adopted Accounting Pronouncements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Business Combinations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On January 1, 2023, we adopted Accounting Standards Update (“ASU”) No. 2021-08 - </w:t>
      </w:r>
      <w:r>
        <w:rPr>
          <w:rFonts w:ascii="Arial;sans-serif" w:hAnsi="Arial;sans-serif"/>
          <w:b w:val="false"/>
          <w:i/>
          <w:color w:val="000000"/>
          <w:sz w:val="20"/>
        </w:rPr>
        <w:t>Business Combinations (Topic 805): Accounting for Contract Assets and Contract Liabilities from Contracts with Customers</w:t>
      </w:r>
      <w:r>
        <w:rPr>
          <w:rFonts w:ascii="Arial;sans-serif" w:hAnsi="Arial;sans-serif"/>
          <w:b w:val="false"/>
          <w:color w:val="000000"/>
          <w:sz w:val="20"/>
        </w:rPr>
        <w:t xml:space="preserve">, which provides an exception to fair value measurement for contract assets and contract liabilities related to revenue contracts acquired in a business combination. The ASU requires an entity (acquirer) to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The ASU is applied to business combinations occurring on or after the adoption date.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Government Assistance</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On January 1, 2022, we adopted ASU No. 2021-10 -</w:t>
      </w:r>
      <w:r>
        <w:rPr>
          <w:color w:val="000000"/>
        </w:rPr>
        <w:t xml:space="preserve"> </w:t>
      </w:r>
      <w:r>
        <w:rPr>
          <w:rFonts w:ascii="Arial;sans-serif" w:hAnsi="Arial;sans-serif"/>
          <w:b w:val="false"/>
          <w:i/>
          <w:color w:val="000000"/>
          <w:sz w:val="20"/>
        </w:rPr>
        <w:t>Government Assistance (Topic 832)</w:t>
      </w:r>
      <w:r>
        <w:rPr>
          <w:rFonts w:ascii="Arial;sans-serif" w:hAnsi="Arial;sans-serif"/>
          <w:b w:val="false"/>
          <w:color w:val="000000"/>
          <w:sz w:val="20"/>
        </w:rPr>
        <w:t>: Disclosures by Business Entities about Government Assistance, which requires business entities (except for not-for-profit entities and employee benefit plans) to disclose information about certain government assistance they receive. The Topic 832 disclosure requirements include: (i) the nature of the transactions and the related accounting policy used; (ii) the line items on the balance sheet and income statement that are affected and the amounts applicable to each financial statement line item; and (iii) significant terms and conditions of the transactions. Our adoption of this ASU did not have a material impact on our Consolidated Financial Statements.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lineRule="auto" w:line="288" w:before="0" w:after="0"/>
        <w:rPr/>
      </w:pPr>
      <w:hyperlink w:anchor="iffcdad348b3c4a57aa352cc8de1ffc2f_802">
        <w:r>
          <w:rPr>
            <w:rStyle w:val="InternetLink"/>
            <w:rFonts w:ascii="Arial;sans-serif" w:hAnsi="Arial;sans-serif"/>
            <w:b w:val="false"/>
            <w:color w:val="0000FF"/>
            <w:sz w:val="20"/>
            <w:u w:val="single"/>
          </w:rPr>
          <w:t xml:space="preserve">Table of Contents </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Income Taxes</w:t>
      </w:r>
    </w:p>
    <w:p>
      <w:pPr>
        <w:pStyle w:val="TextBody"/>
        <w:spacing w:before="0" w:after="0"/>
        <w:jc w:val="both"/>
        <w:rPr/>
      </w:pPr>
      <w:r>
        <w:rPr/>
      </w:r>
    </w:p>
    <w:p>
      <w:pPr>
        <w:pStyle w:val="TextBody"/>
        <w:spacing w:lineRule="auto" w:line="276" w:before="0" w:after="0"/>
        <w:jc w:val="both"/>
        <w:rPr/>
      </w:pPr>
      <w:r>
        <w:rPr>
          <w:rFonts w:ascii="Arial;sans-serif" w:hAnsi="Arial;sans-serif"/>
          <w:b w:val="false"/>
          <w:color w:val="000000"/>
          <w:sz w:val="20"/>
        </w:rPr>
        <w:t xml:space="preserve">On January 1, 2021, we adopted ASU No. 2019-12 - </w:t>
      </w:r>
      <w:r>
        <w:rPr>
          <w:rFonts w:ascii="Arial;sans-serif" w:hAnsi="Arial;sans-serif"/>
          <w:b w:val="false"/>
          <w:i/>
          <w:color w:val="000000"/>
          <w:sz w:val="20"/>
        </w:rPr>
        <w:t xml:space="preserve">Income Taxes (Topic 740): Simplifying the Accounting for Income Taxes </w:t>
      </w:r>
      <w:r>
        <w:rPr>
          <w:rFonts w:ascii="Arial;sans-serif" w:hAnsi="Arial;sans-serif"/>
          <w:b w:val="false"/>
          <w:color w:val="000000"/>
          <w:sz w:val="20"/>
        </w:rPr>
        <w:t>(“ASU 2019-12”)</w:t>
      </w:r>
      <w:r>
        <w:rPr>
          <w:rFonts w:ascii="Arial;sans-serif" w:hAnsi="Arial;sans-serif"/>
          <w:b w:val="false"/>
          <w:i/>
          <w:color w:val="000000"/>
          <w:sz w:val="20"/>
        </w:rPr>
        <w:t xml:space="preserve">. </w:t>
      </w:r>
      <w:r>
        <w:rPr>
          <w:rFonts w:ascii="Arial;sans-serif" w:hAnsi="Arial;sans-serif"/>
          <w:b w:val="false"/>
          <w:color w:val="000000"/>
          <w:sz w:val="20"/>
        </w:rPr>
        <w:t xml:space="preserve">ASU 2019-12 is part of the Financial Accounting Standards Board (“FASB”) overall simplification initiative and seeks to simplify the accounting for income taxes by updating certain guidance and removing certain exceptions. Our adoption of this ASU did not have a material impact on our Consolidated Financial Statements.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Recently Issued Accounting Pronouncements Not Yet Adopted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Leases - Common Control Arrangements</w:t>
      </w:r>
    </w:p>
    <w:p>
      <w:pPr>
        <w:pStyle w:val="TextBody"/>
        <w:spacing w:before="0" w:after="0"/>
        <w:jc w:val="both"/>
        <w:rPr/>
      </w:pPr>
      <w:r>
        <w:rPr/>
      </w:r>
    </w:p>
    <w:p>
      <w:pPr>
        <w:pStyle w:val="TextBody"/>
        <w:spacing w:lineRule="auto" w:line="276" w:before="0" w:after="0"/>
        <w:jc w:val="both"/>
        <w:rPr/>
      </w:pPr>
      <w:r>
        <w:rPr>
          <w:rFonts w:ascii="Arial;sans-serif" w:hAnsi="Arial;sans-serif"/>
          <w:b w:val="false"/>
          <w:color w:val="000000"/>
          <w:sz w:val="20"/>
        </w:rPr>
        <w:t xml:space="preserve">In March 2023, the FASB issued ASU No. 2023-01 - </w:t>
      </w:r>
      <w:r>
        <w:rPr>
          <w:rFonts w:ascii="Arial;sans-serif" w:hAnsi="Arial;sans-serif"/>
          <w:b w:val="false"/>
          <w:i/>
          <w:color w:val="000000"/>
          <w:sz w:val="20"/>
        </w:rPr>
        <w:t>Leases (Topic 842): Common Control Arrangements</w:t>
      </w:r>
      <w:r>
        <w:rPr>
          <w:rFonts w:ascii="Arial;sans-serif" w:hAnsi="Arial;sans-serif"/>
          <w:b w:val="false"/>
          <w:color w:val="000000"/>
          <w:sz w:val="20"/>
        </w:rPr>
        <w:t>. Among other things, this ASU requires all lessees to amortize leasehold improvements associated with common control leases over their useful life to the common control group and account for them as a transfer of assets between entities under common control at the end of the lease. Additional disclosures are required when the useful life of leasehold improvements to the common control group exceeds the related lease term. The guidance is effective for fiscal years beginning after December 15, 2023, including interim periods within those fiscal years. Early adoption is permitted. We are evaluating the impact of adopting this new guidance and we do not expect it to have a material impact on our Consolidated Financial Statements.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Reference Rate Reform</w:t>
      </w:r>
    </w:p>
    <w:p>
      <w:pPr>
        <w:pStyle w:val="TextBody"/>
        <w:spacing w:before="0" w:after="0"/>
        <w:jc w:val="both"/>
        <w:rPr/>
      </w:pPr>
      <w:r>
        <w:rPr/>
      </w:r>
    </w:p>
    <w:p>
      <w:pPr>
        <w:pStyle w:val="TextBody"/>
        <w:spacing w:lineRule="auto" w:line="276" w:before="0" w:after="0"/>
        <w:jc w:val="both"/>
        <w:rPr/>
      </w:pPr>
      <w:r>
        <w:rPr>
          <w:rFonts w:ascii="Arial;sans-serif" w:hAnsi="Arial;sans-serif"/>
          <w:b w:val="false"/>
          <w:color w:val="000000"/>
          <w:sz w:val="20"/>
        </w:rPr>
        <w:t xml:space="preserve">In March 2020, the FASB issued ASU No. 2020-04 - </w:t>
      </w:r>
      <w:r>
        <w:rPr>
          <w:rFonts w:ascii="Arial;sans-serif" w:hAnsi="Arial;sans-serif"/>
          <w:b w:val="false"/>
          <w:i/>
          <w:color w:val="000000"/>
          <w:sz w:val="20"/>
        </w:rPr>
        <w:t>Reference Rate Reform (Topic 848)</w:t>
      </w:r>
      <w:r>
        <w:rPr>
          <w:rFonts w:ascii="Arial;sans-serif" w:hAnsi="Arial;sans-serif"/>
          <w:b w:val="false"/>
          <w:color w:val="000000"/>
          <w:sz w:val="20"/>
        </w:rPr>
        <w:t>, and all subsequent amendments to the initial guidance, codified as ASC 848 (“ASC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guidance may be applied upon issuance of ASC 848 through December 31, 2024. We expect to utilize the optional expedients provided by the guidance for contracts amended solely to use an alternative reference rate. We have evaluated the new guidance and we are in the process of implementing this ASU, and all subsequent amendments, and do not expect them to have a material impact on our Consolidated Financial Statements.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3.     REVENUE RECOGNITION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Contract Balances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components of our contract balances: </w:t>
      </w:r>
    </w:p>
    <w:tbl>
      <w:tblPr>
        <w:tblW w:w="9052" w:type="dxa"/>
        <w:jc w:val="center"/>
        <w:tblInd w:w="0" w:type="dxa"/>
        <w:tblCellMar>
          <w:top w:w="28" w:type="dxa"/>
          <w:left w:w="28" w:type="dxa"/>
          <w:bottom w:w="28" w:type="dxa"/>
          <w:right w:w="28" w:type="dxa"/>
        </w:tblCellMar>
      </w:tblPr>
      <w:tblGrid>
        <w:gridCol w:w="1820"/>
        <w:gridCol w:w="1598"/>
        <w:gridCol w:w="1607"/>
        <w:gridCol w:w="109"/>
        <w:gridCol w:w="109"/>
        <w:gridCol w:w="109"/>
        <w:gridCol w:w="266"/>
        <w:gridCol w:w="1081"/>
        <w:gridCol w:w="137"/>
        <w:gridCol w:w="109"/>
        <w:gridCol w:w="109"/>
        <w:gridCol w:w="109"/>
        <w:gridCol w:w="326"/>
        <w:gridCol w:w="1325"/>
        <w:gridCol w:w="238"/>
      </w:tblGrid>
      <w:tr>
        <w:trPr/>
        <w:tc>
          <w:tcPr>
            <w:tcW w:w="1820"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5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Trade accounts receivable and contract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193,348 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170,466 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7,936 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trade accounts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202,744 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178,402 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65,319 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73,435 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(16,192)</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(15,358)</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trade accounts receivable and contract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251,871 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236,479 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129,292 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121,739 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8,326 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contract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137,164 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130,065 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lineRule="auto" w:line="288" w:before="0" w:after="0"/>
        <w:rPr/>
      </w:pPr>
      <w:hyperlink w:anchor="iffcdad348b3c4a57aa352cc8de1ffc2f_802">
        <w:r>
          <w:rPr>
            <w:rStyle w:val="InternetLink"/>
            <w:rFonts w:ascii="Arial;sans-serif" w:hAnsi="Arial;sans-serif"/>
            <w:b w:val="false"/>
            <w:color w:val="0000FF"/>
            <w:sz w:val="20"/>
            <w:u w:val="single"/>
          </w:rPr>
          <w:t xml:space="preserve">Table of Contents </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100" w:after="283"/>
        <w:jc w:val="center"/>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revenue recognized in the Consolidated Statements of Operations that was previously included within contract liabilities: </w:t>
      </w:r>
    </w:p>
    <w:p>
      <w:pPr>
        <w:pStyle w:val="TextBody"/>
        <w:spacing w:before="0" w:after="0"/>
        <w:jc w:val="both"/>
        <w:rPr/>
      </w:pPr>
      <w:r>
        <w:rPr/>
      </w:r>
    </w:p>
    <w:tbl>
      <w:tblPr>
        <w:tblW w:w="6518" w:type="dxa"/>
        <w:jc w:val="left"/>
        <w:tblInd w:w="0" w:type="dxa"/>
        <w:tblCellMar>
          <w:top w:w="28" w:type="dxa"/>
          <w:left w:w="28" w:type="dxa"/>
          <w:bottom w:w="28" w:type="dxa"/>
          <w:right w:w="28" w:type="dxa"/>
        </w:tblCellMar>
      </w:tblPr>
      <w:tblGrid>
        <w:gridCol w:w="321"/>
        <w:gridCol w:w="282"/>
        <w:gridCol w:w="283"/>
        <w:gridCol w:w="109"/>
        <w:gridCol w:w="109"/>
        <w:gridCol w:w="109"/>
        <w:gridCol w:w="109"/>
        <w:gridCol w:w="109"/>
        <w:gridCol w:w="308"/>
        <w:gridCol w:w="308"/>
        <w:gridCol w:w="596"/>
        <w:gridCol w:w="2124"/>
        <w:gridCol w:w="308"/>
        <w:gridCol w:w="109"/>
        <w:gridCol w:w="109"/>
        <w:gridCol w:w="109"/>
        <w:gridCol w:w="211"/>
        <w:gridCol w:w="751"/>
        <w:gridCol w:w="154"/>
      </w:tblGrid>
      <w:tr>
        <w:trPr/>
        <w:tc>
          <w:tcPr>
            <w:tcW w:w="32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212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1443" w:type="dxa"/>
            <w:gridSpan w:val="6"/>
            <w:tcBorders/>
            <w:shd w:fill="auto" w:val="clea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60,963 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Contract Acquisition Costs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activity in our contract acquisition costs, net: </w:t>
      </w:r>
    </w:p>
    <w:p>
      <w:pPr>
        <w:pStyle w:val="TextBody"/>
        <w:spacing w:before="0" w:after="0"/>
        <w:jc w:val="both"/>
        <w:rPr/>
      </w:pPr>
      <w:r>
        <w:rPr/>
      </w:r>
    </w:p>
    <w:tbl>
      <w:tblPr>
        <w:tblW w:w="7000" w:type="dxa"/>
        <w:jc w:val="left"/>
        <w:tblInd w:w="0" w:type="dxa"/>
        <w:tblCellMar>
          <w:top w:w="28" w:type="dxa"/>
          <w:left w:w="28" w:type="dxa"/>
          <w:bottom w:w="28" w:type="dxa"/>
          <w:right w:w="28" w:type="dxa"/>
        </w:tblCellMar>
      </w:tblPr>
      <w:tblGrid>
        <w:gridCol w:w="1081"/>
        <w:gridCol w:w="949"/>
        <w:gridCol w:w="955"/>
        <w:gridCol w:w="109"/>
        <w:gridCol w:w="109"/>
        <w:gridCol w:w="109"/>
        <w:gridCol w:w="309"/>
        <w:gridCol w:w="1102"/>
        <w:gridCol w:w="160"/>
        <w:gridCol w:w="160"/>
        <w:gridCol w:w="160"/>
        <w:gridCol w:w="160"/>
        <w:gridCol w:w="309"/>
        <w:gridCol w:w="1102"/>
        <w:gridCol w:w="226"/>
      </w:tblGrid>
      <w:tr>
        <w:trPr/>
        <w:tc>
          <w:tcPr>
            <w:tcW w:w="1081"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82,986 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15,788 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(16,638)</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(20,197)</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1,995 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60,234 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80,572 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Performance Obligations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March 31, 2023, the remaining performance obligations for our customer contracts with original expected durations of more than one year was approximately $1.0 billion. Performance obligations expected to be satisfied within one year and greater than one year are 26.8% and 73.2%, respectively. This amount and percentages exclude agreements with consumer customers in our Hughes segment, our leasing arrangements and agreements with certain customers under which collectability of all amounts due through the term of contracts is uncertain.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Disaggregation of Revenue </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Geographic Information</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tables present our revenue from customer contracts disaggregated by primary geographic market and by segment: </w:t>
      </w:r>
    </w:p>
    <w:tbl>
      <w:tblPr>
        <w:tblW w:w="10205" w:type="dxa"/>
        <w:jc w:val="left"/>
        <w:tblInd w:w="0" w:type="dxa"/>
        <w:tblCellMar>
          <w:top w:w="28" w:type="dxa"/>
          <w:left w:w="28" w:type="dxa"/>
          <w:bottom w:w="28" w:type="dxa"/>
          <w:right w:w="28" w:type="dxa"/>
        </w:tblCellMar>
      </w:tblPr>
      <w:tblGrid>
        <w:gridCol w:w="1287"/>
        <w:gridCol w:w="1130"/>
        <w:gridCol w:w="1134"/>
        <w:gridCol w:w="109"/>
        <w:gridCol w:w="109"/>
        <w:gridCol w:w="109"/>
        <w:gridCol w:w="211"/>
        <w:gridCol w:w="856"/>
        <w:gridCol w:w="109"/>
        <w:gridCol w:w="109"/>
        <w:gridCol w:w="109"/>
        <w:gridCol w:w="109"/>
        <w:gridCol w:w="211"/>
        <w:gridCol w:w="646"/>
        <w:gridCol w:w="109"/>
        <w:gridCol w:w="109"/>
        <w:gridCol w:w="109"/>
        <w:gridCol w:w="109"/>
        <w:gridCol w:w="397"/>
        <w:gridCol w:w="1217"/>
        <w:gridCol w:w="206"/>
        <w:gridCol w:w="109"/>
        <w:gridCol w:w="109"/>
        <w:gridCol w:w="109"/>
        <w:gridCol w:w="238"/>
        <w:gridCol w:w="968"/>
        <w:gridCol w:w="178"/>
      </w:tblGrid>
      <w:tr>
        <w:trPr/>
        <w:tc>
          <w:tcPr>
            <w:tcW w:w="1287"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35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Hughes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Corporate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Consolidated</w:t>
              <w:br/>
              <w:t>Total</w:t>
            </w:r>
          </w:p>
        </w:tc>
      </w:tr>
      <w:tr>
        <w:trPr/>
        <w:tc>
          <w:tcPr>
            <w:tcW w:w="3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For the 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357,363 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 and Central America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38,373 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43,861 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439,597 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For the three months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399,422 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2,947 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406,843 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 and Central America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42,872 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51,819 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2,954 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501,534 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lineRule="auto" w:line="288" w:before="0" w:after="0"/>
        <w:rPr/>
      </w:pPr>
      <w:hyperlink w:anchor="iffcdad348b3c4a57aa352cc8de1ffc2f_802">
        <w:r>
          <w:rPr>
            <w:rStyle w:val="InternetLink"/>
            <w:rFonts w:ascii="Arial;sans-serif" w:hAnsi="Arial;sans-serif"/>
            <w:b w:val="false"/>
            <w:color w:val="0000FF"/>
            <w:sz w:val="20"/>
            <w:u w:val="single"/>
          </w:rPr>
          <w:t xml:space="preserve">Table of Contents </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lineRule="auto" w:line="288" w:before="100" w:after="283"/>
        <w:jc w:val="both"/>
        <w:rPr>
          <w:rFonts w:ascii="Arial;sans-serif" w:hAnsi="Arial;sans-serif"/>
          <w:b w:val="false"/>
          <w:i/>
          <w:color w:val="000000"/>
          <w:sz w:val="20"/>
        </w:rPr>
      </w:pPr>
      <w:r>
        <w:rPr>
          <w:rFonts w:ascii="Arial;sans-serif" w:hAnsi="Arial;sans-serif"/>
          <w:b w:val="false"/>
          <w:i/>
          <w:color w:val="000000"/>
          <w:sz w:val="20"/>
        </w:rPr>
        <w:t>Nature of Products and Services</w:t>
      </w:r>
    </w:p>
    <w:p>
      <w:pPr>
        <w:pStyle w:val="TextBody"/>
        <w:spacing w:before="0" w:after="0"/>
        <w:jc w:val="both"/>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following tables present our revenue disaggregated by the nature of products and services and by segment: </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372"/>
        <w:gridCol w:w="1185"/>
        <w:gridCol w:w="1190"/>
        <w:gridCol w:w="109"/>
        <w:gridCol w:w="109"/>
        <w:gridCol w:w="109"/>
        <w:gridCol w:w="211"/>
        <w:gridCol w:w="826"/>
        <w:gridCol w:w="109"/>
        <w:gridCol w:w="109"/>
        <w:gridCol w:w="109"/>
        <w:gridCol w:w="109"/>
        <w:gridCol w:w="211"/>
        <w:gridCol w:w="616"/>
        <w:gridCol w:w="109"/>
        <w:gridCol w:w="109"/>
        <w:gridCol w:w="109"/>
        <w:gridCol w:w="109"/>
        <w:gridCol w:w="403"/>
        <w:gridCol w:w="1178"/>
        <w:gridCol w:w="208"/>
        <w:gridCol w:w="109"/>
        <w:gridCol w:w="109"/>
        <w:gridCol w:w="109"/>
        <w:gridCol w:w="226"/>
        <w:gridCol w:w="884"/>
        <w:gridCol w:w="169"/>
      </w:tblGrid>
      <w:tr>
        <w:trPr/>
        <w:tc>
          <w:tcPr>
            <w:tcW w:w="1372"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3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Hughes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Corporate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Consolidated</w:t>
              <w:br/>
              <w:t>Total</w:t>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For the 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364,714 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services and other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377,527 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Equipment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20,965 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Design, development and construction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36,904 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4,201 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equipment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62,070 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439,597 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For the three months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400,402 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1,519 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404,856 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13,955 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services and other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418,811 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Equipment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25,891 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Design, development and construction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55,905 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equipment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82,723 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2,954 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501,534 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Lease Revenue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our lease revenue by type of lease: </w:t>
      </w:r>
    </w:p>
    <w:tbl>
      <w:tblPr>
        <w:tblW w:w="7105" w:type="dxa"/>
        <w:jc w:val="center"/>
        <w:tblInd w:w="0" w:type="dxa"/>
        <w:tblCellMar>
          <w:top w:w="28" w:type="dxa"/>
          <w:left w:w="28" w:type="dxa"/>
          <w:bottom w:w="28" w:type="dxa"/>
          <w:right w:w="28" w:type="dxa"/>
        </w:tblCellMar>
      </w:tblPr>
      <w:tblGrid>
        <w:gridCol w:w="1118"/>
        <w:gridCol w:w="983"/>
        <w:gridCol w:w="989"/>
        <w:gridCol w:w="109"/>
        <w:gridCol w:w="109"/>
        <w:gridCol w:w="109"/>
        <w:gridCol w:w="309"/>
        <w:gridCol w:w="1102"/>
        <w:gridCol w:w="160"/>
        <w:gridCol w:w="160"/>
        <w:gridCol w:w="160"/>
        <w:gridCol w:w="160"/>
        <w:gridCol w:w="309"/>
        <w:gridCol w:w="1102"/>
        <w:gridCol w:w="226"/>
      </w:tblGrid>
      <w:tr>
        <w:trPr/>
        <w:tc>
          <w:tcPr>
            <w:tcW w:w="1118"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Sales-type lease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at lease commencement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sales-type lease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13,955 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14,882 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lineRule="auto" w:line="288" w:before="0" w:after="0"/>
        <w:rPr/>
      </w:pPr>
      <w:hyperlink w:anchor="iffcdad348b3c4a57aa352cc8de1ffc2f_802">
        <w:r>
          <w:rPr>
            <w:rStyle w:val="InternetLink"/>
            <w:rFonts w:ascii="Arial;sans-serif" w:hAnsi="Arial;sans-serif"/>
            <w:b w:val="false"/>
            <w:color w:val="0000FF"/>
            <w:sz w:val="20"/>
            <w:u w:val="single"/>
          </w:rPr>
          <w:t xml:space="preserve">Table of Contents </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lineRule="auto" w:line="288" w:before="0" w:after="0"/>
        <w:rPr/>
      </w:pPr>
      <w:r>
        <w:rPr>
          <w:rFonts w:ascii="Arial;sans-serif" w:hAnsi="Arial;sans-serif"/>
          <w:b/>
          <w:color w:val="000000"/>
          <w:sz w:val="20"/>
        </w:rPr>
        <w:t>NOTE 4.    EARNINGS PER SHARE</w:t>
      </w: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calculation of basic and diluted EPS for our Class A and B common stock:</w:t>
      </w:r>
    </w:p>
    <w:tbl>
      <w:tblPr>
        <w:tblW w:w="10180" w:type="dxa"/>
        <w:jc w:val="left"/>
        <w:tblInd w:w="0" w:type="dxa"/>
        <w:tblCellMar>
          <w:top w:w="28" w:type="dxa"/>
          <w:left w:w="28" w:type="dxa"/>
          <w:bottom w:w="28" w:type="dxa"/>
          <w:right w:w="28" w:type="dxa"/>
        </w:tblCellMar>
      </w:tblPr>
      <w:tblGrid>
        <w:gridCol w:w="2231"/>
        <w:gridCol w:w="1964"/>
        <w:gridCol w:w="1970"/>
        <w:gridCol w:w="109"/>
        <w:gridCol w:w="109"/>
        <w:gridCol w:w="109"/>
        <w:gridCol w:w="309"/>
        <w:gridCol w:w="1102"/>
        <w:gridCol w:w="160"/>
        <w:gridCol w:w="160"/>
        <w:gridCol w:w="160"/>
        <w:gridCol w:w="160"/>
        <w:gridCol w:w="309"/>
        <w:gridCol w:w="1102"/>
        <w:gridCol w:w="226"/>
      </w:tblGrid>
      <w:tr>
        <w:trPr/>
        <w:tc>
          <w:tcPr>
            <w:tcW w:w="2231" w:type="dxa"/>
            <w:tcBorders/>
            <w:shd w:fill="auto" w:val="clear"/>
            <w:vAlign w:val="center"/>
          </w:tcPr>
          <w:p>
            <w:pPr>
              <w:pStyle w:val="TableContents"/>
              <w:spacing w:before="0" w:after="283"/>
              <w:rPr>
                <w:sz w:val="4"/>
                <w:szCs w:val="4"/>
              </w:rPr>
            </w:pPr>
            <w:r>
              <w:rPr>
                <w:sz w:val="4"/>
                <w:szCs w:val="4"/>
              </w:rPr>
            </w:r>
          </w:p>
        </w:tc>
        <w:tc>
          <w:tcPr>
            <w:tcW w:w="1964" w:type="dxa"/>
            <w:tcBorders/>
            <w:shd w:fill="auto" w:val="clear"/>
            <w:vAlign w:val="center"/>
          </w:tcPr>
          <w:p>
            <w:pPr>
              <w:pStyle w:val="TableContents"/>
              <w:spacing w:before="0" w:after="283"/>
              <w:rPr>
                <w:sz w:val="4"/>
                <w:szCs w:val="4"/>
              </w:rPr>
            </w:pPr>
            <w:r>
              <w:rPr>
                <w:sz w:val="4"/>
                <w:szCs w:val="4"/>
              </w:rPr>
            </w:r>
          </w:p>
        </w:tc>
        <w:tc>
          <w:tcPr>
            <w:tcW w:w="19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6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6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EchoStar Corporation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29,041 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91,433 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83,333 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85,846 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impact of stock awards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83,333 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85,879 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Earnings (losses)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0.35 </w:t>
            </w:r>
          </w:p>
        </w:tc>
        <w:tc>
          <w:tcPr>
            <w:tcW w:w="1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number of anti-dilutive options to purchase shares of our Class A common stock which have been excluded from the calculation of our weighted-average common shares outstanding:</w:t>
      </w:r>
    </w:p>
    <w:p>
      <w:pPr>
        <w:pStyle w:val="TextBody"/>
        <w:spacing w:before="0" w:after="0"/>
        <w:jc w:val="both"/>
        <w:rPr/>
      </w:pPr>
      <w:r>
        <w:rPr/>
      </w:r>
    </w:p>
    <w:tbl>
      <w:tblPr>
        <w:tblW w:w="5681" w:type="dxa"/>
        <w:jc w:val="left"/>
        <w:tblInd w:w="0" w:type="dxa"/>
        <w:tblCellMar>
          <w:top w:w="28" w:type="dxa"/>
          <w:left w:w="28" w:type="dxa"/>
          <w:bottom w:w="28" w:type="dxa"/>
          <w:right w:w="28" w:type="dxa"/>
        </w:tblCellMar>
      </w:tblPr>
      <w:tblGrid>
        <w:gridCol w:w="602"/>
        <w:gridCol w:w="529"/>
        <w:gridCol w:w="533"/>
        <w:gridCol w:w="109"/>
        <w:gridCol w:w="109"/>
        <w:gridCol w:w="109"/>
        <w:gridCol w:w="392"/>
        <w:gridCol w:w="392"/>
        <w:gridCol w:w="392"/>
        <w:gridCol w:w="392"/>
        <w:gridCol w:w="392"/>
        <w:gridCol w:w="392"/>
        <w:gridCol w:w="392"/>
        <w:gridCol w:w="392"/>
        <w:gridCol w:w="554"/>
      </w:tblGrid>
      <w:tr>
        <w:trPr/>
        <w:tc>
          <w:tcPr>
            <w:tcW w:w="602"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Number of 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5,526 </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4,650 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NOTE 5.    MARKETABLE INVESTMENT SECURITIES </w:t>
      </w:r>
    </w:p>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val="false"/>
          <w:color w:val="000000"/>
          <w:sz w:val="20"/>
        </w:rPr>
        <w:t xml:space="preserve">The following table presents our </w:t>
      </w:r>
      <w:r>
        <w:rPr>
          <w:rFonts w:ascii="Arial;sans-serif" w:hAnsi="Arial;sans-serif"/>
          <w:b w:val="false"/>
          <w:i/>
          <w:color w:val="000000"/>
          <w:sz w:val="20"/>
        </w:rPr>
        <w:t>Marketable investment securities</w:t>
      </w:r>
      <w:r>
        <w:rPr>
          <w:rFonts w:ascii="Arial;sans-serif" w:hAnsi="Arial;sans-serif"/>
          <w:b w:val="false"/>
          <w:color w:val="000000"/>
          <w:sz w:val="20"/>
        </w:rPr>
        <w:t xml:space="preserve">: </w:t>
      </w:r>
    </w:p>
    <w:tbl>
      <w:tblPr>
        <w:tblW w:w="10086" w:type="dxa"/>
        <w:jc w:val="center"/>
        <w:tblInd w:w="0" w:type="dxa"/>
        <w:tblCellMar>
          <w:top w:w="28" w:type="dxa"/>
          <w:left w:w="28" w:type="dxa"/>
          <w:bottom w:w="28" w:type="dxa"/>
          <w:right w:w="28" w:type="dxa"/>
        </w:tblCellMar>
      </w:tblPr>
      <w:tblGrid>
        <w:gridCol w:w="2194"/>
        <w:gridCol w:w="1928"/>
        <w:gridCol w:w="1937"/>
        <w:gridCol w:w="109"/>
        <w:gridCol w:w="109"/>
        <w:gridCol w:w="109"/>
        <w:gridCol w:w="266"/>
        <w:gridCol w:w="1081"/>
        <w:gridCol w:w="137"/>
        <w:gridCol w:w="109"/>
        <w:gridCol w:w="109"/>
        <w:gridCol w:w="109"/>
        <w:gridCol w:w="326"/>
        <w:gridCol w:w="1325"/>
        <w:gridCol w:w="238"/>
      </w:tblGrid>
      <w:tr>
        <w:trPr/>
        <w:tc>
          <w:tcPr>
            <w:tcW w:w="2194"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c>
          <w:tcPr>
            <w:tcW w:w="19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6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189,211 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160,559 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452,642 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687,927 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17,695 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656,979 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866,181 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109,990 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118,790 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investment securities, including restricted amounts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766,969 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984,971 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Restricted 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(11,800)</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(11,056)</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investment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755,169 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973,915 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lineRule="auto" w:line="288" w:before="0" w:after="0"/>
        <w:rPr/>
      </w:pPr>
      <w:hyperlink w:anchor="iffcdad348b3c4a57aa352cc8de1ffc2f_802">
        <w:r>
          <w:rPr>
            <w:rStyle w:val="InternetLink"/>
            <w:rFonts w:ascii="Arial;sans-serif" w:hAnsi="Arial;sans-serif"/>
            <w:b w:val="false"/>
            <w:color w:val="0000FF"/>
            <w:sz w:val="20"/>
            <w:u w:val="single"/>
          </w:rPr>
          <w:t xml:space="preserve">Table of Contents </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Debt Securities</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Arial;sans-serif" w:hAnsi="Arial;sans-serif"/>
          <w:b w:val="false"/>
          <w:i/>
          <w:color w:val="000000"/>
          <w:sz w:val="20"/>
        </w:rPr>
        <w:t>Available-for-Sale</w:t>
      </w:r>
      <w:r>
        <w:rPr>
          <w:color w:val="000000"/>
        </w:rPr>
        <w:t>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components of our available-for-sale debt securities: </w:t>
      </w:r>
    </w:p>
    <w:tbl>
      <w:tblPr>
        <w:tblW w:w="8786" w:type="dxa"/>
        <w:jc w:val="left"/>
        <w:tblInd w:w="0" w:type="dxa"/>
        <w:tblCellMar>
          <w:top w:w="28" w:type="dxa"/>
          <w:left w:w="28" w:type="dxa"/>
          <w:bottom w:w="28" w:type="dxa"/>
          <w:right w:w="28" w:type="dxa"/>
        </w:tblCellMar>
      </w:tblPr>
      <w:tblGrid>
        <w:gridCol w:w="1238"/>
        <w:gridCol w:w="1088"/>
        <w:gridCol w:w="1093"/>
        <w:gridCol w:w="109"/>
        <w:gridCol w:w="109"/>
        <w:gridCol w:w="109"/>
        <w:gridCol w:w="211"/>
        <w:gridCol w:w="856"/>
        <w:gridCol w:w="109"/>
        <w:gridCol w:w="109"/>
        <w:gridCol w:w="109"/>
        <w:gridCol w:w="109"/>
        <w:gridCol w:w="211"/>
        <w:gridCol w:w="481"/>
        <w:gridCol w:w="109"/>
        <w:gridCol w:w="109"/>
        <w:gridCol w:w="109"/>
        <w:gridCol w:w="109"/>
        <w:gridCol w:w="211"/>
        <w:gridCol w:w="541"/>
        <w:gridCol w:w="109"/>
        <w:gridCol w:w="109"/>
        <w:gridCol w:w="109"/>
        <w:gridCol w:w="109"/>
        <w:gridCol w:w="211"/>
        <w:gridCol w:w="856"/>
        <w:gridCol w:w="154"/>
      </w:tblGrid>
      <w:tr>
        <w:trPr/>
        <w:tc>
          <w:tcPr>
            <w:tcW w:w="1238"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Amortized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Unrealized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Estimated</w:t>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Fair Value</w:t>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189,454 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452,643 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452,642 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656,979 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 of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160,559 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687,956 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687,927 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866,181 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activity on our available-for-sale debt securities:</w:t>
      </w:r>
    </w:p>
    <w:p>
      <w:pPr>
        <w:pStyle w:val="TextBody"/>
        <w:spacing w:before="0" w:after="0"/>
        <w:jc w:val="both"/>
        <w:rPr/>
      </w:pPr>
      <w:r>
        <w:rPr/>
      </w:r>
    </w:p>
    <w:tbl>
      <w:tblPr>
        <w:tblW w:w="5935" w:type="dxa"/>
        <w:jc w:val="left"/>
        <w:tblInd w:w="0" w:type="dxa"/>
        <w:tblCellMar>
          <w:top w:w="28" w:type="dxa"/>
          <w:left w:w="28" w:type="dxa"/>
          <w:bottom w:w="28" w:type="dxa"/>
          <w:right w:w="28" w:type="dxa"/>
        </w:tblCellMar>
      </w:tblPr>
      <w:tblGrid>
        <w:gridCol w:w="694"/>
        <w:gridCol w:w="611"/>
        <w:gridCol w:w="615"/>
        <w:gridCol w:w="109"/>
        <w:gridCol w:w="109"/>
        <w:gridCol w:w="109"/>
        <w:gridCol w:w="309"/>
        <w:gridCol w:w="1102"/>
        <w:gridCol w:w="160"/>
        <w:gridCol w:w="160"/>
        <w:gridCol w:w="160"/>
        <w:gridCol w:w="160"/>
        <w:gridCol w:w="309"/>
        <w:gridCol w:w="1102"/>
        <w:gridCol w:w="226"/>
      </w:tblGrid>
      <w:tr>
        <w:trPr/>
        <w:tc>
          <w:tcPr>
            <w:tcW w:w="69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38,109 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29,018 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March 31, 2023, we have $573.8 million of available-for-sale debt securities with contractual maturities of one year or less and $83.2 million with contractual maturities greater than one year.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Equity Securities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activity of our equity securities:</w:t>
      </w:r>
    </w:p>
    <w:p>
      <w:pPr>
        <w:pStyle w:val="TextBody"/>
        <w:spacing w:before="0" w:after="0"/>
        <w:jc w:val="both"/>
        <w:rPr/>
      </w:pPr>
      <w:r>
        <w:rPr/>
      </w:r>
    </w:p>
    <w:tbl>
      <w:tblPr>
        <w:tblW w:w="7176" w:type="dxa"/>
        <w:jc w:val="left"/>
        <w:tblInd w:w="0" w:type="dxa"/>
        <w:tblCellMar>
          <w:top w:w="28" w:type="dxa"/>
          <w:left w:w="28" w:type="dxa"/>
          <w:bottom w:w="28" w:type="dxa"/>
          <w:right w:w="28" w:type="dxa"/>
        </w:tblCellMar>
      </w:tblPr>
      <w:tblGrid>
        <w:gridCol w:w="1145"/>
        <w:gridCol w:w="1008"/>
        <w:gridCol w:w="1011"/>
        <w:gridCol w:w="109"/>
        <w:gridCol w:w="109"/>
        <w:gridCol w:w="109"/>
        <w:gridCol w:w="315"/>
        <w:gridCol w:w="1055"/>
        <w:gridCol w:w="162"/>
        <w:gridCol w:w="162"/>
        <w:gridCol w:w="162"/>
        <w:gridCol w:w="162"/>
        <w:gridCol w:w="315"/>
        <w:gridCol w:w="1122"/>
        <w:gridCol w:w="230"/>
      </w:tblGrid>
      <w:tr>
        <w:trPr/>
        <w:tc>
          <w:tcPr>
            <w:tcW w:w="1145"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(7,107)</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31,015 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Fair Value Measurements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our marketable investment securities categorized by the fair value hierarchy, certain of which have historically experienced volatility: </w:t>
      </w:r>
    </w:p>
    <w:tbl>
      <w:tblPr>
        <w:tblW w:w="10205" w:type="dxa"/>
        <w:jc w:val="left"/>
        <w:tblInd w:w="0" w:type="dxa"/>
        <w:tblCellMar>
          <w:top w:w="28" w:type="dxa"/>
          <w:left w:w="28" w:type="dxa"/>
          <w:bottom w:w="28" w:type="dxa"/>
          <w:right w:w="28" w:type="dxa"/>
        </w:tblCellMar>
      </w:tblPr>
      <w:tblGrid>
        <w:gridCol w:w="2103"/>
        <w:gridCol w:w="1772"/>
        <w:gridCol w:w="1775"/>
        <w:gridCol w:w="109"/>
        <w:gridCol w:w="109"/>
        <w:gridCol w:w="109"/>
        <w:gridCol w:w="211"/>
        <w:gridCol w:w="856"/>
        <w:gridCol w:w="109"/>
        <w:gridCol w:w="109"/>
        <w:gridCol w:w="109"/>
        <w:gridCol w:w="109"/>
        <w:gridCol w:w="211"/>
        <w:gridCol w:w="856"/>
        <w:gridCol w:w="109"/>
        <w:gridCol w:w="109"/>
        <w:gridCol w:w="109"/>
        <w:gridCol w:w="109"/>
        <w:gridCol w:w="211"/>
        <w:gridCol w:w="856"/>
        <w:gridCol w:w="155"/>
      </w:tblGrid>
      <w:tr>
        <w:trPr/>
        <w:tc>
          <w:tcPr>
            <w:tcW w:w="2103" w:type="dxa"/>
            <w:tcBorders/>
            <w:shd w:fill="auto" w:val="clear"/>
            <w:vAlign w:val="center"/>
          </w:tcPr>
          <w:p>
            <w:pPr>
              <w:pStyle w:val="TableContents"/>
              <w:spacing w:before="0" w:after="283"/>
              <w:rPr>
                <w:sz w:val="4"/>
                <w:szCs w:val="4"/>
              </w:rPr>
            </w:pPr>
            <w:r>
              <w:rPr>
                <w:sz w:val="4"/>
                <w:szCs w:val="4"/>
              </w:rPr>
            </w:r>
          </w:p>
        </w:tc>
        <w:tc>
          <w:tcPr>
            <w:tcW w:w="1772"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5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equivalents (including restricted)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772,068 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813,399 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189,211 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452,642 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452,642 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656,979 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109,990 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investment securities, including restricted amounts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766,969 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Restricted marketable investment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755,169 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equivalents (including restricted)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595,814 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596,471 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160,559 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687,927 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687,927 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866,181 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118,790 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investment securities, including restricted amounts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984,971 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Restricted marketable investment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(11,056)</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860,001 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973,915 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March 31, 2023 and December 31, 2022, we did not have any investments that were categorized within Level 3 of the fair value hierarchy.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NOTE 6.    PROPERTY AND EQUIPMENT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val="false"/>
          <w:color w:val="000000"/>
          <w:sz w:val="20"/>
        </w:rPr>
        <w:t xml:space="preserve">The following table presents the components of </w:t>
      </w:r>
      <w:r>
        <w:rPr>
          <w:rFonts w:ascii="Arial;sans-serif" w:hAnsi="Arial;sans-serif"/>
          <w:b w:val="false"/>
          <w:i/>
          <w:color w:val="000000"/>
          <w:sz w:val="20"/>
        </w:rPr>
        <w:t>Property and equipment, net</w:t>
      </w:r>
      <w:r>
        <w:rPr>
          <w:rFonts w:ascii="Arial;sans-serif" w:hAnsi="Arial;sans-serif"/>
          <w:b w:val="false"/>
          <w:color w:val="000000"/>
          <w:sz w:val="20"/>
        </w:rPr>
        <w:t>:</w:t>
      </w:r>
    </w:p>
    <w:tbl>
      <w:tblPr>
        <w:tblW w:w="7118" w:type="dxa"/>
        <w:jc w:val="center"/>
        <w:tblInd w:w="0" w:type="dxa"/>
        <w:tblCellMar>
          <w:top w:w="28" w:type="dxa"/>
          <w:left w:w="28" w:type="dxa"/>
          <w:bottom w:w="28" w:type="dxa"/>
          <w:right w:w="28" w:type="dxa"/>
        </w:tblCellMar>
      </w:tblPr>
      <w:tblGrid>
        <w:gridCol w:w="1119"/>
        <w:gridCol w:w="984"/>
        <w:gridCol w:w="987"/>
        <w:gridCol w:w="109"/>
        <w:gridCol w:w="109"/>
        <w:gridCol w:w="109"/>
        <w:gridCol w:w="233"/>
        <w:gridCol w:w="1131"/>
        <w:gridCol w:w="120"/>
        <w:gridCol w:w="109"/>
        <w:gridCol w:w="109"/>
        <w:gridCol w:w="109"/>
        <w:gridCol w:w="287"/>
        <w:gridCol w:w="1393"/>
        <w:gridCol w:w="210"/>
      </w:tblGrid>
      <w:tr>
        <w:trPr/>
        <w:tc>
          <w:tcPr>
            <w:tcW w:w="1119"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1,515,476 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1,563,033 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660,385 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674,584 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2,175,861 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2,237,617 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 xml:space="preserve">Satellites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March 31, 2023, our satellite fleet consisted of ten geosynchronous (“GEO”) satellites, seven of which are owned and three of which are leased. They are all in geosynchronous orbit, approximately 22,300 miles above the equator.</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GEO satellite fleet as of March 31, 2023:</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28" w:type="dxa"/>
        </w:tblCellMar>
      </w:tblPr>
      <w:tblGrid>
        <w:gridCol w:w="661"/>
        <w:gridCol w:w="581"/>
        <w:gridCol w:w="514"/>
        <w:gridCol w:w="109"/>
        <w:gridCol w:w="109"/>
        <w:gridCol w:w="109"/>
        <w:gridCol w:w="438"/>
        <w:gridCol w:w="438"/>
        <w:gridCol w:w="444"/>
        <w:gridCol w:w="109"/>
        <w:gridCol w:w="109"/>
        <w:gridCol w:w="109"/>
        <w:gridCol w:w="447"/>
        <w:gridCol w:w="447"/>
        <w:gridCol w:w="415"/>
        <w:gridCol w:w="109"/>
        <w:gridCol w:w="109"/>
        <w:gridCol w:w="109"/>
        <w:gridCol w:w="900"/>
        <w:gridCol w:w="900"/>
        <w:gridCol w:w="902"/>
        <w:gridCol w:w="109"/>
        <w:gridCol w:w="109"/>
        <w:gridCol w:w="109"/>
        <w:gridCol w:w="527"/>
        <w:gridCol w:w="527"/>
        <w:gridCol w:w="756"/>
      </w:tblGrid>
      <w:tr>
        <w:trPr/>
        <w:tc>
          <w:tcPr>
            <w:tcW w:w="661"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r>
      <w:tr>
        <w:trPr/>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GEO Satellite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Segment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Launch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Nominal Degree Orbital Location (Longitude)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Depreciable Life (In Years)</w:t>
            </w:r>
          </w:p>
        </w:tc>
      </w:tr>
      <w:tr>
        <w:trPr/>
        <w:tc>
          <w:tcPr>
            <w:tcW w:w="17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SPACEWAY 3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2007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95 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EchoStar XVII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2012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 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EchoStar XIX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97.1 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Al Yah 3 </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 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EchoStar IX </w:t>
            </w:r>
            <w:r>
              <w:rPr>
                <w:rFonts w:ascii="Arial;sans-serif" w:hAnsi="Arial;sans-serif"/>
                <w:b w:val="false"/>
                <w:color w:val="000000"/>
                <w:sz w:val="13"/>
              </w:rPr>
              <w:t>(3) (4)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2003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121 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EUTELSAT 10A (“W2A”) </w:t>
            </w:r>
            <w:r>
              <w:rPr>
                <w:rFonts w:ascii="Arial;sans-serif" w:hAnsi="Arial;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April 2009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 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EchoStar XXI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Corporate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10.25 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Eutelsat 65 West 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2016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 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Telesat T19V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 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EchoStar 105/SES-11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October 2017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 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bl>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    Depreciable life represents the remaining useful life as of June 8, 2011, the date EchoStar completed the acquisition of Hughes Communications, Inc. (“Hughes Communications”) and its subsidiaries in 2011 (the “Hughes Acquisition”). </w:t>
      </w:r>
    </w:p>
    <w:p>
      <w:pPr>
        <w:pStyle w:val="TextBody"/>
        <w:spacing w:lineRule="auto" w:line="268" w:before="0" w:after="0"/>
        <w:ind w:left="0" w:right="0" w:hanging="360"/>
        <w:rPr>
          <w:rFonts w:ascii="Arial;sans-serif" w:hAnsi="Arial;sans-serif"/>
          <w:b w:val="false"/>
          <w:color w:val="000000"/>
          <w:sz w:val="16"/>
        </w:rPr>
      </w:pPr>
      <w:r>
        <w:rPr>
          <w:rFonts w:ascii="Arial;sans-serif" w:hAnsi="Arial;sans-serif"/>
          <w:b w:val="false"/>
          <w:color w:val="000000"/>
          <w:sz w:val="16"/>
        </w:rPr>
        <w:t xml:space="preserve">(2)    Upon consummation of our joint venture with Al Yah Satellite Communications Company PrJSC (“Yahsat”) in Brazil in November 2019, we acquired the Brazilian Ka-band payload on this satellite. Depreciable life represents the remaining useful life as of November 2019. </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(3)    We own the Ka-band and Ku-band payloads on this satellite. </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    The Company placed the satellite in an inclined-orbit in the first quarter of 2023. Inclined-orbit will extend its life to enable further revenue generating opportunities.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(5)    We acquired the S-band payload on this satellite in December 2013. Prior to acquisition, the S-band payload experienced an anomaly at the time of launch and, as a result, is not fully operational.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components of our satellites, net: </w:t>
      </w:r>
    </w:p>
    <w:tbl>
      <w:tblPr>
        <w:tblW w:w="10205" w:type="dxa"/>
        <w:jc w:val="center"/>
        <w:tblInd w:w="0" w:type="dxa"/>
        <w:tblCellMar>
          <w:top w:w="28" w:type="dxa"/>
          <w:left w:w="28" w:type="dxa"/>
          <w:bottom w:w="28" w:type="dxa"/>
          <w:right w:w="28" w:type="dxa"/>
        </w:tblCellMar>
      </w:tblPr>
      <w:tblGrid>
        <w:gridCol w:w="1277"/>
        <w:gridCol w:w="1102"/>
        <w:gridCol w:w="1105"/>
        <w:gridCol w:w="109"/>
        <w:gridCol w:w="109"/>
        <w:gridCol w:w="109"/>
        <w:gridCol w:w="807"/>
        <w:gridCol w:w="807"/>
        <w:gridCol w:w="809"/>
        <w:gridCol w:w="109"/>
        <w:gridCol w:w="109"/>
        <w:gridCol w:w="109"/>
        <w:gridCol w:w="230"/>
        <w:gridCol w:w="1120"/>
        <w:gridCol w:w="118"/>
        <w:gridCol w:w="109"/>
        <w:gridCol w:w="109"/>
        <w:gridCol w:w="109"/>
        <w:gridCol w:w="279"/>
        <w:gridCol w:w="1358"/>
        <w:gridCol w:w="212"/>
      </w:tblGrid>
      <w:tr>
        <w:trPr/>
        <w:tc>
          <w:tcPr>
            <w:tcW w:w="1277"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Depreciable Life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3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Satellites,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owned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 to 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1,804,811 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1,808,924 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acquired under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363,333 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360,642 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592,402 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608,773 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satellites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2,760,546 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2,778,339 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(1,116,035)</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(1,093,412)</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acquired under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(129,035)</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(121,894)</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accumulated depreciation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(1,245,070)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(1,215,306)</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satellites,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1,515,476 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1,563,033 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depreciation expense associated with our satellites, net: </w:t>
      </w:r>
    </w:p>
    <w:tbl>
      <w:tblPr>
        <w:tblW w:w="7720" w:type="dxa"/>
        <w:jc w:val="left"/>
        <w:tblInd w:w="0" w:type="dxa"/>
        <w:tblCellMar>
          <w:top w:w="28" w:type="dxa"/>
          <w:left w:w="28" w:type="dxa"/>
          <w:bottom w:w="28" w:type="dxa"/>
          <w:right w:w="28" w:type="dxa"/>
        </w:tblCellMar>
      </w:tblPr>
      <w:tblGrid>
        <w:gridCol w:w="1343"/>
        <w:gridCol w:w="1179"/>
        <w:gridCol w:w="1183"/>
        <w:gridCol w:w="109"/>
        <w:gridCol w:w="109"/>
        <w:gridCol w:w="109"/>
        <w:gridCol w:w="309"/>
        <w:gridCol w:w="1102"/>
        <w:gridCol w:w="160"/>
        <w:gridCol w:w="160"/>
        <w:gridCol w:w="160"/>
        <w:gridCol w:w="160"/>
        <w:gridCol w:w="309"/>
        <w:gridCol w:w="1102"/>
        <w:gridCol w:w="226"/>
      </w:tblGrid>
      <w:tr>
        <w:trPr/>
        <w:tc>
          <w:tcPr>
            <w:tcW w:w="1343"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Depreciation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owned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24,104 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24,196 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acquired under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5,987 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depreciation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30,122 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30,183 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capitalized interest associated with our satellites and satellite-related ground infrastructure:</w:t>
      </w:r>
    </w:p>
    <w:p>
      <w:pPr>
        <w:pStyle w:val="TextBody"/>
        <w:spacing w:before="0" w:after="0"/>
        <w:jc w:val="both"/>
        <w:rPr/>
      </w:pPr>
      <w:r>
        <w:rPr/>
      </w:r>
    </w:p>
    <w:tbl>
      <w:tblPr>
        <w:tblW w:w="5800" w:type="dxa"/>
        <w:jc w:val="left"/>
        <w:tblInd w:w="0" w:type="dxa"/>
        <w:tblCellMar>
          <w:top w:w="28" w:type="dxa"/>
          <w:left w:w="28" w:type="dxa"/>
          <w:bottom w:w="28" w:type="dxa"/>
          <w:right w:w="28" w:type="dxa"/>
        </w:tblCellMar>
      </w:tblPr>
      <w:tblGrid>
        <w:gridCol w:w="646"/>
        <w:gridCol w:w="568"/>
        <w:gridCol w:w="571"/>
        <w:gridCol w:w="109"/>
        <w:gridCol w:w="109"/>
        <w:gridCol w:w="109"/>
        <w:gridCol w:w="309"/>
        <w:gridCol w:w="1102"/>
        <w:gridCol w:w="160"/>
        <w:gridCol w:w="160"/>
        <w:gridCol w:w="160"/>
        <w:gridCol w:w="160"/>
        <w:gridCol w:w="309"/>
        <w:gridCol w:w="1102"/>
        <w:gridCol w:w="226"/>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Construction in Progress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August 2017, we entered into a contract for the design and construction of the EchoStar XXIV satellite, a next-generation, high throughput geostationary satellite. The EchoStar XXIV satellite is primarily intended to provide additional capacity for our HughesNet service in North, Central and South America as well as enterprise broadband services. Capital expenditures associated with the construction and launch of the EchoStar XXIV satellite are included in Corporate and Other segment in our segment reporting. </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Satellite-Related Commitments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March 31, 2023 and December 31, 2022, our satellite-related commitments were $199.3 million and $169.3 million, respectively. These include payments pursuant to: the EchoStar XXIV launch contract, regulatory authorizations, non-lease costs associated with our finance lease satellites, in-orbit incentives relating to certain satellites and commitments for satellite service arrangements.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certain circumstances, the dates on which we are obligated to pay our contractual obligations could change.</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Satellite Anomalies and Impairments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three months ended March 31, 2023.</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first quarter of 2023, we lost contact with our third nano-satellite (“EG-3”), which was launched in the second quarter of 2021 and brought into use our Sirion-1 ITU filing in the third quarter of 2021. As of the end of the first quarter of 2023, we have discontinued attempts to reestablish contact with EG-3, and have notified the ITU to suspend the filing. Consequently, we canceled our contract with the vendor who manufactured and operated our nano-satellites and recorded an impairment charge of $3.1 million related to EG-3 and other related assets in the first quarter of 2023 in our Corporate and Other segment. We are not aware of any other anomalies with respect to our owned or leased satellites as of the date of these Consolidated Financial Statements.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Satellite Insurance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generally do not carry in-orbit insurance on our satellites or payloads because we have assessed that the cost of insurance is not economical relative to the risk of failures. Therefore, we generally bear the risk of any in-orbit failures. Pursuant to the terms of our joint venture agreement with Yahsat, we are required to maintain insurance for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Al Yah 3 Brazilian payload during the commercial in-orbit service of such payload, subject to certain limitations on coverage. We have obtained certain insurance for our EchoStar XXIV satellite covering launch plus the first year of operations. We will continue to assess circumstances going forward and make insurance-related decisions on a case-by-case basis.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Fair Value of In-Orbit Incentives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March 31, 2023 and December 31, 2022, the fair values of our in-orbit incentive obligations approximated their carrying amounts of $48.4 million and $50.2 million, respectively.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NOTE 7.    REGULATORY AUTHORIZATIONS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0" w:after="140"/>
        <w:rPr/>
      </w:pPr>
      <w:r>
        <w:rPr>
          <w:rFonts w:ascii="Arial;sans-serif" w:hAnsi="Arial;sans-serif"/>
          <w:b w:val="false"/>
          <w:color w:val="000000"/>
          <w:sz w:val="20"/>
        </w:rPr>
        <w:t xml:space="preserve">The following table presents our </w:t>
      </w:r>
      <w:r>
        <w:rPr>
          <w:rFonts w:ascii="Arial;sans-serif" w:hAnsi="Arial;sans-serif"/>
          <w:b w:val="false"/>
          <w:i/>
          <w:color w:val="000000"/>
          <w:sz w:val="20"/>
        </w:rPr>
        <w:t>Regulatory authorizations, net:</w:t>
      </w:r>
    </w:p>
    <w:tbl>
      <w:tblPr>
        <w:tblW w:w="10205" w:type="dxa"/>
        <w:jc w:val="center"/>
        <w:tblInd w:w="0" w:type="dxa"/>
        <w:tblCellMar>
          <w:top w:w="28" w:type="dxa"/>
          <w:left w:w="28" w:type="dxa"/>
          <w:bottom w:w="28" w:type="dxa"/>
          <w:right w:w="28" w:type="dxa"/>
        </w:tblCellMar>
      </w:tblPr>
      <w:tblGrid>
        <w:gridCol w:w="851"/>
        <w:gridCol w:w="611"/>
        <w:gridCol w:w="615"/>
        <w:gridCol w:w="109"/>
        <w:gridCol w:w="109"/>
        <w:gridCol w:w="109"/>
        <w:gridCol w:w="211"/>
        <w:gridCol w:w="751"/>
        <w:gridCol w:w="109"/>
        <w:gridCol w:w="109"/>
        <w:gridCol w:w="109"/>
        <w:gridCol w:w="109"/>
        <w:gridCol w:w="354"/>
        <w:gridCol w:w="1262"/>
        <w:gridCol w:w="185"/>
        <w:gridCol w:w="109"/>
        <w:gridCol w:w="109"/>
        <w:gridCol w:w="109"/>
        <w:gridCol w:w="211"/>
        <w:gridCol w:w="751"/>
        <w:gridCol w:w="109"/>
        <w:gridCol w:w="109"/>
        <w:gridCol w:w="109"/>
        <w:gridCol w:w="109"/>
        <w:gridCol w:w="237"/>
        <w:gridCol w:w="965"/>
        <w:gridCol w:w="122"/>
        <w:gridCol w:w="109"/>
        <w:gridCol w:w="109"/>
        <w:gridCol w:w="109"/>
        <w:gridCol w:w="211"/>
        <w:gridCol w:w="856"/>
        <w:gridCol w:w="159"/>
      </w:tblGrid>
      <w:tr>
        <w:trPr/>
        <w:tc>
          <w:tcPr>
            <w:tcW w:w="85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Finite lived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Indefinite lived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 xml:space="preserve">Total </w:t>
            </w:r>
          </w:p>
        </w:tc>
      </w:tr>
      <w:tr>
        <w:trPr/>
        <w:tc>
          <w:tcPr>
            <w:tcW w:w="2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(29,088)</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441,717 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469,766 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(29,801)</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443,033 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470,329 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(31,946)</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439,161 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462,531 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(33,626)</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438,484 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461,556 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75"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useful life (in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8.    OTHER INVESTMENTS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val="false"/>
          <w:color w:val="000000"/>
          <w:sz w:val="20"/>
        </w:rPr>
        <w:t xml:space="preserve">The following table presents our </w:t>
      </w:r>
      <w:r>
        <w:rPr>
          <w:rFonts w:ascii="Arial;sans-serif" w:hAnsi="Arial;sans-serif"/>
          <w:b w:val="false"/>
          <w:i/>
          <w:color w:val="000000"/>
          <w:sz w:val="20"/>
        </w:rPr>
        <w:t>Other investments, net</w:t>
      </w:r>
      <w:r>
        <w:rPr>
          <w:rFonts w:ascii="Arial;sans-serif" w:hAnsi="Arial;sans-serif"/>
          <w:b w:val="false"/>
          <w:color w:val="000000"/>
          <w:sz w:val="20"/>
        </w:rPr>
        <w:t xml:space="preserve">: </w:t>
      </w:r>
    </w:p>
    <w:tbl>
      <w:tblPr>
        <w:tblW w:w="6592" w:type="dxa"/>
        <w:jc w:val="center"/>
        <w:tblInd w:w="0" w:type="dxa"/>
        <w:tblCellMar>
          <w:top w:w="28" w:type="dxa"/>
          <w:left w:w="28" w:type="dxa"/>
          <w:bottom w:w="28" w:type="dxa"/>
          <w:right w:w="28" w:type="dxa"/>
        </w:tblCellMar>
      </w:tblPr>
      <w:tblGrid>
        <w:gridCol w:w="929"/>
        <w:gridCol w:w="816"/>
        <w:gridCol w:w="820"/>
        <w:gridCol w:w="109"/>
        <w:gridCol w:w="109"/>
        <w:gridCol w:w="109"/>
        <w:gridCol w:w="266"/>
        <w:gridCol w:w="1081"/>
        <w:gridCol w:w="137"/>
        <w:gridCol w:w="109"/>
        <w:gridCol w:w="109"/>
        <w:gridCol w:w="109"/>
        <w:gridCol w:w="326"/>
        <w:gridCol w:w="1325"/>
        <w:gridCol w:w="238"/>
      </w:tblGrid>
      <w:tr>
        <w:trPr/>
        <w:tc>
          <w:tcPr>
            <w:tcW w:w="929"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Other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82,971 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83,523 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equity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141,307 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141,307 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investments,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140,676 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131,875 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364,954 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356,705 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before="0" w:after="0"/>
        <w:jc w:val="both"/>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Equity Method Investments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Deluxe/EchoStar LLC</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own 50% of Deluxe/EchoStar LLC (“Deluxe”), a joint venture that we entered into in 2010 to build an advanced digital cinema satellite distribution network targeting delivery to digitally equipped theaters in the U.S. and Canada. </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Broadband Connectivity Solutions (Restricted) Limited</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own 20% of Broadband Connectivity Solutions (Restricted) Limited (together with its subsidiaries, “BCS”), a joint venture that we entered into in 2018 to provide commercial Ka-band satellite broadband services across Africa, the Middle East and southwest Asia operating over Yahsat's Al Yah 2 and Al Yah 3 Ka-band satellites.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Financial Information for Our Equity Method Investments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revenue recognized:</w:t>
      </w:r>
    </w:p>
    <w:tbl>
      <w:tblPr>
        <w:tblW w:w="4734" w:type="dxa"/>
        <w:jc w:val="left"/>
        <w:tblInd w:w="0" w:type="dxa"/>
        <w:tblCellMar>
          <w:top w:w="28" w:type="dxa"/>
          <w:left w:w="28" w:type="dxa"/>
          <w:bottom w:w="28" w:type="dxa"/>
          <w:right w:w="28" w:type="dxa"/>
        </w:tblCellMar>
      </w:tblPr>
      <w:tblGrid>
        <w:gridCol w:w="261"/>
        <w:gridCol w:w="229"/>
        <w:gridCol w:w="231"/>
        <w:gridCol w:w="109"/>
        <w:gridCol w:w="109"/>
        <w:gridCol w:w="109"/>
        <w:gridCol w:w="338"/>
        <w:gridCol w:w="1034"/>
        <w:gridCol w:w="174"/>
        <w:gridCol w:w="174"/>
        <w:gridCol w:w="174"/>
        <w:gridCol w:w="174"/>
        <w:gridCol w:w="338"/>
        <w:gridCol w:w="1034"/>
        <w:gridCol w:w="246"/>
      </w:tblGrid>
      <w:tr>
        <w:trPr/>
        <w:tc>
          <w:tcPr>
            <w:tcW w:w="26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Deluxe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BCS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822 </w:t>
            </w:r>
          </w:p>
        </w:tc>
        <w:tc>
          <w:tcPr>
            <w:tcW w:w="17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1,771 </w:t>
            </w:r>
          </w:p>
        </w:tc>
        <w:tc>
          <w:tcPr>
            <w:tcW w:w="2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trade accounts receivable:</w:t>
      </w:r>
    </w:p>
    <w:tbl>
      <w:tblPr>
        <w:tblW w:w="4749" w:type="dxa"/>
        <w:jc w:val="left"/>
        <w:tblInd w:w="0" w:type="dxa"/>
        <w:tblCellMar>
          <w:top w:w="28" w:type="dxa"/>
          <w:left w:w="28" w:type="dxa"/>
          <w:bottom w:w="28" w:type="dxa"/>
          <w:right w:w="28" w:type="dxa"/>
        </w:tblCellMar>
      </w:tblPr>
      <w:tblGrid>
        <w:gridCol w:w="261"/>
        <w:gridCol w:w="229"/>
        <w:gridCol w:w="231"/>
        <w:gridCol w:w="109"/>
        <w:gridCol w:w="109"/>
        <w:gridCol w:w="109"/>
        <w:gridCol w:w="324"/>
        <w:gridCol w:w="993"/>
        <w:gridCol w:w="167"/>
        <w:gridCol w:w="109"/>
        <w:gridCol w:w="109"/>
        <w:gridCol w:w="109"/>
        <w:gridCol w:w="393"/>
        <w:gridCol w:w="1207"/>
        <w:gridCol w:w="290"/>
      </w:tblGrid>
      <w:tr>
        <w:trPr/>
        <w:tc>
          <w:tcPr>
            <w:tcW w:w="26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Deluxe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3,026 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BCS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5,437 </w:t>
            </w:r>
          </w:p>
        </w:tc>
        <w:tc>
          <w:tcPr>
            <w:tcW w:w="1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5,062 </w:t>
            </w:r>
          </w:p>
        </w:tc>
        <w:tc>
          <w:tcPr>
            <w:tcW w:w="2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Other Equity Investments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activity on our investments:</w:t>
      </w:r>
    </w:p>
    <w:tbl>
      <w:tblPr>
        <w:tblW w:w="6863" w:type="dxa"/>
        <w:jc w:val="left"/>
        <w:tblInd w:w="0" w:type="dxa"/>
        <w:tblCellMar>
          <w:top w:w="28" w:type="dxa"/>
          <w:left w:w="28" w:type="dxa"/>
          <w:bottom w:w="28" w:type="dxa"/>
          <w:right w:w="28" w:type="dxa"/>
        </w:tblCellMar>
      </w:tblPr>
      <w:tblGrid>
        <w:gridCol w:w="1031"/>
        <w:gridCol w:w="908"/>
        <w:gridCol w:w="910"/>
        <w:gridCol w:w="109"/>
        <w:gridCol w:w="109"/>
        <w:gridCol w:w="109"/>
        <w:gridCol w:w="359"/>
        <w:gridCol w:w="690"/>
        <w:gridCol w:w="185"/>
        <w:gridCol w:w="185"/>
        <w:gridCol w:w="185"/>
        <w:gridCol w:w="185"/>
        <w:gridCol w:w="359"/>
        <w:gridCol w:w="1277"/>
        <w:gridCol w:w="262"/>
      </w:tblGrid>
      <w:tr>
        <w:trPr/>
        <w:tc>
          <w:tcPr>
            <w:tcW w:w="1031"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49,671 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Other Debt Investments, Net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our other debt investments, net: </w:t>
      </w:r>
    </w:p>
    <w:tbl>
      <w:tblPr>
        <w:tblW w:w="7027" w:type="dxa"/>
        <w:jc w:val="center"/>
        <w:tblInd w:w="0" w:type="dxa"/>
        <w:tblCellMar>
          <w:top w:w="28" w:type="dxa"/>
          <w:left w:w="28" w:type="dxa"/>
          <w:bottom w:w="28" w:type="dxa"/>
          <w:right w:w="28" w:type="dxa"/>
        </w:tblCellMar>
      </w:tblPr>
      <w:tblGrid>
        <w:gridCol w:w="1087"/>
        <w:gridCol w:w="955"/>
        <w:gridCol w:w="958"/>
        <w:gridCol w:w="109"/>
        <w:gridCol w:w="109"/>
        <w:gridCol w:w="109"/>
        <w:gridCol w:w="266"/>
        <w:gridCol w:w="1081"/>
        <w:gridCol w:w="137"/>
        <w:gridCol w:w="109"/>
        <w:gridCol w:w="109"/>
        <w:gridCol w:w="109"/>
        <w:gridCol w:w="326"/>
        <w:gridCol w:w="1325"/>
        <w:gridCol w:w="238"/>
      </w:tblGrid>
      <w:tr>
        <w:trPr/>
        <w:tc>
          <w:tcPr>
            <w:tcW w:w="1087"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Other debt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basis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148,281 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143,267 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Discount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(7,605)</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(8,010)</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(3,382)</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debt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140,676 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131,875 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Arial;sans-serif" w:hAnsi="Arial;sans-serif"/>
          <w:b w:val="false"/>
          <w:color w:val="000000"/>
          <w:sz w:val="20"/>
        </w:rPr>
        <w:t xml:space="preserve">In early April, 2023, we received proceeds of $148.4 million related to our </w:t>
      </w:r>
      <w:r>
        <w:rPr>
          <w:rFonts w:ascii="Arial;sans-serif" w:hAnsi="Arial;sans-serif"/>
          <w:b w:val="false"/>
          <w:i/>
          <w:color w:val="000000"/>
          <w:sz w:val="20"/>
        </w:rPr>
        <w:t>Other debt investments, net</w:t>
      </w:r>
      <w:r>
        <w:rPr>
          <w:rFonts w:ascii="Arial;sans-serif" w:hAnsi="Arial;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before="0" w:after="0"/>
        <w:jc w:val="both"/>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9.    LONG-TERM DEBT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val="false"/>
          <w:color w:val="000000"/>
          <w:sz w:val="20"/>
        </w:rPr>
        <w:t>The following table presents the carrying amount and fair values of our</w:t>
      </w:r>
      <w:r>
        <w:rPr>
          <w:color w:val="000000"/>
        </w:rPr>
        <w:t xml:space="preserve"> </w:t>
      </w:r>
      <w:r>
        <w:rPr>
          <w:rFonts w:ascii="Arial;sans-serif" w:hAnsi="Arial;sans-serif"/>
          <w:b w:val="false"/>
          <w:i/>
          <w:color w:val="000000"/>
          <w:sz w:val="20"/>
        </w:rPr>
        <w:t>Long-term debt, net:</w:t>
      </w:r>
    </w:p>
    <w:tbl>
      <w:tblPr>
        <w:tblW w:w="10205" w:type="dxa"/>
        <w:jc w:val="left"/>
        <w:tblInd w:w="0" w:type="dxa"/>
        <w:tblCellMar>
          <w:top w:w="28" w:type="dxa"/>
          <w:left w:w="28" w:type="dxa"/>
          <w:bottom w:w="28" w:type="dxa"/>
          <w:right w:w="28" w:type="dxa"/>
        </w:tblCellMar>
      </w:tblPr>
      <w:tblGrid>
        <w:gridCol w:w="789"/>
        <w:gridCol w:w="554"/>
        <w:gridCol w:w="556"/>
        <w:gridCol w:w="109"/>
        <w:gridCol w:w="109"/>
        <w:gridCol w:w="109"/>
        <w:gridCol w:w="420"/>
        <w:gridCol w:w="420"/>
        <w:gridCol w:w="421"/>
        <w:gridCol w:w="109"/>
        <w:gridCol w:w="109"/>
        <w:gridCol w:w="109"/>
        <w:gridCol w:w="211"/>
        <w:gridCol w:w="1021"/>
        <w:gridCol w:w="109"/>
        <w:gridCol w:w="109"/>
        <w:gridCol w:w="109"/>
        <w:gridCol w:w="109"/>
        <w:gridCol w:w="211"/>
        <w:gridCol w:w="1021"/>
        <w:gridCol w:w="109"/>
        <w:gridCol w:w="109"/>
        <w:gridCol w:w="109"/>
        <w:gridCol w:w="109"/>
        <w:gridCol w:w="211"/>
        <w:gridCol w:w="1021"/>
        <w:gridCol w:w="109"/>
        <w:gridCol w:w="109"/>
        <w:gridCol w:w="109"/>
        <w:gridCol w:w="109"/>
        <w:gridCol w:w="211"/>
        <w:gridCol w:w="1021"/>
        <w:gridCol w:w="155"/>
      </w:tblGrid>
      <w:tr>
        <w:trPr/>
        <w:tc>
          <w:tcPr>
            <w:tcW w:w="78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Effective 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1"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1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Carrying</w:t>
            </w:r>
          </w:p>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Fair</w:t>
            </w:r>
          </w:p>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Carrying</w:t>
            </w:r>
          </w:p>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Fair</w:t>
            </w:r>
          </w:p>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Value</w:t>
            </w:r>
          </w:p>
        </w:tc>
      </w:tr>
      <w:tr>
        <w:trPr/>
        <w:tc>
          <w:tcPr>
            <w:tcW w:w="1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Senior Secured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 1/4% Senior Secured Notes due 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727,763 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Senior Unsecured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 5/8% Senior Unsecured Notes due 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712,433 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707,490 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1,496,981 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1,427,753 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1,435,253 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10.    INCOME TAXES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income tax provision for interim periods is determined using an estimate of our annual effective tax rate, adjusted for discrete items, if any, in the relevant period. Each quarter we update our estimate of the annual effective tax rate, and if our estimated tax rate changes, we make a cumulative adjustment.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interim income tax provision and our interim estimate of our annual effective tax rate are influenced by several factors, including foreign losses and capital gains and losses for which related deferred tax assets are partially offset by a valuation allowance, changes in tax laws and relative changes in unrecognized tax benefits. Additionally, our effective tax rate can be affected by the amount of pre-tax income or loss. For example, the impact of discrete items and non-deductible expenses on our effective tax rate is greater when our pre-tax income or loss is lower.</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income tax provision was $11.5 million for the three months ended March 31, 2023 compared to our income tax provision of $32.8 million for the three months ended March 31, 2022. Our effective income tax rate was 29.2% and 26.9% for the three months ended March 31, 2023 and 2022, respectively. The variations in our effective tax rate from the U.S. federal statutory rate for the three months ended March 31, 2023 were primarily due to excluded foreign losses where the Company carries a full valuation allowance, and the research tax credit. The variations in our effective tax rate from the U.S. federal statutory rate for the three months ended March 31, 2022 were primarily due to excluded foreign losses where the Company carries a full valuation allowance and the impact of state and local taxes.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11.    RELATED PARTY TRANSACTIONS - DISH NETWORK</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Overview</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EchoStar and DISH have operated as separate publicly-traded companies since 2008 (the “Spin-off”). A substantial majority of the voting power of the shares of each of EchoStar and DISH is owned beneficially by Charles W. Ergen, our Chairman, and by certain entities established for the benefit of his family.</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In January 2017, we and certain of our subsidiaries entered into a share exchange agreement (the “Share Exchange Agreement”) with DISH and certain of its subsidiaries pursuant to which, in February 2017, we received all of the shares of preferred tracking stock previously issued by us and one of our subsidiaries (the “Tracking Stock”), representing an 80% economic interest in the residential retail satellite broadband business of our Hughes segment, in exchange for 100% of the equity interests of certain EchoStar subsidiaries that held substantially all of our EchoStar Technologies businesses and certain other assets (collectively, the “Share Exchange”).</w:t>
      </w:r>
      <w:r>
        <w:rPr>
          <w:color w:val="000000"/>
        </w:rPr>
        <w:t xml:space="preserve"> </w:t>
      </w:r>
      <w:r>
        <w:rPr>
          <w:rFonts w:ascii="Arial;sans-serif" w:hAnsi="Arial;sans-serif"/>
          <w:b w:val="false"/>
          <w:color w:val="000000"/>
          <w:sz w:val="20"/>
        </w:rPr>
        <w:t>The Tracking Stock was retired in March 2017.</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September 2019, pursuant to a master transaction agreement (the “Master Transaction Agreement”) with DISH and a wholly-owned subsidiary of DISH (“Merger Sub”), (i) we transferred certain real property and the various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businesses, products, licenses, technology, revenues, billings, operating activities, assets and liabilities primarily related to the former portion of our ESS segment that managed, marketed and provided (1) broadcast satellite services primarily to DISH Network and our former joint venture Dish Mexico,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and following the Spin-off, the Share Exchange and the BSS Transaction,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Generally, the amounts we or DISH Network pay for products and services provided under the agreements are based on cost plus a fixed margin (unless noted differently below), which varies depending on the nature of the products and services provided. We may also enter into additional agreements with DISH Network in the future.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is a summary of the transactions and the terms of the underlying principal agreements that have had or may have an impact on our consolidated financial condition and results of operations.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Services and Other Revenue — DISH Network</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The following table presents our </w:t>
      </w:r>
      <w:r>
        <w:rPr>
          <w:rFonts w:ascii="Arial;sans-serif" w:hAnsi="Arial;sans-serif"/>
          <w:b w:val="false"/>
          <w:i/>
          <w:color w:val="000000"/>
          <w:sz w:val="20"/>
        </w:rPr>
        <w:t>Services and other revenue - DISH Network</w:t>
      </w:r>
      <w:r>
        <w:rPr>
          <w:rFonts w:ascii="Arial;sans-serif" w:hAnsi="Arial;sans-serif"/>
          <w:b w:val="false"/>
          <w:color w:val="000000"/>
          <w:sz w:val="20"/>
        </w:rPr>
        <w:t>:</w:t>
      </w:r>
    </w:p>
    <w:tbl>
      <w:tblPr>
        <w:tblW w:w="7927" w:type="dxa"/>
        <w:jc w:val="center"/>
        <w:tblInd w:w="0" w:type="dxa"/>
        <w:tblCellMar>
          <w:top w:w="28" w:type="dxa"/>
          <w:left w:w="28" w:type="dxa"/>
          <w:bottom w:w="28" w:type="dxa"/>
          <w:right w:w="28" w:type="dxa"/>
        </w:tblCellMar>
      </w:tblPr>
      <w:tblGrid>
        <w:gridCol w:w="1418"/>
        <w:gridCol w:w="1246"/>
        <w:gridCol w:w="1250"/>
        <w:gridCol w:w="109"/>
        <w:gridCol w:w="109"/>
        <w:gridCol w:w="109"/>
        <w:gridCol w:w="338"/>
        <w:gridCol w:w="1034"/>
        <w:gridCol w:w="174"/>
        <w:gridCol w:w="174"/>
        <w:gridCol w:w="174"/>
        <w:gridCol w:w="174"/>
        <w:gridCol w:w="338"/>
        <w:gridCol w:w="1034"/>
        <w:gridCol w:w="246"/>
      </w:tblGrid>
      <w:tr>
        <w:trPr/>
        <w:tc>
          <w:tcPr>
            <w:tcW w:w="1418"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and other revenue - DISH Network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7,957 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related trade accounts receivable:</w:t>
      </w:r>
    </w:p>
    <w:tbl>
      <w:tblPr>
        <w:tblW w:w="7853" w:type="dxa"/>
        <w:jc w:val="left"/>
        <w:tblInd w:w="0" w:type="dxa"/>
        <w:tblCellMar>
          <w:top w:w="28" w:type="dxa"/>
          <w:left w:w="28" w:type="dxa"/>
          <w:bottom w:w="28" w:type="dxa"/>
          <w:right w:w="28" w:type="dxa"/>
        </w:tblCellMar>
      </w:tblPr>
      <w:tblGrid>
        <w:gridCol w:w="1384"/>
        <w:gridCol w:w="1217"/>
        <w:gridCol w:w="1224"/>
        <w:gridCol w:w="109"/>
        <w:gridCol w:w="109"/>
        <w:gridCol w:w="109"/>
        <w:gridCol w:w="324"/>
        <w:gridCol w:w="993"/>
        <w:gridCol w:w="167"/>
        <w:gridCol w:w="109"/>
        <w:gridCol w:w="109"/>
        <w:gridCol w:w="109"/>
        <w:gridCol w:w="393"/>
        <w:gridCol w:w="1207"/>
        <w:gridCol w:w="290"/>
      </w:tblGrid>
      <w:tr>
        <w:trPr/>
        <w:tc>
          <w:tcPr>
            <w:tcW w:w="1384"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 DISH Network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3,492 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 xml:space="preserve">Satellite Capacity Leased to DISH Network. </w:t>
      </w:r>
      <w:r>
        <w:rPr>
          <w:rFonts w:ascii="Arial;sans-serif" w:hAnsi="Arial;sans-serif"/>
          <w:b w:val="false"/>
          <w:color w:val="000000"/>
          <w:sz w:val="20"/>
        </w:rPr>
        <w:t>Effective January 2008, DISH Network began leasing satellite capacity from us on the EchoStar IX satellite. We terminated the provision of this satellite capacity in December 2022.</w:t>
      </w:r>
      <w:r>
        <w:rPr>
          <w:color w:val="000000"/>
        </w:rPr>
        <w:t xml:space="preserv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both"/>
        <w:rPr/>
      </w:pPr>
      <w:r>
        <w:rPr>
          <w:rFonts w:ascii="Arial;sans-serif" w:hAnsi="Arial;sans-serif"/>
          <w:b/>
          <w:i/>
          <w:color w:val="000000"/>
          <w:sz w:val="20"/>
        </w:rPr>
        <w:t xml:space="preserve">Telesat Obligation Agreement. </w:t>
      </w:r>
      <w:r>
        <w:rPr>
          <w:rFonts w:ascii="Arial;sans-serif" w:hAnsi="Arial;sans-serif"/>
          <w:b w:val="false"/>
          <w:color w:val="000000"/>
          <w:sz w:val="20"/>
        </w:rPr>
        <w:t>In September 2009, we entered into an agreement with Telesat Canada to lease satellite capacity from Telesat Canada on all 32 direct broadcast satellite (“DBS”) transponders on the Nimiq 5 satellite at the 72.7 degree west longitude orbital location (the “Telesat Transponder Agreement”).</w:t>
      </w:r>
      <w:r>
        <w:rPr>
          <w:color w:val="000000"/>
        </w:rPr>
        <w:t xml:space="preserve"> </w:t>
      </w:r>
      <w:r>
        <w:rPr>
          <w:rFonts w:ascii="Arial;sans-serif" w:hAnsi="Arial;sans-serif"/>
          <w:b w:val="false"/>
          <w:color w:val="000000"/>
          <w:sz w:val="20"/>
        </w:rPr>
        <w:t>In September 2009, we entered into an agreement with DISH Network, pursuant to which DISH Network leased satellite capacity from us on all 32 of the DBS transponders covered by the Telesat Transponder Agreement (the “DISH Nimiq 5 Agreement”).</w:t>
      </w:r>
      <w:r>
        <w:rPr>
          <w:color w:val="000000"/>
        </w:rPr>
        <w:t xml:space="preserve"> </w:t>
      </w:r>
      <w:r>
        <w:rPr>
          <w:rFonts w:ascii="Arial;sans-serif" w:hAnsi="Arial;sans-serif"/>
          <w:b w:val="false"/>
          <w:color w:val="000000"/>
          <w:sz w:val="20"/>
        </w:rPr>
        <w:t xml:space="preserve">Under the terms of the DISH Nimiq 5 Agreement, DISH Network made certain monthly payments to us that commenced in September 2009, when the Nimiq 5 satellite was placed into service. We transferred the Telesat Transponder Agreement to DISH Network in September 2019 as part of the BSS Transaction; however, we retained certain obligations related to DISH Network’s performance under that agreement and we entered into an agreement with DISH Network whereby DISH Network compensates us for retaining such obligations.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 xml:space="preserve">Real Estate Leases to DISH Network. </w:t>
      </w:r>
      <w:r>
        <w:rPr>
          <w:rFonts w:ascii="Arial;sans-serif" w:hAnsi="Arial;sans-serif"/>
          <w:b w:val="false"/>
          <w:color w:val="000000"/>
          <w:sz w:val="20"/>
        </w:rPr>
        <w:t>We have entered into lease agreements pursuant to which DISH Network leases certain real estate from us. The rent on a per square foot basis for each of the leases is comparable to per square foot rental rates of similar commercial property in the same geographic area at the time of the leases or subsequent amendments. Additionally, DISH Network compensates us for its portion of the taxes, insurance, utilities and/or maintenance of the premises. The terms of each of the leases are set forth below:</w:t>
      </w:r>
    </w:p>
    <w:p>
      <w:pPr>
        <w:pStyle w:val="TextBody"/>
        <w:spacing w:lineRule="auto" w:line="288" w:before="0" w:after="0"/>
        <w:jc w:val="both"/>
        <w:rPr>
          <w:color w:val="000000"/>
        </w:rPr>
      </w:pPr>
      <w:r>
        <w:rPr>
          <w:color w:val="000000"/>
        </w:rPr>
        <w:t> </w:t>
      </w:r>
    </w:p>
    <w:p>
      <w:pPr>
        <w:pStyle w:val="TextBody"/>
        <w:spacing w:lineRule="auto" w:line="268" w:before="0" w:after="0"/>
        <w:ind w:left="0" w:right="0" w:hanging="360"/>
        <w:jc w:val="both"/>
        <w:rPr/>
      </w:pPr>
      <w:r>
        <w:rPr>
          <w:color w:val="000000"/>
        </w:rPr>
        <w:t>•</w:t>
      </w:r>
      <w:r>
        <w:rPr>
          <w:rFonts w:ascii="Arial;sans-serif" w:hAnsi="Arial;sans-serif"/>
          <w:b/>
          <w:i/>
          <w:color w:val="000000"/>
          <w:sz w:val="20"/>
        </w:rPr>
        <w:t>100 Inverness Occupancy License Agreement</w:t>
      </w:r>
      <w:r>
        <w:rPr>
          <w:color w:val="000000"/>
        </w:rPr>
        <w:t xml:space="preserve"> — </w:t>
      </w:r>
      <w:r>
        <w:rPr>
          <w:rFonts w:ascii="Arial;sans-serif" w:hAnsi="Arial;sans-serif"/>
          <w:b w:val="false"/>
          <w:color w:val="000000"/>
          <w:sz w:val="20"/>
        </w:rPr>
        <w:t xml:space="preserve">In March 2017, we and DISH Network entered into a license agreement for DISH Network to use certain of our space at 100 Inverness Terrace East, Englewood, Colorado for an initial period ending in December 2020. We and DISH Network have amended this lease over time to, among other things, extend the term through December 2023. This agreement may be terminated by either party upon 180 days’ prior notice. In connection with the BSS Transaction, we transferred to DISH Network the Englewood Satellite Operations Center located at 100 Inverness Terrace East, including any and all equipment, hardware licenses, software, processes, software licenses, furniture and technical documentation associated with the satellites transferred in the BSS Transaction.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i/>
          <w:color w:val="000000"/>
          <w:sz w:val="20"/>
        </w:rPr>
        <w:t xml:space="preserve">Meridian Lease Agreement </w:t>
      </w:r>
      <w:r>
        <w:rPr>
          <w:color w:val="000000"/>
        </w:rPr>
        <w:t xml:space="preserve">— </w:t>
      </w:r>
      <w:r>
        <w:rPr>
          <w:rFonts w:ascii="Arial;sans-serif" w:hAnsi="Arial;sans-serif"/>
          <w:b w:val="false"/>
          <w:color w:val="000000"/>
          <w:sz w:val="20"/>
        </w:rPr>
        <w:t>The lease for all of 9601 S. Meridian Blvd., Englewood, Colorado was originally for a period ending in December 2016. We and DISH Network have amended this lease over time to, among other things, extend the term through December 2023.</w:t>
      </w:r>
    </w:p>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 xml:space="preserve">TerreStar Agreement. </w:t>
      </w:r>
      <w:r>
        <w:rPr>
          <w:rFonts w:ascii="Arial;sans-serif" w:hAnsi="Arial;sans-serif"/>
          <w:b w:val="false"/>
          <w:color w:val="000000"/>
          <w:sz w:val="20"/>
        </w:rPr>
        <w:t xml:space="preserve">In March 2012, DISH Network completed its acquisition of substantially all the assets of TerreStar Networks Inc. (“TerreStar”). Prior to DISH Network’s acquisition of substantially all the assets of TerreStar and our completion of the Hughes Acquisition, TerreStar and HNS entered into various agreements pursuant to which we provide, among other things, warranty, operations and maintenance and hosting services for TerreStar’s ground-based communications equipment (the “TerreStar Agreements”).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these services are terminated by DISH Network upon at least 90 days’ written notice to us. In addition, DISH Network generally may terminate any and all services for convenience subject to providing us with prior notice and/or payment of termination charges. In March 2020, we entered into an agreement with DISH Network pursuant to which we perform certain work and provide certain credits to amounts owed to us under the TerreStar Agreements in exchange for DISH Network’s granting us rights to use certain satellite capacity under the Amended and Restated Professional Services Agreement (as defined below). As a result, we and DISH Network amended the TerreStar Agreements to suspend our provision of warranty services to DISH Network from April 2020 through December 2020. Following the expiration of this suspension, we have recommenced providing warranty services to DISH Network. In May 2022, we and DISH Network amended the agreement for the provision of hosting services to extend the term until May 2027.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 xml:space="preserve">Hughes Broadband Distribution Agreement. </w:t>
      </w:r>
      <w:r>
        <w:rPr>
          <w:rFonts w:ascii="Arial;sans-serif" w:hAnsi="Arial;sans-serif"/>
          <w:b w:val="false"/>
          <w:color w:val="000000"/>
          <w:sz w:val="20"/>
        </w:rPr>
        <w:t xml:space="preserve">Effective October 2012, we and DISH Network entered into a distribution agreement (the “Distribution Agreement”) pursuant to which DISH Network has the right, but not the obligation, to market, sell and distribute our Gen 4 HughesNet service. DISH Network pays us a monthly per subscriber wholesale service fee for our Gen 4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Gen 4 HughesNet service. The Distribution Agreement had an initial term of five years with automatic renewal for successive one-year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Gen 4 HughesNet service to the then-current DISH Network subscribers pursuant to the terms and conditions of the Distribution Agreement.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 xml:space="preserve">DBSD North America Agreement. </w:t>
      </w:r>
      <w:r>
        <w:rPr>
          <w:rFonts w:ascii="Arial;sans-serif" w:hAnsi="Arial;sans-serif"/>
          <w:b w:val="false"/>
          <w:color w:val="000000"/>
          <w:sz w:val="20"/>
        </w:rPr>
        <w:t xml:space="preserve">In March 2012, DISH Network completed its acquisition of all of the equity of DBSD North America, Inc. (“DBSD North America”). Prior to DISH Network’s acquisition of DBSD North America and our completion of the Hughes Acquisition, DBSD North America and HNS entered into various agreements pursuant to which we provide, among other things, warranty, operations and maintenance and hosting services of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Hughes Equipment and Services Agreement</w:t>
      </w:r>
      <w:r>
        <w:rPr>
          <w:rFonts w:ascii="Arial;sans-serif" w:hAnsi="Arial;sans-serif"/>
          <w:b w:val="false"/>
          <w:color w:val="000000"/>
          <w:sz w:val="20"/>
        </w:rPr>
        <w:t xml:space="preserve">. In February 2019, we and DISH Network entered into an agreement pursuant to which we will 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 xml:space="preserve">Operating Expenses — DISH Network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our operating expenses related to DISH Network: </w:t>
      </w:r>
    </w:p>
    <w:tbl>
      <w:tblPr>
        <w:tblW w:w="7282" w:type="dxa"/>
        <w:jc w:val="center"/>
        <w:tblInd w:w="0" w:type="dxa"/>
        <w:tblCellMar>
          <w:top w:w="28" w:type="dxa"/>
          <w:left w:w="28" w:type="dxa"/>
          <w:bottom w:w="28" w:type="dxa"/>
          <w:right w:w="28" w:type="dxa"/>
        </w:tblCellMar>
      </w:tblPr>
      <w:tblGrid>
        <w:gridCol w:w="1184"/>
        <w:gridCol w:w="1041"/>
        <w:gridCol w:w="1044"/>
        <w:gridCol w:w="109"/>
        <w:gridCol w:w="109"/>
        <w:gridCol w:w="109"/>
        <w:gridCol w:w="338"/>
        <w:gridCol w:w="1034"/>
        <w:gridCol w:w="174"/>
        <w:gridCol w:w="174"/>
        <w:gridCol w:w="174"/>
        <w:gridCol w:w="174"/>
        <w:gridCol w:w="338"/>
        <w:gridCol w:w="1034"/>
        <w:gridCol w:w="246"/>
      </w:tblGrid>
      <w:tr>
        <w:trPr/>
        <w:tc>
          <w:tcPr>
            <w:tcW w:w="1184"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 DISH Network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related trade accounts payable: </w:t>
      </w:r>
    </w:p>
    <w:tbl>
      <w:tblPr>
        <w:tblW w:w="7643" w:type="dxa"/>
        <w:jc w:val="center"/>
        <w:tblInd w:w="0" w:type="dxa"/>
        <w:tblCellMar>
          <w:top w:w="28" w:type="dxa"/>
          <w:left w:w="28" w:type="dxa"/>
          <w:bottom w:w="28" w:type="dxa"/>
          <w:right w:w="28" w:type="dxa"/>
        </w:tblCellMar>
      </w:tblPr>
      <w:tblGrid>
        <w:gridCol w:w="1310"/>
        <w:gridCol w:w="1148"/>
        <w:gridCol w:w="1156"/>
        <w:gridCol w:w="109"/>
        <w:gridCol w:w="109"/>
        <w:gridCol w:w="109"/>
        <w:gridCol w:w="391"/>
        <w:gridCol w:w="892"/>
        <w:gridCol w:w="202"/>
        <w:gridCol w:w="109"/>
        <w:gridCol w:w="109"/>
        <w:gridCol w:w="109"/>
        <w:gridCol w:w="470"/>
        <w:gridCol w:w="1074"/>
        <w:gridCol w:w="346"/>
      </w:tblGrid>
      <w:tr>
        <w:trPr/>
        <w:tc>
          <w:tcPr>
            <w:tcW w:w="1310"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 - DISH Network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Amended and Restated Professional Services Agreement</w:t>
      </w:r>
      <w:r>
        <w:rPr>
          <w:rFonts w:ascii="Arial;sans-serif" w:hAnsi="Arial;sans-serif"/>
          <w:b w:val="false"/>
          <w:color w:val="000000"/>
          <w:sz w:val="20"/>
        </w:rPr>
        <w:t xml:space="preserve">. In connection with the Spin-off, we entered into various agreements with DISH Network including a transition services agreement, satellite procurement agreement and services agreement, all of which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(as amended to date,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we and DISH further amended the Amended and Restated Professional Services Agreement to provide that we and DISH Network shall have the right to receive additional services that either we or DISH Network may require as a result of the BSS Transaction and to remove our access to and the maintenance and support services for the TT&amp;C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Antennas. The current term of the Amended and Restated Professional Services Agreement is through January 1, 2024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provided under the Amended and Restated Professional Services Agreement may survive the termination of the agreement.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 xml:space="preserve">Real Estate Leases from DISH Network. </w:t>
      </w:r>
      <w:r>
        <w:rPr>
          <w:rFonts w:ascii="Arial;sans-serif" w:hAnsi="Arial;sans-serif"/>
          <w:b w:val="false"/>
          <w:color w:val="000000"/>
          <w:sz w:val="20"/>
        </w:rPr>
        <w:t>Effective March 2017, we entered into a lease with DISH Network for certain space at 530 EchoStar Drive in Cheyenne, Wyoming for an initial period ending in February 2019. In August 2018, we exercised our option to renew this lease for a one-year period ending in February 2020. In connection with the BSS Transaction, we transferred the Cheyenne Satellite Operations Center, including any equipment, software licenses, and furniture located within, to DISH Network and amended this lease to reduce the space provided to us for the Cheyenne Satellite Access Center for a period ending in September 2021.</w:t>
      </w:r>
      <w:r>
        <w:rPr>
          <w:color w:val="000000"/>
        </w:rPr>
        <w:t xml:space="preserve"> </w:t>
      </w:r>
      <w:r>
        <w:rPr>
          <w:rFonts w:ascii="Arial;sans-serif" w:hAnsi="Arial;sans-serif"/>
          <w:b w:val="false"/>
          <w:color w:val="000000"/>
          <w:sz w:val="20"/>
        </w:rPr>
        <w:t xml:space="preserve">In March 2021, we exercised our option to renew this lease for a one-year period ending September 2022 and amended the lease to provide us the option to renew this lease for up to three additional years. In November 2021, we exercised our option to renew this lease for a one-year period ending September 2023.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pPr>
      <w:r>
        <w:rPr>
          <w:rFonts w:ascii="Arial;sans-serif" w:hAnsi="Arial;sans-serif"/>
          <w:b/>
          <w:i/>
          <w:color w:val="000000"/>
          <w:sz w:val="20"/>
        </w:rPr>
        <w:t>Collocation and Antenna Space Agreements</w:t>
      </w:r>
      <w:r>
        <w:rPr>
          <w:rFonts w:ascii="Arial;sans-serif" w:hAnsi="Arial;sans-serif"/>
          <w:b w:val="false"/>
          <w:color w:val="000000"/>
          <w:sz w:val="20"/>
        </w:rPr>
        <w:t xml:space="preserve">. We and DISH Network entered into an agreement pursuant to which DISH Network provided us with collocation space in El Paso, Texas. This agreement was for an initial period ending in July 2015, and provided us with renewal options for four consecutive three-year terms. We exercised our first renewal option for a period commencing in August 2015 and ending in July 2018, in April 2018 we exercised our second renewal option for a period ending in July 2021, and in May 2021 we exercised our third renewal option for a period ending in July 2024.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October 2019, we provided a termination notice for our New Braunfels, Texas agreement effective May 2020. In November 2020, we provided a termination notice for one of our Englewood, Colorado agreements effective May 2021. In November 2021, we exercised our right to renew the collocation agreements at Gilbert, Arizona, Cheyenne, Wyoming, Spokane, Washington, Englewood, Colorado and Monee, Illinois for a period ending in February 2025. In August 2017, we and DISH Network also entered into certain other agreements pursuant to which DISH Network provides additional collocation and antenna space to us in Monee, Illinois and Spokane, Washington through August 2022. In May 2022, we exercised our right to renew such other agreements at Monee, Illinois and Spokane, Washington through August 2025.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60 days’ prior written notice and certain other of these agreements with 180 days’ prior written notice. In September 2019, in connection with the BSS Transaction, we entered into an agreement pursuant to which DISH Network provided us with certain additional collocation space in Cheyenne, Wyoming for a period that ended in September 2020. The fees for the services provided under these agreements depend on the number of racks located at the location. </w:t>
      </w:r>
    </w:p>
    <w:p>
      <w:pPr>
        <w:pStyle w:val="TextBody"/>
        <w:spacing w:before="0" w:after="0"/>
        <w:jc w:val="both"/>
        <w:rPr/>
      </w:pPr>
      <w:r>
        <w:rPr/>
      </w:r>
    </w:p>
    <w:p>
      <w:pPr>
        <w:pStyle w:val="TextBody"/>
        <w:spacing w:lineRule="auto" w:line="268" w:before="0" w:after="0"/>
        <w:jc w:val="both"/>
        <w:rPr/>
      </w:pPr>
      <w:r>
        <w:rPr>
          <w:rFonts w:ascii="Arial;sans-serif" w:hAnsi="Arial;sans-serif"/>
          <w:b w:val="false"/>
          <w:color w:val="000000"/>
          <w:sz w:val="20"/>
        </w:rPr>
        <w:t>Also in connection with the BSS Transaction, in September 2019, we entered into an agreement pursuant to which DISH Network provides us with antenna space and power in Cheyenne, Wyoming for a period of five years commencing in August 2020, with four three-year renewal terms, with prior written notice of renewal required no more than 120 days but no less than 90 days prior to the end of the then-current term. In March 2021, we entered into additional agreements pursuant to which DISH Network provides us with</w:t>
      </w:r>
      <w:r>
        <w:rPr>
          <w:color w:val="000000"/>
        </w:rPr>
        <w:t xml:space="preserve"> </w:t>
      </w:r>
      <w:r>
        <w:rPr>
          <w:rFonts w:ascii="Arial;sans-serif" w:hAnsi="Arial;sans-serif"/>
          <w:b w:val="false"/>
          <w:color w:val="000000"/>
          <w:sz w:val="20"/>
        </w:rPr>
        <w:t>antenna space and power in Cheyenne, Wyoming, and the right to use an antenna and certain space in Gilbert, Arizona. Both agreements are for a period of five years with four three-year renewal terms, with prior written notice of renewal required no more than 120 days but no less than 90 days prior to the end of the then-current term.</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Hughes Broadband Master Services Agreement</w:t>
      </w:r>
      <w:r>
        <w:rPr>
          <w:rFonts w:ascii="Arial;sans-serif" w:hAnsi="Arial;sans-serif"/>
          <w:b w:val="false"/>
          <w:color w:val="000000"/>
          <w:sz w:val="20"/>
        </w:rPr>
        <w:t xml:space="preserve">.  In conjunction with the launch of our EchoStar XIX satellite, in March 2017, we and DISH Network entered into a master service agreement (the “Hughes Broadband MSA”) pursuant to which DISH Network, among other things: (i) has the right, but not the obligation, to market, promote and solicit orders and upgrades for our Gen 5 HughesNet service and related equipment and other telecommunication services and (ii) installs Gen 5 HughesNet service equipment with respect to activations generated by DISH Network.  Under the Hughes Broadband MSA, we and DISH Network make certain payments to each other relating to sales, upgrades, purchases and installation services. The current term of the Hughes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Broadband MSA is through March 2023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Gen 5 HughesNet service to subscribers and make certain payments to DISH Network pursuant to the terms and conditions of the Hughes Broadband MSA. We incurred sales incentives and other costs under the Hughes Broadband MSA totaling $0.7 million and $1.7 million for the three months ended March 31, 2023 and 2022, respectively.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pPr>
      <w:r>
        <w:rPr>
          <w:rFonts w:ascii="Arial;sans-serif" w:hAnsi="Arial;sans-serif"/>
          <w:b/>
          <w:i/>
          <w:color w:val="000000"/>
          <w:sz w:val="20"/>
        </w:rPr>
        <w:t>2019 TT&amp;C Agreement</w:t>
      </w:r>
      <w:r>
        <w:rPr>
          <w:rFonts w:ascii="Arial;sans-serif" w:hAnsi="Arial;sans-serif"/>
          <w:b w:val="false"/>
          <w:color w:val="000000"/>
          <w:sz w:val="20"/>
        </w:rPr>
        <w:t>.  In September 2019, in connection with the BSS Transaction, we entered into an agreement pursuant to which DISH Network provides TT&amp;C services to us for a period ending in September 2021, with the option for us to renew for a one-year period upon written notice at least 90 days prior to the initial expiration (the “2019 TT&amp;C Agreement”). In June 2021, we amended the 2019 TT&amp;C Agreement to extend the term until September 2022 and added the option for us to renew the 2019 TT&amp;C Agreement up to an additional three years. In September 2022, we exercised the option to renew the 2019 TT&amp;C Agreement until September 2023.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Referral Marketing Agreement</w:t>
      </w:r>
      <w:r>
        <w:rPr>
          <w:rFonts w:ascii="Arial;sans-serif" w:hAnsi="Arial;sans-serif"/>
          <w:b w:val="false"/>
          <w:color w:val="000000"/>
          <w:sz w:val="20"/>
        </w:rPr>
        <w:t xml:space="preserve">. In June 2021, we and DISH Network entered into an agreement pursuant to which we will pre-qualify prospects contacting Hughes call centers and transfer those prospects to DISH Network for introduction to DISH Network’s video services, for prospects that convert Hughes will receive a commission. This agreement has an indefinite term and may be terminated by either party upon 90 days’ prior written notice.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Whidbey Island 5G Network Test Bed Subcontract</w:t>
      </w:r>
      <w:r>
        <w:rPr>
          <w:rFonts w:ascii="Arial;sans-serif" w:hAnsi="Arial;sans-serif"/>
          <w:b w:val="false"/>
          <w:color w:val="000000"/>
          <w:sz w:val="20"/>
        </w:rPr>
        <w:t>. In June 2022, we and DISH Wireless entered into a subcontract (“DISH Subcontract”) pursuant to which DISH will provide access and use of a DISH lab, technical support and integration and testing support for the 5G network test bed to be delivered by Hughes to its customer.</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Other Receivables - DISH Network</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other receivables owed from DISH Network:</w:t>
      </w:r>
    </w:p>
    <w:tbl>
      <w:tblPr>
        <w:tblW w:w="8123" w:type="dxa"/>
        <w:jc w:val="center"/>
        <w:tblInd w:w="0" w:type="dxa"/>
        <w:tblCellMar>
          <w:top w:w="28" w:type="dxa"/>
          <w:left w:w="28" w:type="dxa"/>
          <w:bottom w:w="28" w:type="dxa"/>
          <w:right w:w="28" w:type="dxa"/>
        </w:tblCellMar>
      </w:tblPr>
      <w:tblGrid>
        <w:gridCol w:w="1482"/>
        <w:gridCol w:w="1305"/>
        <w:gridCol w:w="1308"/>
        <w:gridCol w:w="109"/>
        <w:gridCol w:w="109"/>
        <w:gridCol w:w="109"/>
        <w:gridCol w:w="292"/>
        <w:gridCol w:w="1042"/>
        <w:gridCol w:w="151"/>
        <w:gridCol w:w="109"/>
        <w:gridCol w:w="109"/>
        <w:gridCol w:w="109"/>
        <w:gridCol w:w="357"/>
        <w:gridCol w:w="1272"/>
        <w:gridCol w:w="260"/>
      </w:tblGrid>
      <w:tr>
        <w:trPr/>
        <w:tc>
          <w:tcPr>
            <w:tcW w:w="1482"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40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89" w:type="dxa"/>
            <w:gridSpan w:val="3"/>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 - DISH Network,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75,865 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74,923 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 xml:space="preserve">Tax Sharing Agreement. </w:t>
      </w:r>
      <w:r>
        <w:rPr>
          <w:rFonts w:ascii="Arial;sans-serif" w:hAnsi="Arial;sans-serif"/>
          <w:b w:val="false"/>
          <w:color w:val="000000"/>
          <w:sz w:val="20"/>
        </w:rPr>
        <w:t xml:space="preserve">Effective December 2007, we and DISH Network entered into a tax sharing agreement (the “Tax Sharing Agreement”) in connection with the Spin-off. This agreement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Internal Revenue Code of 1986, as amended (the “Code”),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tax benefits were reflected as a deferred tax asset for depreciation and amortization, which was netted in our non-current deferred tax liabilities. Under the agreement with DISH Network from 2013, DISH Network is paying us the federal tax benefit it receives at such time as we would have otherwise been able to realize such tax benefit. We recorded a current receivable from DISH Network in Other receivables - DISH Network, current and a non-current receivable from DISH Network in Other receivables - DISH Network, noncurrent and a corresponding increase in our </w:t>
      </w:r>
      <w:r>
        <w:rPr>
          <w:rFonts w:ascii="Arial;sans-serif" w:hAnsi="Arial;sans-serif"/>
          <w:b w:val="false"/>
          <w:i/>
          <w:color w:val="000000"/>
          <w:sz w:val="20"/>
        </w:rPr>
        <w:t>Deferred tax liabilities, net</w:t>
      </w:r>
      <w:r>
        <w:rPr>
          <w:color w:val="000000"/>
        </w:rPr>
        <w:t xml:space="preserve"> </w:t>
      </w:r>
      <w:r>
        <w:rPr>
          <w:rFonts w:ascii="Arial;sans-serif" w:hAnsi="Arial;sans-serif"/>
          <w:b w:val="false"/>
          <w:color w:val="000000"/>
          <w:sz w:val="20"/>
        </w:rPr>
        <w:t>to reflect the effects of this agreement.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 past and future federal research and development tax credits that we or DISH Network receive or received as a result of being part of a controlled group under the Code, and requires DISH Network to compensate us for certain past tax losses utilized by DISH Network and for certain past and future excess California research and development tax credits generated by us and used by DISH Network. In addition, the Tax Sharing Amendment extends the term of the State Tax Arrangement to the earlier of termination of the Tax Sharing Agreement, a change in control of either us or DISH Network or, for any particular state, if we and DISH Network no longer file a combined tax return for such state. </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We and DISH Network filed combined income tax returns in certain states from 2008 through 2019. We have earned and recognized tax benefits for certain state income tax credits that we would be unable to fully utilize currently if we had filed separately from DISH Network. We have charged </w:t>
      </w:r>
      <w:r>
        <w:rPr>
          <w:rFonts w:ascii="Arial;sans-serif" w:hAnsi="Arial;sans-serif"/>
          <w:b w:val="false"/>
          <w:i/>
          <w:color w:val="000000"/>
          <w:sz w:val="20"/>
        </w:rPr>
        <w:t xml:space="preserve">Additional paid-in capital </w:t>
      </w:r>
      <w:r>
        <w:rPr>
          <w:rFonts w:ascii="Arial;sans-serif" w:hAnsi="Arial;sans-serif"/>
          <w:b w:val="false"/>
          <w:color w:val="000000"/>
          <w:sz w:val="20"/>
        </w:rPr>
        <w:t xml:space="preserve">in prior periods when DISH Network has utilized such tax benefits. We expect to increase </w:t>
      </w:r>
      <w:r>
        <w:rPr>
          <w:rFonts w:ascii="Arial;sans-serif" w:hAnsi="Arial;sans-serif"/>
          <w:b w:val="false"/>
          <w:i/>
          <w:color w:val="000000"/>
          <w:sz w:val="20"/>
        </w:rPr>
        <w:t>Additional paid-in capital</w:t>
      </w:r>
      <w:r>
        <w:rPr>
          <w:color w:val="000000"/>
        </w:rPr>
        <w:t xml:space="preserve"> </w:t>
      </w:r>
      <w:r>
        <w:rPr>
          <w:rFonts w:ascii="Arial;sans-serif" w:hAnsi="Arial;sans-serif"/>
          <w:b w:val="false"/>
          <w:color w:val="000000"/>
          <w:sz w:val="20"/>
        </w:rPr>
        <w:t>upon receipt of any consideration that DISH Network pays to us in exchange for these tax credits.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Other Agreements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 xml:space="preserve">Master Transaction Agreement. </w:t>
      </w:r>
      <w:r>
        <w:rPr>
          <w:rFonts w:ascii="Arial;sans-serif" w:hAnsi="Arial;sans-serif"/>
          <w:b w:val="false"/>
          <w:color w:val="000000"/>
          <w:sz w:val="20"/>
        </w:rPr>
        <w:t>In May 2019, we and BSS Corp. entered into the Master Transaction Agreement with DISH and Merger Sub with respect to the BSS Transaction. Pursuant to the terms of the Master Transaction Agreement, on September 10, 2019: (i) we transferred the BSS Business to BSS Corp.; (ii) we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0.23523769 shares of DISH Common Stock. Following the consummation of the BSS Transaction, we no longer operate the BSS Business, which was a substantial portion of our ESS segment. The Master Transaction Agreement contained customary representations and warranties by us and DISH Network, including our representations relating to the assets, liabilities and financial condition of the BSS Business, and representations by DISH Network relating to its financial condition and liabilities.  We and DISH Network have agreed to indemnify each other against certain losses with respect to breaches of certain representations and covenants and certain retained and assumed liabilities, respectively.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 xml:space="preserve">BSS Transaction Intellectual Property and Technology License Agreement. </w:t>
      </w:r>
      <w:r>
        <w:rPr>
          <w:rFonts w:ascii="Arial;sans-serif" w:hAnsi="Arial;sans-serif"/>
          <w:b w:val="false"/>
          <w:color w:val="000000"/>
          <w:sz w:val="20"/>
        </w:rPr>
        <w:t xml:space="preserve">Effective September 2019, in connection with the BSS Transaction, we and DISH Network entered into an intellectual property and technology license agreement (the “BSS IPTLA”) pursuant to which we and DISH Network license to each other certain intellectual property and technology. The BSS IPTLA will continue in perpetuity, unless mutually terminated by the parties. Pursuant to the BSS IPTLA, we granted to DISH Network a license to our intellectual property and technology for use by DISH Network, among other things, in connection with its continued operation of the BSS Business acquired pursuant to the BSS Transaction, including a limited license to use the “ESS” and “ECHOSTAR SATELLITE SERVICES” trademarks during a transition period.  EchoStar retains full ownership of the “ESS” and “ECHOSTAR SATELLITE SERVICES” trademarks. In addition, DISH Network granted a license back to us, among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other things, for the continued use of all intellectual property and technology that is used in our retained businesses but the ownership of which was transferred to DISH Network pursuant to the BSS Transaction.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 xml:space="preserve">BSS Transaction Tax Matters Agreement. </w:t>
      </w:r>
      <w:r>
        <w:rPr>
          <w:rFonts w:ascii="Arial;sans-serif" w:hAnsi="Arial;sans-serif"/>
          <w:b w:val="false"/>
          <w:color w:val="000000"/>
          <w:sz w:val="20"/>
        </w:rPr>
        <w:t xml:space="preserve">Effective September 2019, in connection with the BSS Transaction, we, BSS Corp. and DISH entered into a tax matters agreement. This agreement governs certain of our rights, responsibilities and obligations with respect to taxes of the BSS Business transferred pursuant to the BSS Transaction. Generally, we are responsible for all tax returns and tax liabilities for the BSS Business for periods prior to the BSS Transaction and DISH is responsible for all tax returns and tax liabilities for the BSS Business from and after the BSS Transaction. Both we and DISH made certain tax-related representations and are subject to various tax-related covenants after the consummation of the BSS Transaction. Both we and DISH Network have agreed to indemnify each other for certain losses if there is a breach of any the tax representations or violation of any of the 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us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 income tax purposes. This tax matters agreement supplements the Tax Sharing Agreement outlined above and the Share Exchange Tax Matters Agreement outlined below, both of which continue in full force and effect.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 xml:space="preserve">BSS Transaction Employee Matters Agreement. </w:t>
      </w:r>
      <w:r>
        <w:rPr>
          <w:rFonts w:ascii="Arial;sans-serif" w:hAnsi="Arial;sans-serif"/>
          <w:b w:val="false"/>
          <w:color w:val="000000"/>
          <w:sz w:val="20"/>
        </w:rPr>
        <w:t>Effective September 2019, in connection with the BSS Transaction, we and DISH Network entered into an employee matters agreement that addressed the transfer of employees from us to DISH Network, including certain benefit and compensation matters and the allocation of responsibility for employee related liabilities relating to current and past employees of the BSS Business. DISH Network assumed employee-related liabilities relating to the BSS Business as part of the BSS Transaction, except that we are responsible for certain pre-BSS Transaction compensation and benefits for employees who transferred to DISH Network in connection with the BSS Transaction.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Share Exchange Agreement</w:t>
      </w:r>
      <w:r>
        <w:rPr>
          <w:rFonts w:ascii="Arial;sans-serif" w:hAnsi="Arial;sans-serif"/>
          <w:b w:val="false"/>
          <w:color w:val="000000"/>
          <w:sz w:val="20"/>
        </w:rPr>
        <w:t xml:space="preserve">. In February 2017 we consummated the Share Exchange, following which we no longer operate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 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Share Exchange Intellectual Property and Technology License Agreement</w:t>
      </w:r>
      <w:r>
        <w:rPr>
          <w:rFonts w:ascii="Arial;sans-serif" w:hAnsi="Arial;sans-serif"/>
          <w:b w:val="false"/>
          <w:color w:val="000000"/>
          <w:sz w:val="20"/>
        </w:rPr>
        <w:t xml:space="preserve">. Effective March 2017, in connection with the Share Exchange, we and DISH Network entered into an intellectual property and 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Share Exchange Tax Matters Agreement</w:t>
      </w:r>
      <w:r>
        <w:rPr>
          <w:rFonts w:ascii="Arial;sans-serif" w:hAnsi="Arial;sans-serif"/>
          <w:b w:val="false"/>
          <w:color w:val="000000"/>
          <w:sz w:val="20"/>
        </w:rPr>
        <w:t xml:space="preserve">. Effective March 2017, in connection with the Share Exchange, we and DISH entered into a tax matters agreement. This agreement 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and assets from and after the Share Exchange. Both we and DISH Network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Share Exchange Employee Matters Agreement</w:t>
      </w:r>
      <w:r>
        <w:rPr>
          <w:rFonts w:ascii="Arial;sans-serif" w:hAnsi="Arial;sans-serif"/>
          <w:b w:val="false"/>
          <w:color w:val="000000"/>
          <w:sz w:val="20"/>
        </w:rPr>
        <w:t>. Effective March 2017, in connection with the Share Exchange, we and DISH Network entered into an employee matters agreement that addressed the transfer of employees from us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pre-Share Exchange employee related litigation, and compensation and benefits for employees who transferred to DISH Network in connection with the Share Exchange.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NOTE 12. RELATED PARTY TRANSACTIONS - OTHER</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Hughes Systique Corporation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contract with Hughes Systique Corporation (“Hughes Systique”) for software development services. In addition to our approximately 42% ownership in Hughes Systique, Mr. Pradman Kaul, the former President of our subsidiary Hughes Communications and Vice-Chair of our board of directors (effective January 1, 2023), and his brother, who is the Chief Executive Officer and President of Hughes Systique, own in the aggregate approximately 25%, on an undiluted basis, of Hughes Systique’s outstanding shares as of March 31, 2023.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these Consolidated Financial Statements.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TerreStar Solutions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$0.5 million, and $0.5 million for the three months ended March 31, 2023, and 2022, respectively. As of March 31, 2023 we had $0.5 million of trade accounts receivable from TSI.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NOTE 13. CONTINGENCIES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Contingencies</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Patents and Intellectual Property</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v:rect>
            </w:pict>
          </mc:Fallback>
        </mc:AlternateConten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Certain Arrangements with DISH Network</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connection with our spin-off from DISH in 2008,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In connection with the Share Exchange and BSS Transaction, we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in the case of the Share Exchange, certain pre-existing liabilities and legal proceedings and, in the case of the BSS Transaction, certain losses with respect to breaches of certain representations and covenants and certain liabilities.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Litigation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expense as incurred.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certain proceedings,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motions or other proceedings;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Shareholder Litigation</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On July 2, 2019, the City of Hallandale Beach Police Officers’ and Firefighters’ Personnel Retirement Trust, purporting to sue on behalf of a class of EchoStar’s stockholders, filed a complaint in the District Court of Clark County, Nevada against our directors, Charles W. Ergen, R. Stanton Dodge, Anthony M. Federico, Pradman P. Kaul, C. Michael Schroeder, Jeffrey R. Tarr, William D. Wade, and Michael T. Dugan; our chief financial officer, David J. Rayner; EchoStar; our subsidiary HSSC; our former subsidiary BSS Corp.; and DISH and its subsidiary Merger Sub. On September 5, 2019, the defendants filed motions to dismiss. On October 11, 2019, the plaintiffs filed an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v:rect>
            </w:pict>
          </mc:Fallback>
        </mc:AlternateConten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amended complaint removing Messrs. Dodge, Federico, Kaul, Schroeder, Tarr and Wade as defendants. The amended complaint alleges that Mr. Ergen, as our controlling stockholder, breached fiduciary duties to EchoStar’s minority stockholders by structuring the BSS Transaction with inadequate consideration and improperly influencing our and HSSC’s boards of directors to approve the BSS Transaction. The amended complaint also alleges that the other defendants aided and abetted such alleged breaches. The plaintiffs seek equitable and monetary relief, including the issuance of additional DISH Common Stock, and other costs and disbursements, including attorneys’ fees on behalf of the purported class. On November 11, 2019, we and the other defendants filed separate motions to dismiss plaintiff’s amended complaint and during a hearing on January 13, 2020 the court denied these motions. On February 10, 2020, we and the other defendants filed answers to the amended complaint. The Court certified plaintiff’s class on January 11, 2021. On June 18, 2021, the parties executed a settlement agreement to resolve all claims in this case. On the same day, the parties filed a joint motion for preliminary approval of the settlement agreement. The motion was granted by an order dated July 30, 2021. On December 9, 2021, the Court held a final settlement hearing. On December 10, 2021, the Court issued an Order granting final approval of the settlement agreement. In an order dated October 24, 2022, the Court granted plaintiff’s unopposed motion to approve the class distribution plan.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License Fee Dispute with Government of India, Department of Telecommunications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new government policy that was first established in 1999. The new policy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is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potentially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 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additional payments on each March 31 thereafter.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components of the accrual:</w:t>
      </w:r>
    </w:p>
    <w:p>
      <w:pPr>
        <w:pStyle w:val="TextBody"/>
        <w:spacing w:before="0" w:after="0"/>
        <w:jc w:val="both"/>
        <w:rPr/>
      </w:pPr>
      <w:r>
        <w:rPr/>
      </w:r>
    </w:p>
    <w:tbl>
      <w:tblPr>
        <w:tblW w:w="6997" w:type="dxa"/>
        <w:jc w:val="left"/>
        <w:tblInd w:w="0" w:type="dxa"/>
        <w:tblCellMar>
          <w:top w:w="28" w:type="dxa"/>
          <w:left w:w="28" w:type="dxa"/>
          <w:bottom w:w="28" w:type="dxa"/>
          <w:right w:w="28" w:type="dxa"/>
        </w:tblCellMar>
      </w:tblPr>
      <w:tblGrid>
        <w:gridCol w:w="1074"/>
        <w:gridCol w:w="946"/>
        <w:gridCol w:w="949"/>
        <w:gridCol w:w="109"/>
        <w:gridCol w:w="109"/>
        <w:gridCol w:w="109"/>
        <w:gridCol w:w="292"/>
        <w:gridCol w:w="1042"/>
        <w:gridCol w:w="151"/>
        <w:gridCol w:w="109"/>
        <w:gridCol w:w="109"/>
        <w:gridCol w:w="109"/>
        <w:gridCol w:w="357"/>
        <w:gridCol w:w="1272"/>
        <w:gridCol w:w="260"/>
      </w:tblGrid>
      <w:tr>
        <w:trPr/>
        <w:tc>
          <w:tcPr>
            <w:tcW w:w="1074"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license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Penalties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3,544 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3,516 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interest on penalties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80,236 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78,327 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(28,200)</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(17,785)</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59,033 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67,483 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10,273 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10,191 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accrual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48,760 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57,292 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Any eventual payments made with respect to the ultimate outcome of this matter may be different from our accrual and such differences could be significant.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Other</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v:rect>
            </w:pict>
          </mc:Fallback>
        </mc:AlternateContent>
      </w:r>
    </w:p>
    <w:p>
      <w:pPr>
        <w:pStyle w:val="TextBody"/>
        <w:spacing w:before="0" w:after="0"/>
        <w:jc w:val="both"/>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NOTE 14.    SEGMENT REPORTING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Business segments are components of an enterprise for which separate financial information is available and regularly evaluated by our chief operating decision maker (“CODM”), who is our Chief Executive Officer. We operate in two business segments, Hughes segment and ESS segment.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primary measure of segment profitability that is reported regularly to our CODM is earnings before interest, taxes, depreciation and amortization, and net income (loss) attributable to non-controlling interests (“EBITDA”).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assets by segment have not been reported herein because the information is not provided to our CODM on a regular basis.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total revenue, capital expenditures and EBITDA for each of our business segments: </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350"/>
        <w:gridCol w:w="1179"/>
        <w:gridCol w:w="1183"/>
        <w:gridCol w:w="109"/>
        <w:gridCol w:w="109"/>
        <w:gridCol w:w="109"/>
        <w:gridCol w:w="211"/>
        <w:gridCol w:w="826"/>
        <w:gridCol w:w="109"/>
        <w:gridCol w:w="109"/>
        <w:gridCol w:w="109"/>
        <w:gridCol w:w="109"/>
        <w:gridCol w:w="211"/>
        <w:gridCol w:w="616"/>
        <w:gridCol w:w="109"/>
        <w:gridCol w:w="109"/>
        <w:gridCol w:w="109"/>
        <w:gridCol w:w="109"/>
        <w:gridCol w:w="345"/>
        <w:gridCol w:w="1302"/>
        <w:gridCol w:w="177"/>
        <w:gridCol w:w="109"/>
        <w:gridCol w:w="109"/>
        <w:gridCol w:w="109"/>
        <w:gridCol w:w="226"/>
        <w:gridCol w:w="884"/>
        <w:gridCol w:w="169"/>
      </w:tblGrid>
      <w:tr>
        <w:trPr/>
        <w:tc>
          <w:tcPr>
            <w:tcW w:w="1350"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302"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3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Hughes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Corporate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Consolidated</w:t>
              <w:br/>
              <w:t>Total</w:t>
            </w:r>
          </w:p>
        </w:tc>
      </w:tr>
      <w:tr>
        <w:trPr/>
        <w:tc>
          <w:tcPr>
            <w:tcW w:w="371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For the 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3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2,913 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439,597 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439,597 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(2,954)</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44,071 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157,234 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(33,840)</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128,049 </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For the three months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494,106 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3,152 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501,534 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501,534 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51,117 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112,138 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191,170 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59,341 </w:t>
            </w:r>
          </w:p>
        </w:tc>
        <w:tc>
          <w:tcPr>
            <w:tcW w:w="1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253,202 </w:t>
            </w:r>
          </w:p>
        </w:tc>
        <w:tc>
          <w:tcPr>
            <w:tcW w:w="1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Capital expenditures are net of refunds and other receipts related to property and equipment.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val="false"/>
          <w:color w:val="000000"/>
          <w:sz w:val="20"/>
        </w:rPr>
        <w:t xml:space="preserve">The following table reconciles </w:t>
      </w:r>
      <w:r>
        <w:rPr>
          <w:rFonts w:ascii="Arial;sans-serif" w:hAnsi="Arial;sans-serif"/>
          <w:b w:val="false"/>
          <w:i/>
          <w:color w:val="000000"/>
          <w:sz w:val="20"/>
        </w:rPr>
        <w:t>Income (loss) before income taxes</w:t>
      </w:r>
      <w:r>
        <w:rPr>
          <w:color w:val="000000"/>
        </w:rPr>
        <w:t xml:space="preserve"> </w:t>
      </w:r>
      <w:r>
        <w:rPr>
          <w:rFonts w:ascii="Arial;sans-serif" w:hAnsi="Arial;sans-serif"/>
          <w:b w:val="false"/>
          <w:color w:val="000000"/>
          <w:sz w:val="20"/>
        </w:rPr>
        <w:t xml:space="preserve">in the Consolidated Statements of Operations to EBITDA: </w:t>
      </w:r>
    </w:p>
    <w:tbl>
      <w:tblPr>
        <w:tblW w:w="9036" w:type="dxa"/>
        <w:jc w:val="left"/>
        <w:tblInd w:w="0" w:type="dxa"/>
        <w:tblCellMar>
          <w:top w:w="28" w:type="dxa"/>
          <w:left w:w="28" w:type="dxa"/>
          <w:bottom w:w="28" w:type="dxa"/>
          <w:right w:w="28" w:type="dxa"/>
        </w:tblCellMar>
      </w:tblPr>
      <w:tblGrid>
        <w:gridCol w:w="1818"/>
        <w:gridCol w:w="1600"/>
        <w:gridCol w:w="1607"/>
        <w:gridCol w:w="109"/>
        <w:gridCol w:w="109"/>
        <w:gridCol w:w="109"/>
        <w:gridCol w:w="285"/>
        <w:gridCol w:w="1159"/>
        <w:gridCol w:w="147"/>
        <w:gridCol w:w="147"/>
        <w:gridCol w:w="147"/>
        <w:gridCol w:w="147"/>
        <w:gridCol w:w="285"/>
        <w:gridCol w:w="1159"/>
        <w:gridCol w:w="208"/>
      </w:tblGrid>
      <w:tr>
        <w:trPr/>
        <w:tc>
          <w:tcPr>
            <w:tcW w:w="1818"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5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39,280 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121,727 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(28,596)</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(6,422)</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13,286 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14,973 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102,858 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120,436 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128,049 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253,202 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v:rect>
            </w:pict>
          </mc:Fallback>
        </mc:AlternateContent>
      </w:r>
    </w:p>
    <w:p>
      <w:pPr>
        <w:pStyle w:val="TextBody"/>
        <w:spacing w:before="0" w:after="0"/>
        <w:jc w:val="both"/>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15.    SUPPLEMENTAL FINANCIAL INFORMATION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Other Current Assets, Net and Other Non-current Assets, Net </w:t>
      </w:r>
    </w:p>
    <w:p>
      <w:pPr>
        <w:pStyle w:val="TextBody"/>
        <w:spacing w:before="0" w:after="0"/>
        <w:rPr/>
      </w:pPr>
      <w:r>
        <w:rPr/>
      </w:r>
    </w:p>
    <w:p>
      <w:pPr>
        <w:pStyle w:val="TextBody"/>
        <w:spacing w:lineRule="auto" w:line="288" w:before="0" w:after="0"/>
        <w:jc w:val="both"/>
        <w:rPr/>
      </w:pPr>
      <w:r>
        <w:rPr>
          <w:rFonts w:ascii="Arial;sans-serif" w:hAnsi="Arial;sans-serif"/>
          <w:b w:val="false"/>
          <w:color w:val="000000"/>
          <w:sz w:val="20"/>
        </w:rPr>
        <w:t xml:space="preserve">The following table presents the components of </w:t>
      </w:r>
      <w:r>
        <w:rPr>
          <w:rFonts w:ascii="Arial;sans-serif" w:hAnsi="Arial;sans-serif"/>
          <w:b w:val="false"/>
          <w:i/>
          <w:color w:val="000000"/>
          <w:sz w:val="20"/>
        </w:rPr>
        <w:t>Other current assets, net and</w:t>
      </w:r>
      <w:r>
        <w:rPr>
          <w:color w:val="000000"/>
        </w:rPr>
        <w:t xml:space="preserve"> </w:t>
      </w:r>
      <w:r>
        <w:rPr>
          <w:rFonts w:ascii="Arial;sans-serif" w:hAnsi="Arial;sans-serif"/>
          <w:b w:val="false"/>
          <w:i/>
          <w:color w:val="000000"/>
          <w:sz w:val="20"/>
        </w:rPr>
        <w:t>Other non-current assets, net</w:t>
      </w:r>
      <w:r>
        <w:rPr>
          <w:rFonts w:ascii="Arial;sans-serif" w:hAnsi="Arial;sans-serif"/>
          <w:b w:val="false"/>
          <w:color w:val="000000"/>
          <w:sz w:val="20"/>
        </w:rPr>
        <w:t>:</w:t>
      </w:r>
    </w:p>
    <w:tbl>
      <w:tblPr>
        <w:tblW w:w="7971" w:type="dxa"/>
        <w:jc w:val="center"/>
        <w:tblInd w:w="0" w:type="dxa"/>
        <w:tblCellMar>
          <w:top w:w="28" w:type="dxa"/>
          <w:left w:w="28" w:type="dxa"/>
          <w:bottom w:w="28" w:type="dxa"/>
          <w:right w:w="28" w:type="dxa"/>
        </w:tblCellMar>
      </w:tblPr>
      <w:tblGrid>
        <w:gridCol w:w="1429"/>
        <w:gridCol w:w="1253"/>
        <w:gridCol w:w="1262"/>
        <w:gridCol w:w="109"/>
        <w:gridCol w:w="109"/>
        <w:gridCol w:w="109"/>
        <w:gridCol w:w="266"/>
        <w:gridCol w:w="1081"/>
        <w:gridCol w:w="137"/>
        <w:gridCol w:w="109"/>
        <w:gridCol w:w="109"/>
        <w:gridCol w:w="109"/>
        <w:gridCol w:w="326"/>
        <w:gridCol w:w="1325"/>
        <w:gridCol w:w="238"/>
      </w:tblGrid>
      <w:tr>
        <w:trPr/>
        <w:tc>
          <w:tcPr>
            <w:tcW w:w="1429"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137,634 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123,606 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Prepaids and deposits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68,076 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61,877 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 DISH Network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8,183 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3,492 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89" w:type="dxa"/>
            <w:gridSpan w:val="3"/>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21,471 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252,596 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210,446 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Other non-current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116,545 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116,841 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acquisition costs,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60,234 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64,447 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 - DISH Network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75,865 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74,923 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marketable investment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11,056 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8,011 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fulfillment costs,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1,957 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1,931 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40,004 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38,511 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non-current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315,960 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317,062 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Inventory</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components of inventory: </w:t>
      </w:r>
    </w:p>
    <w:tbl>
      <w:tblPr>
        <w:tblW w:w="5558" w:type="dxa"/>
        <w:jc w:val="center"/>
        <w:tblInd w:w="0" w:type="dxa"/>
        <w:tblCellMar>
          <w:top w:w="28" w:type="dxa"/>
          <w:left w:w="28" w:type="dxa"/>
          <w:bottom w:w="28" w:type="dxa"/>
          <w:right w:w="28" w:type="dxa"/>
        </w:tblCellMar>
      </w:tblPr>
      <w:tblGrid>
        <w:gridCol w:w="554"/>
        <w:gridCol w:w="486"/>
        <w:gridCol w:w="491"/>
        <w:gridCol w:w="109"/>
        <w:gridCol w:w="109"/>
        <w:gridCol w:w="109"/>
        <w:gridCol w:w="266"/>
        <w:gridCol w:w="1081"/>
        <w:gridCol w:w="137"/>
        <w:gridCol w:w="109"/>
        <w:gridCol w:w="109"/>
        <w:gridCol w:w="109"/>
        <w:gridCol w:w="326"/>
        <w:gridCol w:w="1325"/>
        <w:gridCol w:w="238"/>
      </w:tblGrid>
      <w:tr>
        <w:trPr/>
        <w:tc>
          <w:tcPr>
            <w:tcW w:w="55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35,932 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32,920 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20,036 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16,408 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81,666 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74,278 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inventory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137,634 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123,606 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v:rect>
            </w:pict>
          </mc:Fallback>
        </mc:AlternateContent>
      </w:r>
    </w:p>
    <w:p>
      <w:pPr>
        <w:pStyle w:val="TextBody"/>
        <w:spacing w:before="0" w:after="0"/>
        <w:jc w:val="both"/>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Accrued Expenses and Other Current Liabilities and Other Non-Current Liabilities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The following table presents the components of</w:t>
      </w:r>
      <w:r>
        <w:rPr>
          <w:color w:val="000000"/>
        </w:rPr>
        <w:t xml:space="preserve"> </w:t>
      </w:r>
      <w:r>
        <w:rPr>
          <w:rFonts w:ascii="Arial;sans-serif" w:hAnsi="Arial;sans-serif"/>
          <w:b w:val="false"/>
          <w:i/>
          <w:color w:val="000000"/>
          <w:sz w:val="20"/>
        </w:rPr>
        <w:t xml:space="preserve">Accrued expenses and other current liabilities </w:t>
      </w:r>
      <w:r>
        <w:rPr>
          <w:rFonts w:ascii="Arial;sans-serif" w:hAnsi="Arial;sans-serif"/>
          <w:b w:val="false"/>
          <w:color w:val="000000"/>
          <w:sz w:val="20"/>
        </w:rPr>
        <w:t xml:space="preserve">and </w:t>
      </w:r>
      <w:r>
        <w:rPr>
          <w:rFonts w:ascii="Arial;sans-serif" w:hAnsi="Arial;sans-serif"/>
          <w:b w:val="false"/>
          <w:i/>
          <w:color w:val="000000"/>
          <w:sz w:val="20"/>
        </w:rPr>
        <w:t>Other non-current liabilities:</w:t>
      </w:r>
    </w:p>
    <w:p>
      <w:pPr>
        <w:pStyle w:val="TextBody"/>
        <w:spacing w:before="0" w:after="0"/>
        <w:jc w:val="both"/>
        <w:rPr/>
      </w:pPr>
      <w:r>
        <w:rPr/>
      </w:r>
    </w:p>
    <w:tbl>
      <w:tblPr>
        <w:tblW w:w="8571" w:type="dxa"/>
        <w:jc w:val="left"/>
        <w:tblInd w:w="0" w:type="dxa"/>
        <w:tblCellMar>
          <w:top w:w="28" w:type="dxa"/>
          <w:left w:w="28" w:type="dxa"/>
          <w:bottom w:w="28" w:type="dxa"/>
          <w:right w:w="28" w:type="dxa"/>
        </w:tblCellMar>
      </w:tblPr>
      <w:tblGrid>
        <w:gridCol w:w="1646"/>
        <w:gridCol w:w="1444"/>
        <w:gridCol w:w="1454"/>
        <w:gridCol w:w="109"/>
        <w:gridCol w:w="109"/>
        <w:gridCol w:w="109"/>
        <w:gridCol w:w="266"/>
        <w:gridCol w:w="1081"/>
        <w:gridCol w:w="137"/>
        <w:gridCol w:w="109"/>
        <w:gridCol w:w="109"/>
        <w:gridCol w:w="109"/>
        <w:gridCol w:w="326"/>
        <w:gridCol w:w="1325"/>
        <w:gridCol w:w="238"/>
      </w:tblGrid>
      <w:tr>
        <w:trPr/>
        <w:tc>
          <w:tcPr>
            <w:tcW w:w="1646"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48,726 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56,337 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obligation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17,757 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17,854 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39,245 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12,603 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Accrual for license fee dispute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10,273 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10,191 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In-orbit incentive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5,369 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 - DISH Network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52,460 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57,585 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163,109 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199,853 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Accrual for license fee dispute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48,760 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57,292 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In-orbit incentive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44,041 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44,836 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8,326 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9,333 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112,534 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119,787 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Supplemental and Non-cash Investing and Financing Activities</w:t>
      </w:r>
    </w:p>
    <w:p>
      <w:pPr>
        <w:pStyle w:val="TextBody"/>
        <w:spacing w:before="0" w:after="0"/>
        <w:jc w:val="center"/>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following table presents the supplemental and non-cash investing and financing activities: </w:t>
      </w:r>
    </w:p>
    <w:tbl>
      <w:tblPr>
        <w:tblW w:w="10205" w:type="dxa"/>
        <w:jc w:val="center"/>
        <w:tblInd w:w="0" w:type="dxa"/>
        <w:tblCellMar>
          <w:top w:w="28" w:type="dxa"/>
          <w:left w:w="28" w:type="dxa"/>
          <w:bottom w:w="28" w:type="dxa"/>
          <w:right w:w="28" w:type="dxa"/>
        </w:tblCellMar>
      </w:tblPr>
      <w:tblGrid>
        <w:gridCol w:w="2282"/>
        <w:gridCol w:w="2005"/>
        <w:gridCol w:w="2015"/>
        <w:gridCol w:w="109"/>
        <w:gridCol w:w="109"/>
        <w:gridCol w:w="109"/>
        <w:gridCol w:w="299"/>
        <w:gridCol w:w="1068"/>
        <w:gridCol w:w="155"/>
        <w:gridCol w:w="155"/>
        <w:gridCol w:w="155"/>
        <w:gridCol w:w="155"/>
        <w:gridCol w:w="299"/>
        <w:gridCol w:w="1068"/>
        <w:gridCol w:w="222"/>
      </w:tblGrid>
      <w:tr>
        <w:trPr/>
        <w:tc>
          <w:tcPr>
            <w:tcW w:w="2282" w:type="dxa"/>
            <w:tcBorders/>
            <w:shd w:fill="auto" w:val="clear"/>
            <w:vAlign w:val="center"/>
          </w:tcPr>
          <w:p>
            <w:pPr>
              <w:pStyle w:val="TableContents"/>
              <w:spacing w:before="0" w:after="283"/>
              <w:rPr>
                <w:sz w:val="4"/>
                <w:szCs w:val="4"/>
              </w:rPr>
            </w:pPr>
            <w:r>
              <w:rPr>
                <w:sz w:val="4"/>
                <w:szCs w:val="4"/>
              </w:rPr>
            </w:r>
          </w:p>
        </w:tc>
        <w:tc>
          <w:tcPr>
            <w:tcW w:w="2005" w:type="dxa"/>
            <w:tcBorders/>
            <w:shd w:fill="auto" w:val="clear"/>
            <w:vAlign w:val="center"/>
          </w:tcPr>
          <w:p>
            <w:pPr>
              <w:pStyle w:val="TableContents"/>
              <w:spacing w:before="0" w:after="283"/>
              <w:rPr>
                <w:sz w:val="4"/>
                <w:szCs w:val="4"/>
              </w:rPr>
            </w:pPr>
            <w:r>
              <w:rPr>
                <w:sz w:val="4"/>
                <w:szCs w:val="4"/>
              </w:rPr>
            </w:r>
          </w:p>
        </w:tc>
        <w:tc>
          <w:tcPr>
            <w:tcW w:w="20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r>
      <w:tr>
        <w:trPr/>
        <w:tc>
          <w:tcPr>
            <w:tcW w:w="6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63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3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 net of amounts capitalized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40,465 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34,918 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806 </w:t>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benefits paid in Class A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7,041 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capital expenditures included in accounts payable,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(6,961)</w:t>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net assets received as part of the India JV formation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36,701 </w:t>
            </w:r>
          </w:p>
        </w:tc>
        <w:tc>
          <w:tcPr>
            <w:tcW w:w="2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v:rect>
            </w:pict>
          </mc:Fallback>
        </mc:AlternateContent>
      </w:r>
    </w:p>
    <w:p>
      <w:pPr>
        <w:pStyle w:val="TextBody"/>
        <w:spacing w:lineRule="auto" w:line="288" w:before="0" w:after="0"/>
        <w:jc w:val="both"/>
        <w:rPr/>
      </w:pPr>
      <w:hyperlink w:anchor="iffcdad348b3c4a57aa352cc8de1ffc2f_7">
        <w:r>
          <w:rPr>
            <w:rStyle w:val="InternetLink"/>
            <w:rFonts w:ascii="Arial;sans-serif" w:hAnsi="Arial;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Unless the context indicates otherwise, the terms “we,” “us,” “EchoStar,” the “Company” and “our” refer to EchoStar Corporation and its subsidiaries. The following Management’s Discussion and Analysis of our Financial Condition and Results of Operations (“Management’s Discussion and Analysis”) should be read in conjunction with our accompanying Consolidated Financial Statements and notes thereto (“Consolidated Financial Statements”) in Item 1 of this Quarterly Report on Form 10-Q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Refer to the Disclosure Regarding Forward-Looking Statements in this Form 10-Q for further discussion. For a discussion of additional risks, uncertainties and other factors that could impact our results of operations or financial condition, refer to the Risk Factors in Part II, Item 1A of this Form 10-Q and in Part I, Item 1A of our most recent Annual Report on Form 10-K (“Form 10-K”) filed with the Securities and Exchange Commission (“SEC”).  Further, such forward-looking statements speak only as of the date of this Form 10-Q and we undertake no obligation to update them.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EXECUTIVE SUMMARY </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Overview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currently operate in two business segments: our Hughes segment and our EchoStar Satellite Services segment (“ESS segment”). Our operations include various corporate functions that have not been assigned to our business segments. These activities, costs and income, as well as eliminations of intersegment transactions, are accounted for in our Corporate and Other segment in our segment reporting.</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All amounts presented in this Management’s Discussion and Analysis are expressed in thousands of U.S. dollars, except share and per share amounts and unless otherwise noted.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Hughes Segment</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Hughes segment is an industry leader in both networking technologies and services, innovating to deliver the global solutions that power a connected future for people, enterprises and things everywhere. We offer broadband satellite technologies and broadband internet products and services to consumer customers. We offer broadband network technologies, managed services, equipment, hardware, satellite services and communications solutions to government and enterprise customers.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Hughes segment continues to focus its efforts on optimizing financial returns of our existing satellites while planning for new satellite capacity to be launched, leased or acquired. Our consumer revenue growth depends on our success in adding new and retaining existing subscribers, as well as increasing our Average Revenue Per User/subscriber (“ARPU”). Service and acquisition costs related to ongoing support for our direct and indirect customers and partners are typically impacted most significantly by our growth. The growth of our enterprise and consumer businesses relies heavily on global economic conditions and the competitive landscape for pricing relative to competitors and alternative technologies. In most areas of the U.S. we are nearing or have reached capacity, which has resulted in our consumer subscriber base becoming increasingly limited. Our Latin America consumer subscriber base in certain areas has also become capacity constrained. These constraints are expected to be addressed by the launch of the EchoStar XXIV satellite. </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To date, we have not experienced a material adverse impact from the Russia-Ukraine conflict and the associated sanctions.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January 4, 2022, our India JV was formed, which allows us to offer flexible and scalable enterprise networking solutions using satellite connectivity for primary transport, back-up and hybrid implementation in India.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EchoStar XXIV satellite is currently expected to be shipped to the launch site in June and subsequently launched at the first window that Space Exploration Technologies Corp. (“SpaceX”) can allocate to it, which is subject to preemption by certain higher-priority government launches. The EchoStar XXIV satellite is primarily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v:rect>
            </w:pict>
          </mc:Fallback>
        </mc:AlternateContent>
      </w:r>
    </w:p>
    <w:p>
      <w:pPr>
        <w:pStyle w:val="TextBody"/>
        <w:spacing w:lineRule="auto" w:line="288" w:before="0" w:after="0"/>
        <w:jc w:val="both"/>
        <w:rPr/>
      </w:pPr>
      <w:hyperlink w:anchor="iffcdad348b3c4a57aa352cc8de1ffc2f_802">
        <w:r>
          <w:rPr>
            <w:rStyle w:val="InternetLink"/>
            <w:rFonts w:ascii="Arial;sans-serif" w:hAnsi="Arial;sans-serif"/>
            <w:b w:val="false"/>
            <w:color w:val="0000FF"/>
            <w:sz w:val="20"/>
            <w:u w:val="single"/>
          </w:rPr>
          <w:t>Table of Contents</w:t>
        </w:r>
      </w:hyperlink>
      <w:r>
        <w:rPr>
          <w:color w:val="000000"/>
        </w:rPr>
        <w:t xml:space="preserve"> </w:t>
      </w:r>
    </w:p>
    <w:p>
      <w:pPr>
        <w:pStyle w:val="TextBody"/>
        <w:spacing w:before="0" w:after="0"/>
        <w:jc w:val="both"/>
        <w:rPr/>
      </w:pPr>
      <w:r>
        <w:rPr/>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intended to provide additional capacity for our HughesNet service in North, Central and South America as well as enterprise broadband services. Following delays of over two years, in November 2022 we negotiated an amendment to our contract with the manufacturer to provide for additional compensation for past delays and a realignment of remedies. Delay in the availability of the EchoStar XXIV satellite could have a material adverse impact on our business operations, future revenues, financial position and prospects, and our planned expansion of satellite broadband services throughout North, South and Central America. Capital expenditures associated with the construction and launch of the EchoStar XXIV satellite are included in our Corporate and Other segment in our segment reporting.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broadband subscribers include customers that subscribe to our HughesNet services in the U.S. and Latin America through retail, wholesale and small/medium enterprise service channels.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approximate number of broadband subscribers:</w:t>
      </w:r>
    </w:p>
    <w:p>
      <w:pPr>
        <w:pStyle w:val="TextBody"/>
        <w:spacing w:before="0" w:after="0"/>
        <w:jc w:val="both"/>
        <w:rPr/>
      </w:pPr>
      <w:r>
        <w:rPr/>
      </w:r>
    </w:p>
    <w:tbl>
      <w:tblPr>
        <w:tblW w:w="6920" w:type="dxa"/>
        <w:jc w:val="left"/>
        <w:tblInd w:w="0" w:type="dxa"/>
        <w:tblCellMar>
          <w:top w:w="28" w:type="dxa"/>
          <w:left w:w="28" w:type="dxa"/>
          <w:bottom w:w="28" w:type="dxa"/>
          <w:right w:w="28" w:type="dxa"/>
        </w:tblCellMar>
      </w:tblPr>
      <w:tblGrid>
        <w:gridCol w:w="934"/>
        <w:gridCol w:w="821"/>
        <w:gridCol w:w="825"/>
        <w:gridCol w:w="109"/>
        <w:gridCol w:w="109"/>
        <w:gridCol w:w="109"/>
        <w:gridCol w:w="589"/>
        <w:gridCol w:w="494"/>
        <w:gridCol w:w="496"/>
        <w:gridCol w:w="109"/>
        <w:gridCol w:w="109"/>
        <w:gridCol w:w="109"/>
        <w:gridCol w:w="614"/>
        <w:gridCol w:w="614"/>
        <w:gridCol w:w="616"/>
        <w:gridCol w:w="109"/>
        <w:gridCol w:w="154"/>
      </w:tblGrid>
      <w:tr>
        <w:trPr/>
        <w:tc>
          <w:tcPr>
            <w:tcW w:w="934"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890,000 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931,000 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287,000 </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297,000 </w:t>
            </w:r>
          </w:p>
        </w:tc>
        <w:tc>
          <w:tcPr>
            <w:tcW w:w="6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broadband subscribers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1,177,000 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1,228,000 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approximate number of net subscriber additions:</w:t>
      </w:r>
    </w:p>
    <w:p>
      <w:pPr>
        <w:pStyle w:val="TextBody"/>
        <w:spacing w:before="0" w:after="0"/>
        <w:jc w:val="both"/>
        <w:rPr/>
      </w:pPr>
      <w:r>
        <w:rPr/>
      </w:r>
    </w:p>
    <w:tbl>
      <w:tblPr>
        <w:tblW w:w="7740" w:type="dxa"/>
        <w:jc w:val="left"/>
        <w:tblInd w:w="0" w:type="dxa"/>
        <w:tblCellMar>
          <w:top w:w="28" w:type="dxa"/>
          <w:left w:w="28" w:type="dxa"/>
          <w:bottom w:w="28" w:type="dxa"/>
          <w:right w:w="28" w:type="dxa"/>
        </w:tblCellMar>
      </w:tblPr>
      <w:tblGrid>
        <w:gridCol w:w="972"/>
        <w:gridCol w:w="854"/>
        <w:gridCol w:w="858"/>
        <w:gridCol w:w="109"/>
        <w:gridCol w:w="109"/>
        <w:gridCol w:w="109"/>
        <w:gridCol w:w="495"/>
        <w:gridCol w:w="495"/>
        <w:gridCol w:w="495"/>
        <w:gridCol w:w="306"/>
        <w:gridCol w:w="306"/>
        <w:gridCol w:w="306"/>
        <w:gridCol w:w="609"/>
        <w:gridCol w:w="609"/>
        <w:gridCol w:w="627"/>
        <w:gridCol w:w="109"/>
        <w:gridCol w:w="109"/>
        <w:gridCol w:w="109"/>
        <w:gridCol w:w="154"/>
      </w:tblGrid>
      <w:tr>
        <w:trPr/>
        <w:tc>
          <w:tcPr>
            <w:tcW w:w="972"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w:t>
            </w:r>
          </w:p>
        </w:tc>
        <w:tc>
          <w:tcPr>
            <w:tcW w:w="481" w:type="dxa"/>
            <w:gridSpan w:val="4"/>
            <w:tcBorders/>
            <w:shd w:fill="auto" w:val="clea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9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(41,000)</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(43,000)</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w:t>
            </w:r>
          </w:p>
        </w:tc>
        <w:tc>
          <w:tcPr>
            <w:tcW w:w="4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(14,000)</w:t>
            </w:r>
          </w:p>
        </w:tc>
        <w:tc>
          <w:tcPr>
            <w:tcW w:w="6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subscriber additions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(51,000)</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(57,000)</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Our ability to gain new customers and retain existing customers in the U.S. is being impacted by our capacity limitations, competitive pressure from satellite-based competitors and other technologies, and increased bandwidth usage on average by our existing customers. For the three months ended March 31, 2023, these factors resulted in lower total subscribers as compared to the three months ended December 31, 2022.</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ability to gain new customers and retain existing customers in Latin America were tempered by our focus on more profitable consumer segments and our allocation of capacity to enterprise opportunities. In addition, capacity constraints in certain areas limit our ability to add new subscribers. For the three months ended March 31, 2023, the decline in net subscribers was primarily due to more selective customer screening as compared to the three months ended December 31, 2022.</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continued to execute our strategy of maximizing financial returns by utilizing capacity for higher economic value enterprise and government applications in Latin America. Continued success of this strategy will further reduce the available capacity for consumer subscribers.</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As of March 31, 2023, our Hughes segment had $1.6 billion of contracted revenue backlog, an increase of 6.7% as compared to December 31, 2022, primarily due to increases in contracts from our domestic customers. We define Hughes segment contracted revenue backlog as our expected future revenue under enterprise customer contracts that are non-cancelable, including lease revenue.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v:rect>
            </w:pict>
          </mc:Fallback>
        </mc:AlternateContent>
      </w:r>
    </w:p>
    <w:p>
      <w:pPr>
        <w:pStyle w:val="TextBody"/>
        <w:spacing w:lineRule="auto" w:line="288" w:before="0" w:after="0"/>
        <w:jc w:val="both"/>
        <w:rPr/>
      </w:pPr>
      <w:hyperlink w:anchor="iffcdad348b3c4a57aa352cc8de1ffc2f_802">
        <w:r>
          <w:rPr>
            <w:rStyle w:val="InternetLink"/>
            <w:rFonts w:ascii="Arial;sans-serif" w:hAnsi="Arial;sans-serif"/>
            <w:b w:val="false"/>
            <w:color w:val="0000FF"/>
            <w:sz w:val="20"/>
            <w:u w:val="single"/>
          </w:rPr>
          <w:t>Table of Contents</w:t>
        </w:r>
      </w:hyperlink>
      <w:r>
        <w:rPr>
          <w:color w:val="000000"/>
        </w:rPr>
        <w:t xml:space="preserve"> </w:t>
      </w:r>
    </w:p>
    <w:p>
      <w:pPr>
        <w:pStyle w:val="TextBody"/>
        <w:spacing w:before="0" w:after="0"/>
        <w:jc w:val="both"/>
        <w:rPr/>
      </w:pPr>
      <w:r>
        <w:rPr/>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ESS Segment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 During the first quarter of 2023, we transitioned the EchoStar IX satellite into inclined operations to extend its usable life for our customers. With this inclined mode of operation, we are expecting to extend the life of the spacecraft into 2024.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March 31, 2023, our ESS segment had $18.2 million of contracted revenue backlog, a decrease of 18.4%, as compared to December 31, 2022, primarily due to the recognition of revenue of existing contracts. We define contracted revenue backlog for our ESS segment as contracted future satellite lease revenue.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rFonts w:ascii="Arial;sans-serif" w:hAnsi="Arial;sans-serif"/>
          <w:b/>
          <w:color w:val="000000"/>
          <w:sz w:val="20"/>
        </w:rPr>
      </w:pPr>
      <w:r>
        <w:rPr>
          <w:rFonts w:ascii="Arial;sans-serif" w:hAnsi="Arial;sans-serif"/>
          <w:b/>
          <w:color w:val="000000"/>
          <w:sz w:val="20"/>
        </w:rPr>
        <w:t>Corporate and Other Segment</w:t>
      </w:r>
    </w:p>
    <w:p>
      <w:pPr>
        <w:pStyle w:val="TextBody"/>
        <w:spacing w:before="0" w:after="0"/>
        <w:jc w:val="both"/>
        <w:rPr/>
      </w:pPr>
      <w:r>
        <w:rPr/>
      </w:r>
    </w:p>
    <w:p>
      <w:pPr>
        <w:pStyle w:val="TextBody"/>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Satellite Anomalies and Impairments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first quarter of 2023, we lost contact with our third nano-satellite (“EG-3”), which was launched in the second quarter of 2021 and brought into use our Sirion-1 ITU filing in the third quarter of 2021. As of the end of the first quarter of 2023, we have discontinued attempts to reestablish contact with EG-3, and have notified the ITU to suspend the filing. Consequently, we canceled our contract with Tyvak Nano-Satellites Systems, Inc., who manufactured and operated our nano-satellites, and recorded an impairment charge of $3.1 million related to EG-3 and other related assets in the first quarter of 2023 in our Corporate and Other segment. We have three years from the date the filing was suspended to place a new S-band spacecraft at the altitude prescribed in our Australian ITU filing. We expect the first group of S-band satellites recently ordered from Astro Digital to be launched well in advance of the three-year replacement timeline. We are not aware of any other anomalies with respect to our owned or leased satellites as of the date of these Consolidated Financial Statements. There can be no assurance, however, that anomalies will not have a significant adverse effect in the future. In addition, there can be no assurance that we can recover critical transmission capacity in the event one or more of our satellites were to fail.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Cybersecurity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not aware of any cyber-incidents with respect to our owned or leased satellites or other networks, equipment or systems that have had a material adverse effect on our business, costs, operations, prospects, results of operation or financial position during the three months ended March 31, 2023 and through May 8, 2023. There can be no assurance, however, that any such incident can be detected or thwarted or will not have such a material adverse effect in the future.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EXPLANATION OF KEY METRICS AND OTHER ITEMS</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Services and other revenue</w:t>
      </w:r>
      <w:r>
        <w:rPr>
          <w:rFonts w:ascii="Arial;sans-serif" w:hAnsi="Arial;sans-serif"/>
          <w:b w:val="false"/>
          <w:color w:val="000000"/>
          <w:sz w:val="20"/>
        </w:rPr>
        <w:t xml:space="preserve">.  Services and other revenue primarily includes the sales of consumer and enterprise broadband services, maintenance and other contracted services, revenue associated with satellite and transponder leases and services, satellite uplinking/downlinking, subscriber wholesale service fees for the HughesNet service, professional services and facilities rental revenue. </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Equipment revenue</w:t>
      </w:r>
      <w:r>
        <w:rPr>
          <w:rFonts w:ascii="Arial;sans-serif" w:hAnsi="Arial;sans-serif"/>
          <w:b w:val="false"/>
          <w:color w:val="000000"/>
          <w:sz w:val="20"/>
        </w:rPr>
        <w:t xml:space="preserve">.  Equipment revenue primarily includes broadband equipment and networks sold to customers in our consumer and enterprise markets. </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Arial;sans-serif" w:hAnsi="Arial;sans-serif"/>
          <w:b/>
          <w:i/>
          <w:color w:val="000000"/>
          <w:sz w:val="20"/>
        </w:rPr>
        <w:t>Cost of sales - services and other</w:t>
      </w:r>
      <w:r>
        <w:rPr>
          <w:rFonts w:ascii="Arial;sans-serif" w:hAnsi="Arial;sans-serif"/>
          <w:b w:val="false"/>
          <w:color w:val="000000"/>
          <w:sz w:val="20"/>
        </w:rPr>
        <w:t xml:space="preserve">.  Cost of sales - services and other primarily includes the cost of broadband services provided to our consumer and enterprise customers, maintenance and other contracted services, costs associated with satellite and transponder leases and services, professional services and facilities rental.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v:rect>
            </w:pict>
          </mc:Fallback>
        </mc:AlternateContent>
      </w:r>
    </w:p>
    <w:p>
      <w:pPr>
        <w:pStyle w:val="TextBody"/>
        <w:spacing w:lineRule="auto" w:line="288" w:before="0" w:after="0"/>
        <w:jc w:val="both"/>
        <w:rPr/>
      </w:pPr>
      <w:hyperlink w:anchor="iffcdad348b3c4a57aa352cc8de1ffc2f_802">
        <w:r>
          <w:rPr>
            <w:rStyle w:val="InternetLink"/>
            <w:rFonts w:ascii="Arial;sans-serif" w:hAnsi="Arial;sans-serif"/>
            <w:b w:val="false"/>
            <w:color w:val="0000FF"/>
            <w:sz w:val="20"/>
            <w:u w:val="single"/>
          </w:rPr>
          <w:t>Table of Contents</w:t>
        </w:r>
      </w:hyperlink>
      <w:r>
        <w:rPr>
          <w:color w:val="000000"/>
        </w:rPr>
        <w:t xml:space="preserve"> </w:t>
      </w:r>
    </w:p>
    <w:p>
      <w:pPr>
        <w:pStyle w:val="TextBody"/>
        <w:spacing w:before="0" w:after="0"/>
        <w:jc w:val="both"/>
        <w:rPr/>
      </w:pPr>
      <w:r>
        <w:rPr/>
      </w:r>
    </w:p>
    <w:p>
      <w:pPr>
        <w:pStyle w:val="TextBody"/>
        <w:spacing w:before="0" w:after="0"/>
        <w:rPr/>
      </w:pPr>
      <w:r>
        <w:rPr/>
      </w:r>
    </w:p>
    <w:p>
      <w:pPr>
        <w:pStyle w:val="TextBody"/>
        <w:spacing w:lineRule="auto" w:line="288" w:before="0" w:after="0"/>
        <w:jc w:val="both"/>
        <w:rPr/>
      </w:pPr>
      <w:r>
        <w:rPr>
          <w:rFonts w:ascii="Arial;sans-serif" w:hAnsi="Arial;sans-serif"/>
          <w:b/>
          <w:i/>
          <w:color w:val="000000"/>
          <w:sz w:val="20"/>
        </w:rPr>
        <w:t>Cost of sales - equipment</w:t>
      </w:r>
      <w:r>
        <w:rPr>
          <w:rFonts w:ascii="Arial;sans-serif" w:hAnsi="Arial;sans-serif"/>
          <w:b w:val="false"/>
          <w:color w:val="000000"/>
          <w:sz w:val="20"/>
        </w:rPr>
        <w:t xml:space="preserve">.  Cost of sales - equipment consists primarily of the cost of broadband equipment and networks provided to customers in our consumer and enterprise markets. It also includes certain other costs associated with the deployment of equipment to our customers. </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Selling, general and administrative expenses. </w:t>
      </w:r>
      <w:r>
        <w:rPr>
          <w:color w:val="000000"/>
        </w:rPr>
        <w:t xml:space="preserve"> </w:t>
      </w:r>
      <w:r>
        <w:rPr>
          <w:rFonts w:ascii="Arial;sans-serif" w:hAnsi="Arial;sans-serif"/>
          <w:b w:val="false"/>
          <w:color w:val="000000"/>
          <w:sz w:val="20"/>
        </w:rPr>
        <w:t xml:space="preserve">Selling, general and administrative expenses primarily include selling and marketing costs and employee-related costs associated with administrative services (e.g., information systems, human resources and other services), including bad debt expense and stock-based compensation expense.  It also includes professional fees (e.g. legal, information systems and accounting services) and other expenses associated with facilities and administrative services. </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Arial;sans-serif" w:hAnsi="Arial;sans-serif"/>
          <w:b/>
          <w:i/>
          <w:color w:val="000000"/>
          <w:sz w:val="20"/>
        </w:rPr>
        <w:t>Research and development expenses</w:t>
      </w:r>
      <w:r>
        <w:rPr>
          <w:rFonts w:ascii="Arial;sans-serif" w:hAnsi="Arial;sans-serif"/>
          <w:b w:val="false"/>
          <w:color w:val="000000"/>
          <w:sz w:val="20"/>
        </w:rPr>
        <w:t xml:space="preserve">.  Research and development expenses primarily include costs associated with the design and development of products to support future growth and provide new technology and innovation to our customers. </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Arial;sans-serif" w:hAnsi="Arial;sans-serif"/>
          <w:b/>
          <w:i/>
          <w:color w:val="000000"/>
          <w:sz w:val="20"/>
        </w:rPr>
        <w:t>Impairment of long-lived assets</w:t>
      </w:r>
      <w:r>
        <w:rPr>
          <w:rFonts w:ascii="Arial;sans-serif" w:hAnsi="Arial;sans-serif"/>
          <w:b w:val="false"/>
          <w:color w:val="000000"/>
          <w:sz w:val="20"/>
        </w:rPr>
        <w:t>. Impairment of long-lived assets includes our impairment losses related to our property and equipment, goodwill, regulatory authorizations and other intangible assets.</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Interest income, net</w:t>
      </w:r>
      <w:r>
        <w:rPr>
          <w:rFonts w:ascii="Arial;sans-serif" w:hAnsi="Arial;sans-serif"/>
          <w:b w:val="false"/>
          <w:color w:val="000000"/>
          <w:sz w:val="20"/>
        </w:rPr>
        <w:t xml:space="preserve">.  Interest income, net primarily includes interest earned on our cash, cash equivalents and marketable investment securities, and other investments including premium amortization, discount accretion on debt securities and changes in allowance for estimated credit losses on investments. </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Arial;sans-serif" w:hAnsi="Arial;sans-serif"/>
          <w:b/>
          <w:i/>
          <w:color w:val="000000"/>
          <w:sz w:val="20"/>
        </w:rPr>
        <w:t>Interest expense, net of amounts capitalized</w:t>
      </w:r>
      <w:r>
        <w:rPr>
          <w:rFonts w:ascii="Arial;sans-serif" w:hAnsi="Arial;sans-serif"/>
          <w:b w:val="false"/>
          <w:color w:val="000000"/>
          <w:sz w:val="20"/>
        </w:rPr>
        <w:t xml:space="preserve">. Interest expense, net of amounts capitalized primarily includes interest expense associated with our debt and finance lease obligations (net of capitalized interest), amortization of debt issuance costs and interest expense related to certain legal proceedings. </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Gains (losses) on investments, net</w:t>
      </w:r>
      <w:r>
        <w:rPr>
          <w:rFonts w:ascii="Arial;sans-serif" w:hAnsi="Arial;sans-serif"/>
          <w:b w:val="false"/>
          <w:color w:val="000000"/>
          <w:sz w:val="20"/>
        </w:rPr>
        <w:t xml:space="preserve">.  Gains (losses) on investments, net primarily includes changes in fair value of our marketable equity 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equity securities and debt securities without readily determinable fair value and adjustments to the carrying amount of investments in unconsolidated affiliates and marketable equity securities resulting from impairments and observable price changes. </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Arial;sans-serif" w:hAnsi="Arial;sans-serif"/>
          <w:b/>
          <w:i/>
          <w:color w:val="000000"/>
          <w:sz w:val="20"/>
        </w:rPr>
        <w:t>Equity in earnings (losses) of unconsolidated affiliates, net</w:t>
      </w:r>
      <w:r>
        <w:rPr>
          <w:rFonts w:ascii="Arial;sans-serif" w:hAnsi="Arial;sans-serif"/>
          <w:b w:val="false"/>
          <w:color w:val="000000"/>
          <w:sz w:val="20"/>
        </w:rPr>
        <w:t>. Equity in earnings (losses) of unconsolidated affiliates, net includes earnings or losses from our investments accounted for using the equity method.</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Arial;sans-serif" w:hAnsi="Arial;sans-serif"/>
          <w:b/>
          <w:i/>
          <w:color w:val="000000"/>
          <w:sz w:val="20"/>
        </w:rPr>
        <w:t>Foreign currency transaction gains (losses), net</w:t>
      </w:r>
      <w:r>
        <w:rPr>
          <w:rFonts w:ascii="Arial;sans-serif" w:hAnsi="Arial;sans-serif"/>
          <w:b w:val="false"/>
          <w:color w:val="000000"/>
          <w:sz w:val="20"/>
        </w:rPr>
        <w:t xml:space="preserve">. Foreign currency transaction gains (losses), net include gains and losses resulting from the re-measurement of transactions denominated in foreign currencies. </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Other, net</w:t>
      </w:r>
      <w:r>
        <w:rPr>
          <w:rFonts w:ascii="Arial;sans-serif" w:hAnsi="Arial;sans-serif"/>
          <w:b w:val="false"/>
          <w:color w:val="000000"/>
          <w:sz w:val="20"/>
        </w:rPr>
        <w:t>.  Other, net primarily includes dividends received from our marketable investment securities and other non-operating income and expense items that are not appropriately classified elsewhere in the Consolidated Statements of Operations in our Consolidated Financial Statements.</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Earnings before interest, taxes, depreciation and amortization (“EBITDA”)</w:t>
      </w:r>
      <w:r>
        <w:rPr>
          <w:rFonts w:ascii="Arial;sans-serif" w:hAnsi="Arial;sans-serif"/>
          <w:b w:val="false"/>
          <w:color w:val="000000"/>
          <w:sz w:val="20"/>
        </w:rPr>
        <w:t xml:space="preserve">. EBITDA is defined as Net income (loss) excluding Interest income and expense, net, Income tax benefit (provision), net, Depreciation and amortization, and Net income (loss) attributable to non-controlling interests.  EBITDA is not a measure determined in accordance with U.S. generally accepted accounting principles (“GAAP”). This non-GAAP measure is reconciled to Net income (loss) in our discussion of Results of Operations section below. EBITDA should not be considered in isolation or as a substitute for operating income, net income or any other measure determined in accordance with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v:rect>
            </w:pict>
          </mc:Fallback>
        </mc:AlternateContent>
      </w:r>
    </w:p>
    <w:p>
      <w:pPr>
        <w:pStyle w:val="TextBody"/>
        <w:spacing w:lineRule="auto" w:line="288" w:before="0" w:after="0"/>
        <w:jc w:val="both"/>
        <w:rPr/>
      </w:pPr>
      <w:hyperlink w:anchor="iffcdad348b3c4a57aa352cc8de1ffc2f_802">
        <w:r>
          <w:rPr>
            <w:rStyle w:val="InternetLink"/>
            <w:rFonts w:ascii="Arial;sans-serif" w:hAnsi="Arial;sans-serif"/>
            <w:b w:val="false"/>
            <w:color w:val="0000FF"/>
            <w:sz w:val="20"/>
            <w:u w:val="single"/>
          </w:rPr>
          <w:t>Table of Contents</w:t>
        </w:r>
      </w:hyperlink>
      <w:r>
        <w:rPr>
          <w:color w:val="000000"/>
        </w:rPr>
        <w:t xml:space="preserve"> </w:t>
      </w:r>
    </w:p>
    <w:p>
      <w:pPr>
        <w:pStyle w:val="TextBody"/>
        <w:spacing w:before="0" w:after="0"/>
        <w:jc w:val="both"/>
        <w:rPr/>
      </w:pPr>
      <w:r>
        <w:rPr/>
      </w:r>
    </w:p>
    <w:p>
      <w:pPr>
        <w:pStyle w:val="TextBody"/>
        <w:spacing w:before="0" w:after="0"/>
        <w:rPr/>
      </w:pPr>
      <w:r>
        <w:rPr/>
      </w:r>
    </w:p>
    <w:p>
      <w:pPr>
        <w:pStyle w:val="TextBody"/>
        <w:spacing w:lineRule="auto" w:line="288" w:before="0" w:after="0"/>
        <w:jc w:val="both"/>
        <w:rPr/>
      </w:pPr>
      <w:r>
        <w:rPr>
          <w:rFonts w:ascii="Arial;sans-serif" w:hAnsi="Arial;sans-serif"/>
          <w:b/>
          <w:i/>
          <w:color w:val="000000"/>
          <w:sz w:val="20"/>
        </w:rPr>
        <w:t xml:space="preserve">Subscribers. </w:t>
      </w:r>
      <w:r>
        <w:rPr>
          <w:rFonts w:ascii="Arial;sans-serif" w:hAnsi="Arial;sans-serif"/>
          <w:b w:val="false"/>
          <w:color w:val="000000"/>
          <w:sz w:val="20"/>
        </w:rPr>
        <w:t xml:space="preserve">Subscribers include customers that subscribe to our HughesNet service, through retail, wholesale and small/medium enterprise service channels.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Highlights from our Financial Results</w:t>
      </w:r>
    </w:p>
    <w:p>
      <w:pPr>
        <w:pStyle w:val="TextBody"/>
        <w:spacing w:before="0" w:after="0"/>
        <w:jc w:val="both"/>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Consolidated Results of Operations for the Three Months Ended March 31, 2023:</w:t>
      </w:r>
    </w:p>
    <w:p>
      <w:pPr>
        <w:pStyle w:val="TextBody"/>
        <w:spacing w:before="0" w:after="0"/>
        <w:jc w:val="both"/>
        <w:rPr/>
      </w:pPr>
      <w:r>
        <w:rPr/>
      </w:r>
    </w:p>
    <w:p>
      <w:pPr>
        <w:pStyle w:val="TextBody"/>
        <w:spacing w:lineRule="auto" w:line="288" w:before="0" w:after="90"/>
        <w:ind w:left="0" w:right="0" w:hanging="360"/>
        <w:jc w:val="both"/>
        <w:rPr/>
      </w:pPr>
      <w:r>
        <w:rPr>
          <w:color w:val="000000"/>
        </w:rPr>
        <w:t>• </w:t>
      </w:r>
      <w:r>
        <w:rPr>
          <w:rFonts w:ascii="Arial;sans-serif" w:hAnsi="Arial;sans-serif"/>
          <w:b w:val="false"/>
          <w:color w:val="000000"/>
          <w:sz w:val="20"/>
        </w:rPr>
        <w:t>Revenue of $439.6 million</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Operating income of $28.2 million</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Net income of $27.8 million</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Net income attributable to EchoStar common stock of $29.0 million and basic and diluted earnings per share of common stock of $0.35</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EBITDA of $128.0 million (see reconciliation of this non-GAAP measure in Results of Operations)</w:t>
      </w:r>
    </w:p>
    <w:p>
      <w:pPr>
        <w:pStyle w:val="TextBody"/>
        <w:spacing w:before="0" w:after="0"/>
        <w:jc w:val="both"/>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Consolidated Financial Condition as of March 31, 2023:</w:t>
      </w:r>
    </w:p>
    <w:p>
      <w:pPr>
        <w:pStyle w:val="TextBody"/>
        <w:spacing w:before="0" w:after="0"/>
        <w:jc w:val="both"/>
        <w:rPr/>
      </w:pPr>
      <w:r>
        <w:rPr/>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Total assets of $6.2 billion</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 xml:space="preserve">Total liabilities of $2.6 billion </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Total stockholders’ equity of $3.6 billion</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Cash and cash equivalents and marketable investment securities of $1.7 billion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v:rect>
            </w:pict>
          </mc:Fallback>
        </mc:AlternateContent>
      </w:r>
    </w:p>
    <w:p>
      <w:pPr>
        <w:pStyle w:val="TextBody"/>
        <w:spacing w:lineRule="auto" w:line="288" w:before="0" w:after="0"/>
        <w:jc w:val="both"/>
        <w:rPr/>
      </w:pPr>
      <w:hyperlink w:anchor="iffcdad348b3c4a57aa352cc8de1ffc2f_802">
        <w:r>
          <w:rPr>
            <w:rStyle w:val="InternetLink"/>
            <w:rFonts w:ascii="Arial;sans-serif" w:hAnsi="Arial;sans-serif"/>
            <w:b w:val="false"/>
            <w:color w:val="0000FF"/>
            <w:sz w:val="20"/>
            <w:u w:val="single"/>
          </w:rPr>
          <w:t>Table of Contents</w:t>
        </w:r>
      </w:hyperlink>
      <w:r>
        <w:rPr>
          <w:color w:val="000000"/>
        </w:rPr>
        <w:t xml:space="preserve"> </w:t>
      </w:r>
    </w:p>
    <w:p>
      <w:pPr>
        <w:pStyle w:val="TextBody"/>
        <w:spacing w:before="0" w:after="0"/>
        <w:jc w:val="both"/>
        <w:rPr/>
      </w:pPr>
      <w:r>
        <w:rPr/>
      </w:r>
    </w:p>
    <w:p>
      <w:pPr>
        <w:pStyle w:val="TextBody"/>
        <w:spacing w:before="0" w:after="0"/>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 xml:space="preserve">RESULTS OF OPERATIONS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 xml:space="preserve">Three Months Ended March 31, 2023 Compared to the Three Months Ended March 31, 2022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consolidated results of operations for the three months ended March 31, 2023 compared to the three months ended March 31, 2022:</w:t>
      </w:r>
    </w:p>
    <w:tbl>
      <w:tblPr>
        <w:tblW w:w="10205" w:type="dxa"/>
        <w:jc w:val="left"/>
        <w:tblInd w:w="0" w:type="dxa"/>
        <w:tblCellMar>
          <w:top w:w="28" w:type="dxa"/>
          <w:left w:w="28" w:type="dxa"/>
          <w:bottom w:w="28" w:type="dxa"/>
          <w:right w:w="28" w:type="dxa"/>
        </w:tblCellMar>
      </w:tblPr>
      <w:tblGrid>
        <w:gridCol w:w="1448"/>
        <w:gridCol w:w="1271"/>
        <w:gridCol w:w="1274"/>
        <w:gridCol w:w="109"/>
        <w:gridCol w:w="109"/>
        <w:gridCol w:w="109"/>
        <w:gridCol w:w="231"/>
        <w:gridCol w:w="907"/>
        <w:gridCol w:w="297"/>
        <w:gridCol w:w="119"/>
        <w:gridCol w:w="119"/>
        <w:gridCol w:w="119"/>
        <w:gridCol w:w="231"/>
        <w:gridCol w:w="907"/>
        <w:gridCol w:w="297"/>
        <w:gridCol w:w="109"/>
        <w:gridCol w:w="109"/>
        <w:gridCol w:w="109"/>
        <w:gridCol w:w="211"/>
        <w:gridCol w:w="865"/>
        <w:gridCol w:w="109"/>
        <w:gridCol w:w="109"/>
        <w:gridCol w:w="109"/>
        <w:gridCol w:w="109"/>
        <w:gridCol w:w="326"/>
        <w:gridCol w:w="329"/>
        <w:gridCol w:w="164"/>
      </w:tblGrid>
      <w:tr>
        <w:trPr/>
        <w:tc>
          <w:tcPr>
            <w:tcW w:w="1448"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3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Variance</w:t>
            </w:r>
          </w:p>
        </w:tc>
      </w:tr>
      <w:tr>
        <w:trPr/>
        <w:tc>
          <w:tcPr>
            <w:tcW w:w="39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rPr>
              <w:t xml:space="preserve">Statements of Operations Data </w:t>
            </w:r>
            <w:r>
              <w:rPr>
                <w:rFonts w:ascii="Arial;sans-serif" w:hAnsi="Arial;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39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377,527 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418,811 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62,070 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82,723 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439,597 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501,534 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 - services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135,372 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141,129 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 of total services and other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35.9</w:t>
            </w:r>
            <w:r>
              <w:rPr>
                <w:color w:val="000000"/>
              </w:rPr>
              <w:t> </w:t>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33.7</w:t>
            </w:r>
            <w:r>
              <w:rPr>
                <w:color w:val="000000"/>
              </w:rPr>
              <w:t> </w:t>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 -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51,662 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69,114 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 of total equipment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83.2</w:t>
            </w:r>
            <w:r>
              <w:rPr>
                <w:color w:val="000000"/>
              </w:rPr>
              <w:t> </w:t>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83.5</w:t>
            </w:r>
            <w:r>
              <w:rPr>
                <w:color w:val="000000"/>
              </w:rPr>
              <w:t> </w:t>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110,061 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118,170 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 of 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25.0</w:t>
            </w:r>
            <w:r>
              <w:rPr>
                <w:color w:val="000000"/>
              </w:rPr>
              <w:t> </w:t>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23.6</w:t>
            </w:r>
            <w:r>
              <w:rPr>
                <w:color w:val="000000"/>
              </w:rPr>
              <w:t> </w:t>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8,255 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7,617 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 of 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1.9</w:t>
            </w:r>
            <w:r>
              <w:rPr>
                <w:color w:val="000000"/>
              </w:rPr>
              <w:t> </w:t>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w:t>
            </w:r>
            <w:r>
              <w:rPr>
                <w:color w:val="000000"/>
              </w:rPr>
              <w:t> </w:t>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102,858 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120,436 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411,350 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456,466 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28,247 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45,068 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28,596 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6,422 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 of amounts capitalized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(13,286)</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(14,973)</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(7,109)</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80,686 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of unconsolidated affiliates,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transaction gains (losses),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3,313 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6,394 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9" w:type="dxa"/>
            <w:gridSpan w:val="3"/>
            <w:tcBorders/>
            <w:shd w:fill="auto" w:val="cle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11,033 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76,659 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39,280 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121,727 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(provision),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(11,460)</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(32,782)</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27,820 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88,945 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EchoStar Corporation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29,041 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91,433 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Other data: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EBITDA </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128,049 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253,202 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Subscribers,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1,177,000 </w:t>
            </w:r>
          </w:p>
        </w:tc>
        <w:tc>
          <w:tcPr>
            <w:tcW w:w="29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1,406,000 </w:t>
            </w:r>
          </w:p>
        </w:tc>
        <w:tc>
          <w:tcPr>
            <w:tcW w:w="29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(229,000)</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    Percentage is not meaningful </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    An explanation of our key metrics is included in Explanation of Key Metrics and Other Items.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    A reconciliation of EBITDA to Net income (loss), the most directly comparable GAAP measure in our Consolidated Financial Statements, is included in Results of Operations. For further information on our use of EBITDA, see Explanation of Key Metrics and Other Items.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v:rect>
            </w:pict>
          </mc:Fallback>
        </mc:AlternateContent>
      </w:r>
    </w:p>
    <w:p>
      <w:pPr>
        <w:pStyle w:val="TextBody"/>
        <w:spacing w:lineRule="auto" w:line="288" w:before="0" w:after="0"/>
        <w:jc w:val="both"/>
        <w:rPr/>
      </w:pPr>
      <w:hyperlink w:anchor="iffcdad348b3c4a57aa352cc8de1ffc2f_802">
        <w:r>
          <w:rPr>
            <w:rStyle w:val="InternetLink"/>
            <w:rFonts w:ascii="Arial;sans-serif" w:hAnsi="Arial;sans-serif"/>
            <w:b w:val="false"/>
            <w:color w:val="0000FF"/>
            <w:sz w:val="20"/>
            <w:u w:val="single"/>
          </w:rPr>
          <w:t>Table of Contents</w:t>
        </w:r>
      </w:hyperlink>
      <w:r>
        <w:rPr>
          <w:color w:val="000000"/>
        </w:rPr>
        <w:t xml:space="preserve"> </w:t>
      </w:r>
    </w:p>
    <w:p>
      <w:pPr>
        <w:pStyle w:val="TextBody"/>
        <w:spacing w:before="0" w:after="0"/>
        <w:jc w:val="both"/>
        <w:rPr/>
      </w:pPr>
      <w:r>
        <w:rPr/>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discussion relates to our results of operations for the three months ended March 31, 2023 compared to the three months ended March 31, 2022:</w:t>
      </w:r>
    </w:p>
    <w:p>
      <w:pPr>
        <w:pStyle w:val="TextBody"/>
        <w:spacing w:before="0" w:after="0"/>
        <w:rPr/>
      </w:pPr>
      <w:r>
        <w:rPr/>
      </w:r>
    </w:p>
    <w:p>
      <w:pPr>
        <w:pStyle w:val="TextBody"/>
        <w:spacing w:lineRule="auto" w:line="288" w:before="0" w:after="0"/>
        <w:jc w:val="both"/>
        <w:rPr/>
      </w:pPr>
      <w:r>
        <w:rPr>
          <w:rFonts w:ascii="Arial;sans-serif" w:hAnsi="Arial;sans-serif"/>
          <w:b/>
          <w:i/>
          <w:color w:val="000000"/>
          <w:sz w:val="20"/>
        </w:rPr>
        <w:t>Services and other revenue</w:t>
      </w:r>
      <w:r>
        <w:rPr>
          <w:rFonts w:ascii="Arial;sans-serif" w:hAnsi="Arial;sans-serif"/>
          <w:b w:val="false"/>
          <w:color w:val="000000"/>
          <w:sz w:val="20"/>
        </w:rPr>
        <w:t xml:space="preserve">.  Services and other revenue totaled $377.5 million for the three months ended March 31, 2023, a decrease of $41.3 million, or 9.9%, as compared to 2022.  The decrease was primarily attributable to our Hughes segment related to lower sales of broadband services to our consumer customers of $41.0 million, and lower sales of broadband services to our enterprise customers of $2.2 million, partially offset by increased sales of broadband services to our mobile satellite system and other customers of $1.0 million. Our ESS segment increased by $1.5 million. These variances reflect an estimated negative impact of exchange rate fluctuations of $1.7 million, primarily attributable to our enterprise customers. </w:t>
      </w:r>
    </w:p>
    <w:p>
      <w:pPr>
        <w:pStyle w:val="TextBody"/>
        <w:spacing w:before="0" w:after="0"/>
        <w:rPr/>
      </w:pPr>
      <w:r>
        <w:rPr/>
      </w:r>
    </w:p>
    <w:p>
      <w:pPr>
        <w:pStyle w:val="TextBody"/>
        <w:spacing w:lineRule="auto" w:line="288" w:before="0" w:after="0"/>
        <w:jc w:val="both"/>
        <w:rPr/>
      </w:pPr>
      <w:r>
        <w:rPr>
          <w:rFonts w:ascii="Arial;sans-serif" w:hAnsi="Arial;sans-serif"/>
          <w:b/>
          <w:i/>
          <w:color w:val="000000"/>
          <w:sz w:val="20"/>
        </w:rPr>
        <w:t>Equipment revenue. </w:t>
      </w:r>
      <w:r>
        <w:rPr>
          <w:color w:val="000000"/>
        </w:rPr>
        <w:t xml:space="preserve"> </w:t>
      </w:r>
      <w:r>
        <w:rPr>
          <w:rFonts w:ascii="Arial;sans-serif" w:hAnsi="Arial;sans-serif"/>
          <w:b w:val="false"/>
          <w:color w:val="000000"/>
          <w:sz w:val="20"/>
        </w:rPr>
        <w:t>Equipment revenue totaled $62.1 million for the three months ended March 31, 2023, a decrease of $20.7 million, or 25.0%, as compared to 2022.  The decrease was primarily attributable to: i) decreases in hardware sales to our enterprise customers of $19.1 million mainly associated with a certain customer in North America and to international customers, and ii) decreases in hardware sales of $2.2 million to our consumer customers. These decreases were partially offset by increases on our hardware sales to our mobile satellite system customers of $0.6 million.</w:t>
      </w:r>
    </w:p>
    <w:p>
      <w:pPr>
        <w:pStyle w:val="TextBody"/>
        <w:spacing w:before="0" w:after="0"/>
        <w:jc w:val="both"/>
        <w:rPr/>
      </w:pPr>
      <w:r>
        <w:rPr/>
      </w:r>
    </w:p>
    <w:p>
      <w:pPr>
        <w:pStyle w:val="TextBody"/>
        <w:spacing w:lineRule="auto" w:line="268" w:before="0" w:after="0"/>
        <w:jc w:val="both"/>
        <w:rPr/>
      </w:pPr>
      <w:r>
        <w:rPr>
          <w:rFonts w:ascii="Arial;sans-serif" w:hAnsi="Arial;sans-serif"/>
          <w:b/>
          <w:i/>
          <w:color w:val="000000"/>
          <w:sz w:val="20"/>
        </w:rPr>
        <w:t>Cost of sales - services and other.</w:t>
      </w:r>
      <w:r>
        <w:rPr>
          <w:color w:val="000000"/>
        </w:rPr>
        <w:t xml:space="preserve">  </w:t>
      </w:r>
      <w:r>
        <w:rPr>
          <w:rFonts w:ascii="Arial;sans-serif" w:hAnsi="Arial;sans-serif"/>
          <w:b w:val="false"/>
          <w:color w:val="000000"/>
          <w:sz w:val="20"/>
        </w:rPr>
        <w:t xml:space="preserve">Cost of sales - services and other totaled $135.4 million for the three months ended March 31, 2023, a decrease of $5.8 million, or 4.1%, as compared to 2022. The decrease was primarily attributable to lower sales of broadband services and corresponding decreases in cost of services provided to our consumer and enterprise customers of $4.8 million, mainly related to service delivery expenses, such as field services and customer care. </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Cost of sales - equipment.</w:t>
      </w:r>
      <w:r>
        <w:rPr>
          <w:color w:val="000000"/>
        </w:rPr>
        <w:t xml:space="preserve">  </w:t>
      </w:r>
      <w:r>
        <w:rPr>
          <w:rFonts w:ascii="Arial;sans-serif" w:hAnsi="Arial;sans-serif"/>
          <w:b w:val="false"/>
          <w:color w:val="000000"/>
          <w:sz w:val="20"/>
        </w:rPr>
        <w:t>Cost of sales - equipment totaled $51.7 million for the three months ended March 31, 2023, a decrease of $17.5 million, or 25.3%, as compared to 2022. The decrease was primarily attributable to the corresponding decrease in equipment revenue.</w:t>
      </w:r>
    </w:p>
    <w:p>
      <w:pPr>
        <w:pStyle w:val="TextBody"/>
        <w:spacing w:before="0" w:after="0"/>
        <w:jc w:val="both"/>
        <w:rPr/>
      </w:pPr>
      <w:r>
        <w:rPr/>
      </w:r>
    </w:p>
    <w:p>
      <w:pPr>
        <w:pStyle w:val="TextBody"/>
        <w:spacing w:lineRule="auto" w:line="268" w:before="0" w:after="0"/>
        <w:jc w:val="both"/>
        <w:rPr/>
      </w:pPr>
      <w:r>
        <w:rPr>
          <w:rFonts w:ascii="Arial;sans-serif" w:hAnsi="Arial;sans-serif"/>
          <w:b/>
          <w:i/>
          <w:color w:val="000000"/>
          <w:sz w:val="20"/>
        </w:rPr>
        <w:t>Selling, general and administrative expenses</w:t>
      </w:r>
      <w:r>
        <w:rPr>
          <w:rFonts w:ascii="Arial;sans-serif" w:hAnsi="Arial;sans-serif"/>
          <w:b w:val="false"/>
          <w:color w:val="000000"/>
          <w:sz w:val="20"/>
        </w:rPr>
        <w:t xml:space="preserve">.  Selling, general and administrative expenses totaled $110.1 million for the three months ended March 31, 2023, a decrease of $8.1 million, or 6.9%, as compared to 2022. The decrease was primarily attributable to decreases in sales and marketing expenses of $9.8 million offset by increases in bad debt expense of $1.1 million. </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Depreciation and amortization.</w:t>
      </w:r>
      <w:r>
        <w:rPr>
          <w:color w:val="000000"/>
        </w:rPr>
        <w:t xml:space="preserve">  </w:t>
      </w:r>
      <w:r>
        <w:rPr>
          <w:rFonts w:ascii="Arial;sans-serif" w:hAnsi="Arial;sans-serif"/>
          <w:b w:val="false"/>
          <w:color w:val="000000"/>
          <w:sz w:val="20"/>
        </w:rPr>
        <w:t>Depreciation and amortization expenses totaled $102.9 million for the three months ended March 31, 2023, a decrease of $17.6 million, or 14.6%, as compared to 2022.  The decrease was primarily attributable to: i) decreases in other property and equipment depreciation expense of $14.6 million, ii) decreases in amortization of our capitalized software of $1.6 million, and iii) decreases in our satellite depreciation of $1.0 million.</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 xml:space="preserve">Impairment of long-lived assets. </w:t>
      </w:r>
      <w:r>
        <w:rPr>
          <w:rFonts w:ascii="Arial;sans-serif" w:hAnsi="Arial;sans-serif"/>
          <w:b w:val="false"/>
          <w:color w:val="000000"/>
          <w:sz w:val="20"/>
        </w:rPr>
        <w:t>Impairment of long-lived assets totaled $3.1 million for the three months ended March 31, 2023. This impairment charge was related to our EG-3 nano-satellite and other related assets abandoned during the first quarter of 2023 due to lost contact with EG-3.</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Interest income, net</w:t>
      </w:r>
      <w:r>
        <w:rPr>
          <w:rFonts w:ascii="Arial;sans-serif" w:hAnsi="Arial;sans-serif"/>
          <w:b w:val="false"/>
          <w:color w:val="000000"/>
          <w:sz w:val="20"/>
        </w:rPr>
        <w:t>.  Interest income, net totaled $28.6 million for the three months ended March 31, 2023, an increase of $22.2 million as compared to 2022, primarily attributable to increases in the yield on our marketable investment securities.</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Interest expense, net of amounts capitalized</w:t>
      </w:r>
      <w:r>
        <w:rPr>
          <w:rFonts w:ascii="Arial;sans-serif" w:hAnsi="Arial;sans-serif"/>
          <w:b w:val="false"/>
          <w:color w:val="000000"/>
          <w:sz w:val="20"/>
        </w:rPr>
        <w:t xml:space="preserve">.  Interest expense, net of amounts capitalized, totaled $13.3 million for the three months ended March 31, 2023, a decrease of $1.7 million, or 11.3%, as compared to 2022.  The decrease was primarily attributable to an increase of $1.4 million in capitalized interest relating to the EchoStar XXIV satellite program. </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Gains (losses) on investments, net. </w:t>
      </w:r>
      <w:r>
        <w:rPr>
          <w:color w:val="000000"/>
        </w:rPr>
        <w:t xml:space="preserve"> </w:t>
      </w:r>
      <w:r>
        <w:rPr>
          <w:rFonts w:ascii="Arial;sans-serif" w:hAnsi="Arial;sans-serif"/>
          <w:b w:val="false"/>
          <w:color w:val="000000"/>
          <w:sz w:val="20"/>
        </w:rPr>
        <w:t>Gains (losses) on investments, net totaled $7.1 million in losses for the three months ended March 31, 2023, as compared to $80.7 million in gains for the three months ended March 31, 2022, a negative change of $87.8 million. The change was related to net decreased gains on marketable investment securities and other equity securities.</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v:rect>
            </w:pict>
          </mc:Fallback>
        </mc:AlternateContent>
      </w:r>
    </w:p>
    <w:p>
      <w:pPr>
        <w:pStyle w:val="TextBody"/>
        <w:spacing w:lineRule="auto" w:line="288" w:before="0" w:after="0"/>
        <w:jc w:val="both"/>
        <w:rPr/>
      </w:pPr>
      <w:hyperlink w:anchor="iffcdad348b3c4a57aa352cc8de1ffc2f_802">
        <w:r>
          <w:rPr>
            <w:rStyle w:val="InternetLink"/>
            <w:rFonts w:ascii="Arial;sans-serif" w:hAnsi="Arial;sans-serif"/>
            <w:b w:val="false"/>
            <w:color w:val="0000FF"/>
            <w:sz w:val="20"/>
            <w:u w:val="single"/>
          </w:rPr>
          <w:t>Table of Contents</w:t>
        </w:r>
      </w:hyperlink>
      <w:r>
        <w:rPr>
          <w:color w:val="000000"/>
        </w:rPr>
        <w:t xml:space="preserve"> </w:t>
      </w:r>
    </w:p>
    <w:p>
      <w:pPr>
        <w:pStyle w:val="TextBody"/>
        <w:spacing w:before="0" w:after="0"/>
        <w:jc w:val="both"/>
        <w:rPr/>
      </w:pPr>
      <w:r>
        <w:rPr/>
      </w:r>
    </w:p>
    <w:p>
      <w:pPr>
        <w:pStyle w:val="TextBody"/>
        <w:spacing w:before="0" w:after="0"/>
        <w:rPr/>
      </w:pPr>
      <w:r>
        <w:rPr/>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 xml:space="preserve">Foreign currency transaction gains (losses), net. </w:t>
      </w:r>
      <w:r>
        <w:rPr>
          <w:rFonts w:ascii="Arial;sans-serif" w:hAnsi="Arial;sans-serif"/>
          <w:b w:val="false"/>
          <w:color w:val="000000"/>
          <w:sz w:val="20"/>
        </w:rPr>
        <w:t>Foreign currency transaction gains (losses), net</w:t>
      </w:r>
      <w:r>
        <w:rPr>
          <w:color w:val="000000"/>
        </w:rPr>
        <w:t xml:space="preserve"> </w:t>
      </w:r>
      <w:r>
        <w:rPr>
          <w:rFonts w:ascii="Arial;sans-serif" w:hAnsi="Arial;sans-serif"/>
          <w:b w:val="false"/>
          <w:color w:val="000000"/>
          <w:sz w:val="20"/>
        </w:rPr>
        <w:t>totaled $3.3 million in gains for the three months ended March 31, 2023, as compared to $6.4 million in gains for the three months ended March 31, 2022, a negative change of $3.1 million. The change was due to the net impact of foreign exchange rate fluctuations of certain foreign currencies during the period, primarily related to the Mexican, Chilean and Colombian Pesos.</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Income tax benefit (provision), net</w:t>
      </w:r>
      <w:r>
        <w:rPr>
          <w:rFonts w:ascii="Arial;sans-serif" w:hAnsi="Arial;sans-serif"/>
          <w:b w:val="false"/>
          <w:color w:val="000000"/>
          <w:sz w:val="20"/>
        </w:rPr>
        <w:t>.  Income tax benefit (provision), net was $(11.5) million for the three months ended March 31, 2023, as compared to $(32.8) million for the three months ended March 31, 2022. Our effective income tax rate was 29.2% and 26.9% for the three months ended March 31, 2023 and 2022, respectively. The variations in our effective tax rate from the U.S. federal statutory rate for the three months ended March 31, 2023 were primarily due to excluded foreign losses where the Company carries a full valuation allowance, and the research tax credit. The variations in our current year effective tax rate from the U.S. federal statutory rate for the three months ended March 31, 2022 were primarily due to excluded foreign losses where the Company carries a full valuation allowance, and the impact of state and local taxes.</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Net income (loss) attributable to EchoStar Corporation common stock</w:t>
      </w:r>
      <w:r>
        <w:rPr>
          <w:rFonts w:ascii="Arial;sans-serif" w:hAnsi="Arial;sans-serif"/>
          <w:b w:val="false"/>
          <w:color w:val="000000"/>
          <w:sz w:val="20"/>
        </w:rPr>
        <w:t>.  The following table reconciles the change in Net income (loss) attributable to EchoStar Corporation common stock:</w:t>
      </w:r>
    </w:p>
    <w:tbl>
      <w:tblPr>
        <w:tblW w:w="10068" w:type="dxa"/>
        <w:jc w:val="left"/>
        <w:tblInd w:w="0" w:type="dxa"/>
        <w:tblCellMar>
          <w:top w:w="28" w:type="dxa"/>
          <w:left w:w="28" w:type="dxa"/>
          <w:bottom w:w="28" w:type="dxa"/>
          <w:right w:w="28" w:type="dxa"/>
        </w:tblCellMar>
      </w:tblPr>
      <w:tblGrid>
        <w:gridCol w:w="3121"/>
        <w:gridCol w:w="2748"/>
        <w:gridCol w:w="2756"/>
        <w:gridCol w:w="109"/>
        <w:gridCol w:w="109"/>
        <w:gridCol w:w="109"/>
        <w:gridCol w:w="211"/>
        <w:gridCol w:w="751"/>
        <w:gridCol w:w="154"/>
      </w:tblGrid>
      <w:tr>
        <w:trPr/>
        <w:tc>
          <w:tcPr>
            <w:tcW w:w="3121" w:type="dxa"/>
            <w:tcBorders/>
            <w:shd w:fill="auto" w:val="clear"/>
            <w:vAlign w:val="center"/>
          </w:tcPr>
          <w:p>
            <w:pPr>
              <w:pStyle w:val="TableContents"/>
              <w:spacing w:before="0" w:after="283"/>
              <w:rPr>
                <w:sz w:val="4"/>
                <w:szCs w:val="4"/>
              </w:rPr>
            </w:pPr>
            <w:r>
              <w:rPr>
                <w:sz w:val="4"/>
                <w:szCs w:val="4"/>
              </w:rPr>
            </w:r>
          </w:p>
        </w:tc>
        <w:tc>
          <w:tcPr>
            <w:tcW w:w="2748" w:type="dxa"/>
            <w:tcBorders/>
            <w:shd w:fill="auto" w:val="clear"/>
            <w:vAlign w:val="center"/>
          </w:tcPr>
          <w:p>
            <w:pPr>
              <w:pStyle w:val="TableContents"/>
              <w:spacing w:before="0" w:after="283"/>
              <w:rPr>
                <w:sz w:val="4"/>
                <w:szCs w:val="4"/>
              </w:rPr>
            </w:pPr>
            <w:r>
              <w:rPr>
                <w:sz w:val="4"/>
                <w:szCs w:val="4"/>
              </w:rPr>
            </w:r>
          </w:p>
        </w:tc>
        <w:tc>
          <w:tcPr>
            <w:tcW w:w="2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Amounts</w:t>
            </w:r>
          </w:p>
        </w:tc>
      </w:tr>
      <w:tr>
        <w:trPr/>
        <w:tc>
          <w:tcPr>
            <w:tcW w:w="8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EchoStar Corporation for the three months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interest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income tax benefit (provision),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interest expense, net of amounts capitalized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operating income (loss), including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(16,821)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gains (losses) on investments,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(87,795)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EchoStar Corporation for the 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pPr>
      <w:r>
        <w:rPr>
          <w:rFonts w:ascii="Arial;sans-serif" w:hAnsi="Arial;sans-serif"/>
          <w:b/>
          <w:color w:val="000000"/>
          <w:sz w:val="20"/>
        </w:rPr>
        <w:t>EBITDA.</w:t>
      </w:r>
      <w:r>
        <w:rPr>
          <w:color w:val="000000"/>
        </w:rPr>
        <w:t xml:space="preserve">  </w:t>
      </w:r>
      <w:r>
        <w:rPr>
          <w:rFonts w:ascii="Arial;sans-serif" w:hAnsi="Arial;sans-serif"/>
          <w:b w:val="false"/>
          <w:color w:val="000000"/>
          <w:sz w:val="20"/>
        </w:rPr>
        <w:t xml:space="preserve">EBITDA is a non-GAAP financial measure and is described under Explanation of Key Metrics and Other Items section.  The following table reconciles EBITDA to Net income (loss), the most directly comparable GAAP measure in our Consolidated Financial Statements: </w:t>
      </w:r>
    </w:p>
    <w:tbl>
      <w:tblPr>
        <w:tblW w:w="10205" w:type="dxa"/>
        <w:jc w:val="left"/>
        <w:tblInd w:w="0" w:type="dxa"/>
        <w:tblCellMar>
          <w:top w:w="28" w:type="dxa"/>
          <w:left w:w="28" w:type="dxa"/>
          <w:bottom w:w="28" w:type="dxa"/>
          <w:right w:w="28" w:type="dxa"/>
        </w:tblCellMar>
      </w:tblPr>
      <w:tblGrid>
        <w:gridCol w:w="1540"/>
        <w:gridCol w:w="1187"/>
        <w:gridCol w:w="1191"/>
        <w:gridCol w:w="109"/>
        <w:gridCol w:w="109"/>
        <w:gridCol w:w="109"/>
        <w:gridCol w:w="263"/>
        <w:gridCol w:w="1070"/>
        <w:gridCol w:w="136"/>
        <w:gridCol w:w="136"/>
        <w:gridCol w:w="136"/>
        <w:gridCol w:w="136"/>
        <w:gridCol w:w="263"/>
        <w:gridCol w:w="1070"/>
        <w:gridCol w:w="136"/>
        <w:gridCol w:w="109"/>
        <w:gridCol w:w="109"/>
        <w:gridCol w:w="109"/>
        <w:gridCol w:w="211"/>
        <w:gridCol w:w="897"/>
        <w:gridCol w:w="109"/>
        <w:gridCol w:w="109"/>
        <w:gridCol w:w="109"/>
        <w:gridCol w:w="109"/>
        <w:gridCol w:w="290"/>
        <w:gridCol w:w="291"/>
        <w:gridCol w:w="162"/>
      </w:tblGrid>
      <w:tr>
        <w:trPr/>
        <w:tc>
          <w:tcPr>
            <w:tcW w:w="1540"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9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r>
      <w:tr>
        <w:trPr/>
        <w:tc>
          <w:tcPr>
            <w:tcW w:w="39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3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88,945 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(28,596)</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(6,422)</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13,286 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14,973 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 (benefit),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32,782 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102,858 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120,436 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128,049 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253,202 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(125,153)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jc w:val="both"/>
        <w:rPr>
          <w:rFonts w:ascii="Arial;sans-serif" w:hAnsi="Arial;sans-serif"/>
          <w:b w:val="false"/>
          <w:color w:val="000000"/>
          <w:sz w:val="16"/>
        </w:rPr>
      </w:pPr>
      <w:r>
        <w:rPr>
          <w:rFonts w:ascii="Arial;sans-serif" w:hAnsi="Arial;sans-serif"/>
          <w:b w:val="false"/>
          <w:color w:val="000000"/>
          <w:sz w:val="16"/>
        </w:rPr>
        <w:t xml:space="preserve">*    Percentage is not meaningful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v:rect>
            </w:pict>
          </mc:Fallback>
        </mc:AlternateContent>
      </w:r>
    </w:p>
    <w:p>
      <w:pPr>
        <w:pStyle w:val="TextBody"/>
        <w:spacing w:lineRule="auto" w:line="288" w:before="0" w:after="0"/>
        <w:jc w:val="both"/>
        <w:rPr/>
      </w:pPr>
      <w:hyperlink w:anchor="iffcdad348b3c4a57aa352cc8de1ffc2f_802">
        <w:r>
          <w:rPr>
            <w:rStyle w:val="InternetLink"/>
            <w:rFonts w:ascii="Arial;sans-serif" w:hAnsi="Arial;sans-serif"/>
            <w:b w:val="false"/>
            <w:color w:val="0000FF"/>
            <w:sz w:val="20"/>
            <w:u w:val="single"/>
          </w:rPr>
          <w:t>Table of Contents</w:t>
        </w:r>
      </w:hyperlink>
      <w:r>
        <w:rPr>
          <w:color w:val="000000"/>
        </w:rPr>
        <w:t xml:space="preserve"> </w:t>
      </w:r>
    </w:p>
    <w:p>
      <w:pPr>
        <w:pStyle w:val="TextBody"/>
        <w:spacing w:before="0" w:after="0"/>
        <w:jc w:val="both"/>
        <w:rPr/>
      </w:pPr>
      <w:r>
        <w:rPr/>
      </w:r>
    </w:p>
    <w:p>
      <w:pPr>
        <w:pStyle w:val="TextBody"/>
        <w:spacing w:before="0" w:after="0"/>
        <w:rPr/>
      </w:pPr>
      <w:r>
        <w:rPr/>
      </w:r>
    </w:p>
    <w:p>
      <w:pPr>
        <w:pStyle w:val="TextBody"/>
        <w:spacing w:before="0" w:after="0"/>
        <w:jc w:val="both"/>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reconciles the change in EBITDA:</w:t>
      </w:r>
    </w:p>
    <w:tbl>
      <w:tblPr>
        <w:tblW w:w="9243" w:type="dxa"/>
        <w:jc w:val="left"/>
        <w:tblInd w:w="0" w:type="dxa"/>
        <w:tblCellMar>
          <w:top w:w="28" w:type="dxa"/>
          <w:left w:w="28" w:type="dxa"/>
          <w:bottom w:w="28" w:type="dxa"/>
          <w:right w:w="28" w:type="dxa"/>
        </w:tblCellMar>
      </w:tblPr>
      <w:tblGrid>
        <w:gridCol w:w="2782"/>
        <w:gridCol w:w="2453"/>
        <w:gridCol w:w="2460"/>
        <w:gridCol w:w="109"/>
        <w:gridCol w:w="109"/>
        <w:gridCol w:w="109"/>
        <w:gridCol w:w="211"/>
        <w:gridCol w:w="856"/>
        <w:gridCol w:w="154"/>
      </w:tblGrid>
      <w:tr>
        <w:trPr/>
        <w:tc>
          <w:tcPr>
            <w:tcW w:w="2782"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2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Amounts</w:t>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three months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operating income (loss),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(34,399)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(87,795)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three months ended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pPr>
      <w:r>
        <w:rPr>
          <w:rFonts w:ascii="Arial;sans-serif" w:hAnsi="Arial;sans-serif"/>
          <w:b/>
          <w:color w:val="000000"/>
          <w:sz w:val="20"/>
        </w:rPr>
        <w:t>Segment Operating Results and Capital Expenditures</w:t>
      </w:r>
      <w:r>
        <w:rPr>
          <w:color w:val="000000"/>
        </w:rPr>
        <w:t xml:space="preserve">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tables present our total revenue, capital expenditures and EBITDA by segment for the three months ended March 31, 2023, as compared to the three months ended March 31, 2022: </w:t>
      </w:r>
    </w:p>
    <w:tbl>
      <w:tblPr>
        <w:tblW w:w="9885" w:type="dxa"/>
        <w:jc w:val="left"/>
        <w:tblInd w:w="0" w:type="dxa"/>
        <w:tblCellMar>
          <w:top w:w="28" w:type="dxa"/>
          <w:left w:w="28" w:type="dxa"/>
          <w:bottom w:w="28" w:type="dxa"/>
          <w:right w:w="28" w:type="dxa"/>
        </w:tblCellMar>
      </w:tblPr>
      <w:tblGrid>
        <w:gridCol w:w="1196"/>
        <w:gridCol w:w="1050"/>
        <w:gridCol w:w="1053"/>
        <w:gridCol w:w="109"/>
        <w:gridCol w:w="109"/>
        <w:gridCol w:w="109"/>
        <w:gridCol w:w="211"/>
        <w:gridCol w:w="856"/>
        <w:gridCol w:w="109"/>
        <w:gridCol w:w="109"/>
        <w:gridCol w:w="109"/>
        <w:gridCol w:w="109"/>
        <w:gridCol w:w="211"/>
        <w:gridCol w:w="646"/>
        <w:gridCol w:w="109"/>
        <w:gridCol w:w="109"/>
        <w:gridCol w:w="109"/>
        <w:gridCol w:w="109"/>
        <w:gridCol w:w="406"/>
        <w:gridCol w:w="1243"/>
        <w:gridCol w:w="211"/>
        <w:gridCol w:w="109"/>
        <w:gridCol w:w="109"/>
        <w:gridCol w:w="109"/>
        <w:gridCol w:w="220"/>
        <w:gridCol w:w="894"/>
        <w:gridCol w:w="162"/>
      </w:tblGrid>
      <w:tr>
        <w:trPr/>
        <w:tc>
          <w:tcPr>
            <w:tcW w:w="1196"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Hughes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Corporate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Consolidated</w:t>
              <w:br/>
              <w:t>Total</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For the year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439,597 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(2,954)</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44,071 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(33,840)</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128,049 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For the year ended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2,954 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501,534 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51,117 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112,138 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59,341 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253,202 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Capital expenditures are net of refunds and other receipts related to property and equipment.</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Hughes Segment </w:t>
      </w:r>
    </w:p>
    <w:tbl>
      <w:tblPr>
        <w:tblW w:w="8398" w:type="dxa"/>
        <w:jc w:val="center"/>
        <w:tblInd w:w="0" w:type="dxa"/>
        <w:tblCellMar>
          <w:top w:w="28" w:type="dxa"/>
          <w:left w:w="28" w:type="dxa"/>
          <w:bottom w:w="28" w:type="dxa"/>
          <w:right w:w="28" w:type="dxa"/>
        </w:tblCellMar>
      </w:tblPr>
      <w:tblGrid>
        <w:gridCol w:w="685"/>
        <w:gridCol w:w="601"/>
        <w:gridCol w:w="604"/>
        <w:gridCol w:w="109"/>
        <w:gridCol w:w="109"/>
        <w:gridCol w:w="109"/>
        <w:gridCol w:w="287"/>
        <w:gridCol w:w="1164"/>
        <w:gridCol w:w="148"/>
        <w:gridCol w:w="148"/>
        <w:gridCol w:w="148"/>
        <w:gridCol w:w="148"/>
        <w:gridCol w:w="287"/>
        <w:gridCol w:w="1164"/>
        <w:gridCol w:w="148"/>
        <w:gridCol w:w="109"/>
        <w:gridCol w:w="109"/>
        <w:gridCol w:w="109"/>
        <w:gridCol w:w="211"/>
        <w:gridCol w:w="811"/>
        <w:gridCol w:w="109"/>
        <w:gridCol w:w="109"/>
        <w:gridCol w:w="109"/>
        <w:gridCol w:w="109"/>
        <w:gridCol w:w="299"/>
        <w:gridCol w:w="301"/>
        <w:gridCol w:w="154"/>
      </w:tblGrid>
      <w:tr>
        <w:trPr/>
        <w:tc>
          <w:tcPr>
            <w:tcW w:w="68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431,195 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494,106 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47,025 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61,021 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157,234 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191,170 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revenue was $431.2 million for the three months ended March 31, 2023, a decrease of $62.9 million, or 12.7%, as compared to 2022.  Services and other revenue decreased primarily due to lower sales of broadband services to our consumer customers of $41.0 million, and lower sales of broadband services to our enterprise customers of $2.2 million, partially offset by increased sales of broadband services to our mobile satellite system and other customers of $1.0 million. Equipment revenue decreased primarily due to: i) decreases in hardware sales to our enterprise customers of $19.1 million mainly associated with a certain customer in North America and to international customers, and ii) decreases in hardware sales of $2.2 million to our consumer customers. These decreases were partially offset by increases on our hardware sales to our mobile satellite system customers of $0.6 million. These variances reflect an estimated negative impact of exchange rate fluctuations of $2.2 million, primarily attributable to our enterprise customers.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v:rect>
            </w:pict>
          </mc:Fallback>
        </mc:AlternateContent>
      </w:r>
    </w:p>
    <w:p>
      <w:pPr>
        <w:pStyle w:val="TextBody"/>
        <w:spacing w:lineRule="auto" w:line="288" w:before="0" w:after="0"/>
        <w:jc w:val="both"/>
        <w:rPr/>
      </w:pPr>
      <w:hyperlink w:anchor="iffcdad348b3c4a57aa352cc8de1ffc2f_802">
        <w:r>
          <w:rPr>
            <w:rStyle w:val="InternetLink"/>
            <w:rFonts w:ascii="Arial;sans-serif" w:hAnsi="Arial;sans-serif"/>
            <w:b w:val="false"/>
            <w:color w:val="0000FF"/>
            <w:sz w:val="20"/>
            <w:u w:val="single"/>
          </w:rPr>
          <w:t>Table of Contents</w:t>
        </w:r>
      </w:hyperlink>
      <w:r>
        <w:rPr>
          <w:color w:val="000000"/>
        </w:rPr>
        <w:t xml:space="preserve"> </w:t>
      </w:r>
    </w:p>
    <w:p>
      <w:pPr>
        <w:pStyle w:val="TextBody"/>
        <w:spacing w:before="0" w:after="0"/>
        <w:jc w:val="both"/>
        <w:rPr/>
      </w:pPr>
      <w:r>
        <w:rPr/>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Capital expenditures were $47.0 million for the three months ended March 31, 2023, a decrease of $14.0 million, or 22.9%, as compared to 2022, primarily due to decreases in expenditures associated with our consumer business, and decreases in expenditures related to the construction of our satellite-related ground infrastructure.</w:t>
      </w:r>
    </w:p>
    <w:p>
      <w:pPr>
        <w:pStyle w:val="TextBody"/>
        <w:spacing w:before="0" w:after="0"/>
        <w:jc w:val="both"/>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following table reconciles the change in the Hughes Segment EBITDA:  </w:t>
      </w:r>
    </w:p>
    <w:tbl>
      <w:tblPr>
        <w:tblW w:w="9243" w:type="dxa"/>
        <w:jc w:val="center"/>
        <w:tblInd w:w="0" w:type="dxa"/>
        <w:tblCellMar>
          <w:top w:w="28" w:type="dxa"/>
          <w:left w:w="28" w:type="dxa"/>
          <w:bottom w:w="28" w:type="dxa"/>
          <w:right w:w="28" w:type="dxa"/>
        </w:tblCellMar>
      </w:tblPr>
      <w:tblGrid>
        <w:gridCol w:w="2782"/>
        <w:gridCol w:w="2453"/>
        <w:gridCol w:w="2460"/>
        <w:gridCol w:w="109"/>
        <w:gridCol w:w="109"/>
        <w:gridCol w:w="109"/>
        <w:gridCol w:w="211"/>
        <w:gridCol w:w="856"/>
        <w:gridCol w:w="154"/>
      </w:tblGrid>
      <w:tr>
        <w:trPr/>
        <w:tc>
          <w:tcPr>
            <w:tcW w:w="2782"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2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Amounts</w:t>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three months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operating income (loss),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(30,097)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ESS Segment </w:t>
      </w:r>
    </w:p>
    <w:tbl>
      <w:tblPr>
        <w:tblW w:w="7586" w:type="dxa"/>
        <w:jc w:val="center"/>
        <w:tblInd w:w="0" w:type="dxa"/>
        <w:tblCellMar>
          <w:top w:w="28" w:type="dxa"/>
          <w:left w:w="28" w:type="dxa"/>
          <w:bottom w:w="28" w:type="dxa"/>
          <w:right w:w="28" w:type="dxa"/>
        </w:tblCellMar>
      </w:tblPr>
      <w:tblGrid>
        <w:gridCol w:w="473"/>
        <w:gridCol w:w="415"/>
        <w:gridCol w:w="417"/>
        <w:gridCol w:w="109"/>
        <w:gridCol w:w="109"/>
        <w:gridCol w:w="109"/>
        <w:gridCol w:w="340"/>
        <w:gridCol w:w="1042"/>
        <w:gridCol w:w="175"/>
        <w:gridCol w:w="175"/>
        <w:gridCol w:w="175"/>
        <w:gridCol w:w="175"/>
        <w:gridCol w:w="340"/>
        <w:gridCol w:w="1042"/>
        <w:gridCol w:w="175"/>
        <w:gridCol w:w="109"/>
        <w:gridCol w:w="109"/>
        <w:gridCol w:w="109"/>
        <w:gridCol w:w="211"/>
        <w:gridCol w:w="646"/>
        <w:gridCol w:w="109"/>
        <w:gridCol w:w="109"/>
        <w:gridCol w:w="109"/>
        <w:gridCol w:w="109"/>
        <w:gridCol w:w="270"/>
        <w:gridCol w:w="271"/>
        <w:gridCol w:w="154"/>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7"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c>
          <w:tcPr>
            <w:tcW w:w="15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5" w:type="dxa"/>
            <w:gridSpan w:val="3"/>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4,655 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Total revenue was $6.0 million for the three months ended March 31, 2023, an increase of $1.5 million, or 34.0%, compared to 2022, primarily due to an increase in transponder services provided to third parties.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EBITDA was $4.7 million for the three months ended March 31, 2023, an increase of $2.0 million, or 73.0%, as compared to 2022, primarily due to the increase in overall ESS segment revenue and lower expenses. </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Corporate and Other Segment </w:t>
      </w:r>
    </w:p>
    <w:tbl>
      <w:tblPr>
        <w:tblW w:w="8288" w:type="dxa"/>
        <w:jc w:val="center"/>
        <w:tblInd w:w="0" w:type="dxa"/>
        <w:tblCellMar>
          <w:top w:w="28" w:type="dxa"/>
          <w:left w:w="28" w:type="dxa"/>
          <w:bottom w:w="28" w:type="dxa"/>
          <w:right w:w="28" w:type="dxa"/>
        </w:tblCellMar>
      </w:tblPr>
      <w:tblGrid>
        <w:gridCol w:w="685"/>
        <w:gridCol w:w="601"/>
        <w:gridCol w:w="604"/>
        <w:gridCol w:w="109"/>
        <w:gridCol w:w="109"/>
        <w:gridCol w:w="109"/>
        <w:gridCol w:w="340"/>
        <w:gridCol w:w="1042"/>
        <w:gridCol w:w="175"/>
        <w:gridCol w:w="175"/>
        <w:gridCol w:w="175"/>
        <w:gridCol w:w="175"/>
        <w:gridCol w:w="340"/>
        <w:gridCol w:w="1042"/>
        <w:gridCol w:w="175"/>
        <w:gridCol w:w="109"/>
        <w:gridCol w:w="109"/>
        <w:gridCol w:w="109"/>
        <w:gridCol w:w="227"/>
        <w:gridCol w:w="583"/>
        <w:gridCol w:w="109"/>
        <w:gridCol w:w="109"/>
        <w:gridCol w:w="109"/>
        <w:gridCol w:w="109"/>
        <w:gridCol w:w="351"/>
        <w:gridCol w:w="354"/>
        <w:gridCol w:w="154"/>
      </w:tblGrid>
      <w:tr>
        <w:trPr/>
        <w:tc>
          <w:tcPr>
            <w:tcW w:w="68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(2,954)</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51,117 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(33,840)</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59,341 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revenue was $2.4 million for the three months ended March 31, 2023, which is primarily flat compared to 2022.</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Capital expenditures are net of refunds and other receipts related to property and equipment were $(3.0) million for the three months ended March 31, 2023, a decrease of $54.1 million, as compared to 2022, primarily due to decreases in expenditures, as well as refunds and other receipts, related to the EchoStar XXIV satellite program.</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v:rect>
            </w:pict>
          </mc:Fallback>
        </mc:AlternateContent>
      </w:r>
    </w:p>
    <w:p>
      <w:pPr>
        <w:pStyle w:val="TextBody"/>
        <w:spacing w:lineRule="auto" w:line="288" w:before="0" w:after="0"/>
        <w:jc w:val="both"/>
        <w:rPr/>
      </w:pPr>
      <w:hyperlink w:anchor="iffcdad348b3c4a57aa352cc8de1ffc2f_802">
        <w:r>
          <w:rPr>
            <w:rStyle w:val="InternetLink"/>
            <w:rFonts w:ascii="Arial;sans-serif" w:hAnsi="Arial;sans-serif"/>
            <w:b w:val="false"/>
            <w:color w:val="0000FF"/>
            <w:sz w:val="20"/>
            <w:u w:val="single"/>
          </w:rPr>
          <w:t>Table of Contents</w:t>
        </w:r>
      </w:hyperlink>
      <w:r>
        <w:rPr>
          <w:color w:val="000000"/>
        </w:rPr>
        <w:t xml:space="preserve"> </w:t>
      </w:r>
    </w:p>
    <w:p>
      <w:pPr>
        <w:pStyle w:val="TextBody"/>
        <w:spacing w:before="0" w:after="0"/>
        <w:jc w:val="both"/>
        <w:rPr/>
      </w:pPr>
      <w:r>
        <w:rPr/>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following table reconciles the change in the Corporate and Other Segment EBITDA: </w:t>
      </w:r>
    </w:p>
    <w:tbl>
      <w:tblPr>
        <w:tblW w:w="9197" w:type="dxa"/>
        <w:jc w:val="center"/>
        <w:tblInd w:w="0" w:type="dxa"/>
        <w:tblCellMar>
          <w:top w:w="28" w:type="dxa"/>
          <w:left w:w="28" w:type="dxa"/>
          <w:bottom w:w="28" w:type="dxa"/>
          <w:right w:w="28" w:type="dxa"/>
        </w:tblCellMar>
      </w:tblPr>
      <w:tblGrid>
        <w:gridCol w:w="2781"/>
        <w:gridCol w:w="2452"/>
        <w:gridCol w:w="2461"/>
        <w:gridCol w:w="109"/>
        <w:gridCol w:w="109"/>
        <w:gridCol w:w="109"/>
        <w:gridCol w:w="211"/>
        <w:gridCol w:w="811"/>
        <w:gridCol w:w="154"/>
      </w:tblGrid>
      <w:tr>
        <w:trPr/>
        <w:tc>
          <w:tcPr>
            <w:tcW w:w="2781" w:type="dxa"/>
            <w:tcBorders/>
            <w:shd w:fill="auto" w:val="clear"/>
            <w:vAlign w:val="center"/>
          </w:tcPr>
          <w:p>
            <w:pPr>
              <w:pStyle w:val="TableContents"/>
              <w:spacing w:before="0" w:after="283"/>
              <w:rPr>
                <w:sz w:val="4"/>
                <w:szCs w:val="4"/>
              </w:rPr>
            </w:pPr>
            <w:r>
              <w:rPr>
                <w:sz w:val="4"/>
                <w:szCs w:val="4"/>
              </w:rPr>
            </w:r>
          </w:p>
        </w:tc>
        <w:tc>
          <w:tcPr>
            <w:tcW w:w="2452" w:type="dxa"/>
            <w:tcBorders/>
            <w:shd w:fill="auto" w:val="clear"/>
            <w:vAlign w:val="center"/>
          </w:tcPr>
          <w:p>
            <w:pPr>
              <w:pStyle w:val="TableContents"/>
              <w:spacing w:before="0" w:after="283"/>
              <w:rPr>
                <w:sz w:val="4"/>
                <w:szCs w:val="4"/>
              </w:rPr>
            </w:pPr>
            <w:r>
              <w:rPr>
                <w:sz w:val="4"/>
                <w:szCs w:val="4"/>
              </w:rPr>
            </w:r>
          </w:p>
        </w:tc>
        <w:tc>
          <w:tcPr>
            <w:tcW w:w="24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Amounts</w:t>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three months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operating income (loss),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gains (losses) on investments,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(87,795)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(33,840)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v:rect>
            </w:pict>
          </mc:Fallback>
        </mc:AlternateContent>
      </w:r>
    </w:p>
    <w:p>
      <w:pPr>
        <w:pStyle w:val="TextBody"/>
        <w:spacing w:lineRule="auto" w:line="288" w:before="0" w:after="0"/>
        <w:jc w:val="both"/>
        <w:rPr/>
      </w:pPr>
      <w:hyperlink w:anchor="iffcdad348b3c4a57aa352cc8de1ffc2f_802">
        <w:r>
          <w:rPr>
            <w:rStyle w:val="InternetLink"/>
            <w:rFonts w:ascii="Arial;sans-serif" w:hAnsi="Arial;sans-serif"/>
            <w:b w:val="false"/>
            <w:color w:val="0000FF"/>
            <w:sz w:val="20"/>
            <w:u w:val="single"/>
          </w:rPr>
          <w:t>Table of Contents</w:t>
        </w:r>
      </w:hyperlink>
      <w:r>
        <w:rPr>
          <w:color w:val="000000"/>
        </w:rPr>
        <w:t xml:space="preserve"> </w:t>
      </w:r>
    </w:p>
    <w:p>
      <w:pPr>
        <w:pStyle w:val="TextBody"/>
        <w:spacing w:before="0" w:after="0"/>
        <w:jc w:val="both"/>
        <w:rPr/>
      </w:pPr>
      <w:r>
        <w:rPr/>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LIQUIDITY AND CAPITAL RESOURCES</w:t>
      </w:r>
    </w:p>
    <w:p>
      <w:pPr>
        <w:pStyle w:val="TextBody"/>
        <w:spacing w:lineRule="auto" w:line="288" w:before="0" w:after="0"/>
        <w:jc w:val="both"/>
        <w:rPr>
          <w:color w:val="000000"/>
        </w:rPr>
      </w:pPr>
      <w:r>
        <w:rPr>
          <w:color w:val="000000"/>
        </w:rPr>
        <w:t> </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Cash, Cash Equivalents and Marketable Investment Securities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consider all liquid investments purchased with an original maturity of 90 days or less to be cash equivalents.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March 31, 2023 our cash, cash equivalents and marketable investment securities totaled $1.7 billion, $0.8 billion of which we held as marketable investment securities, consisting of various debt and equity instruments including corporate bonds, corporate equity securities, government bonds and mutual funds. </w:t>
      </w:r>
    </w:p>
    <w:p>
      <w:pPr>
        <w:pStyle w:val="TextBody"/>
        <w:spacing w:before="0" w:after="0"/>
        <w:jc w:val="both"/>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Cash Flow Activities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summarizes our cash flows provided by (used for) operating, investing and financing activities, as reflected in the Consolidated Statement of Cash Flows: </w:t>
      </w:r>
    </w:p>
    <w:p>
      <w:pPr>
        <w:pStyle w:val="TextBody"/>
        <w:spacing w:before="0" w:after="0"/>
        <w:jc w:val="both"/>
        <w:rPr/>
      </w:pPr>
      <w:r>
        <w:rPr/>
      </w:r>
    </w:p>
    <w:tbl>
      <w:tblPr>
        <w:tblW w:w="9537" w:type="dxa"/>
        <w:jc w:val="left"/>
        <w:tblInd w:w="0" w:type="dxa"/>
        <w:tblCellMar>
          <w:top w:w="28" w:type="dxa"/>
          <w:left w:w="28" w:type="dxa"/>
          <w:bottom w:w="28" w:type="dxa"/>
          <w:right w:w="28" w:type="dxa"/>
        </w:tblCellMar>
      </w:tblPr>
      <w:tblGrid>
        <w:gridCol w:w="1782"/>
        <w:gridCol w:w="1566"/>
        <w:gridCol w:w="1571"/>
        <w:gridCol w:w="109"/>
        <w:gridCol w:w="109"/>
        <w:gridCol w:w="109"/>
        <w:gridCol w:w="211"/>
        <w:gridCol w:w="858"/>
        <w:gridCol w:w="109"/>
        <w:gridCol w:w="109"/>
        <w:gridCol w:w="109"/>
        <w:gridCol w:w="109"/>
        <w:gridCol w:w="211"/>
        <w:gridCol w:w="858"/>
        <w:gridCol w:w="109"/>
        <w:gridCol w:w="109"/>
        <w:gridCol w:w="109"/>
        <w:gridCol w:w="109"/>
        <w:gridCol w:w="211"/>
        <w:gridCol w:w="916"/>
        <w:gridCol w:w="154"/>
      </w:tblGrid>
      <w:tr>
        <w:trPr/>
        <w:tc>
          <w:tcPr>
            <w:tcW w:w="1782"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r>
      <w:tr>
        <w:trPr/>
        <w:tc>
          <w:tcPr>
            <w:tcW w:w="4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(110,953)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(138,969)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Cash flows provided by (used for) operating activities decreased by $57.9 million primarily attributable to changes in net income (loss) of $(61.1) million, changes in assets and liabilities, net of $(32.3) million, other, net, of $(21.6) million, deferred tax provision (benefit), net of $(19.0) million, depreciation and amortization of $(17.6) million, losses (gains) on investments, net of $87.8 million.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Cash flows provided by (used for) investing activities decreased by $111.0 million primarily attributable to our marketable investment securities net activity of $(185.0) million, an increase in expenditures in externally marketed software of $(1.9) million, partially offset by a decrease in expenditures for property and equipment of $68.1 million, and the India JV formation in 2022 for $7.9 million.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Cash flows provided by (used for) financing activities increased by $31.7 million primarily attributable to decreases in treasury share repurchases of $33.3 million.</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Obligations and Future Capital Requirements</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Off-Balance Sheet Arrangements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generally do not engage in off-balance sheet financing activities or use derivative financial instruments for hedge accounting or speculative purposes.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Letters of Credit and Surety Bonds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The following table presents the components of our letters of credit and surety bonds as of March 31, 2023</w:t>
      </w:r>
      <w:r>
        <w:rPr>
          <w:rFonts w:ascii="Arial;sans-serif" w:hAnsi="Arial;sans-serif"/>
          <w:b/>
          <w:color w:val="000000"/>
          <w:sz w:val="20"/>
        </w:rPr>
        <w:t>:</w:t>
      </w:r>
    </w:p>
    <w:tbl>
      <w:tblPr>
        <w:tblW w:w="6333" w:type="dxa"/>
        <w:jc w:val="left"/>
        <w:tblInd w:w="0" w:type="dxa"/>
        <w:tblCellMar>
          <w:top w:w="28" w:type="dxa"/>
          <w:left w:w="28" w:type="dxa"/>
          <w:bottom w:w="28" w:type="dxa"/>
          <w:right w:w="28" w:type="dxa"/>
        </w:tblCellMar>
      </w:tblPr>
      <w:tblGrid>
        <w:gridCol w:w="1770"/>
        <w:gridCol w:w="1554"/>
        <w:gridCol w:w="1566"/>
        <w:gridCol w:w="109"/>
        <w:gridCol w:w="109"/>
        <w:gridCol w:w="109"/>
        <w:gridCol w:w="211"/>
        <w:gridCol w:w="751"/>
        <w:gridCol w:w="154"/>
      </w:tblGrid>
      <w:tr>
        <w:trPr/>
        <w:tc>
          <w:tcPr>
            <w:tcW w:w="1770"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Amounts</w:t>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Letters of credit secured by 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Surety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arrangement available to our foreign subsidiaries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letters of credit and surety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v:rect>
            </w:pict>
          </mc:Fallback>
        </mc:AlternateContent>
      </w:r>
    </w:p>
    <w:p>
      <w:pPr>
        <w:pStyle w:val="TextBody"/>
        <w:spacing w:lineRule="auto" w:line="288" w:before="0" w:after="0"/>
        <w:jc w:val="both"/>
        <w:rPr/>
      </w:pPr>
      <w:hyperlink w:anchor="iffcdad348b3c4a57aa352cc8de1ffc2f_802">
        <w:r>
          <w:rPr>
            <w:rStyle w:val="InternetLink"/>
            <w:rFonts w:ascii="Arial;sans-serif" w:hAnsi="Arial;sans-serif"/>
            <w:b w:val="false"/>
            <w:color w:val="0000FF"/>
            <w:sz w:val="20"/>
            <w:u w:val="single"/>
          </w:rPr>
          <w:t>Table of Contents</w:t>
        </w:r>
      </w:hyperlink>
      <w:r>
        <w:rPr>
          <w:color w:val="000000"/>
        </w:rPr>
        <w:t xml:space="preserve"> </w:t>
      </w:r>
    </w:p>
    <w:p>
      <w:pPr>
        <w:pStyle w:val="TextBody"/>
        <w:spacing w:before="0" w:after="0"/>
        <w:jc w:val="both"/>
        <w:rPr/>
      </w:pPr>
      <w:r>
        <w:rPr/>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Certain letters of credit are secured by assets of our foreign subsidiaries. </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Satellites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our satellite fleet ages, we will evaluate whether and to what extent to utilize replacement alternatives such as acquiring, leasing or constructing additional satellites, with or without customer commitments for capacity. We may also construct, acquire or lease additional satellites or satellite capacity in the future to provide satellite services at additional orbital locations, to improve the quality of our satellite services or to provide new satellites services.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Satellite Insurance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generally do not carry in-orbit insurance on our satellites or payloads because we have assessed that the cost of insurance is not economical relative to the risk of failures. Therefore, we generally bear the risk of any in-orbit failures. Pursuant to the terms of our joint venture agreement with Yahsat, we are required to maintain insurance for the Al Yah 3 Brazilian payload during the commercial in-orbit service of such payload, subject to certain limitations on coverage. We have obtained certain insurance for our EchoStar XXIV satellite covering launch plus the first year of operations. We will continue to assess circumstances going forward and make insurance-related decisions on a case-by-case basis.</w:t>
      </w:r>
    </w:p>
    <w:p>
      <w:pPr>
        <w:pStyle w:val="TextBody"/>
        <w:spacing w:before="0" w:after="0"/>
        <w:jc w:val="both"/>
        <w:rPr/>
      </w:pPr>
      <w:r>
        <w:rPr/>
      </w:r>
    </w:p>
    <w:p>
      <w:pPr>
        <w:pStyle w:val="TextBody"/>
        <w:spacing w:lineRule="auto" w:line="288" w:before="0" w:after="0"/>
        <w:jc w:val="both"/>
        <w:rPr/>
      </w:pPr>
      <w:r>
        <w:rPr>
          <w:rFonts w:ascii="Arial;sans-serif" w:hAnsi="Arial;sans-serif"/>
          <w:b w:val="false"/>
          <w:i/>
          <w:color w:val="000000"/>
          <w:sz w:val="20"/>
        </w:rPr>
        <w:t>Future Capital Requirements</w:t>
      </w:r>
      <w:r>
        <w:rPr>
          <w:color w:val="000000"/>
        </w:rPr>
        <w:t xml:space="preserve"> </w:t>
      </w:r>
    </w:p>
    <w:p>
      <w:pPr>
        <w:pStyle w:val="TextBody"/>
        <w:spacing w:lineRule="auto" w:line="288" w:before="0" w:after="0"/>
        <w:jc w:val="both"/>
        <w:rPr>
          <w:color w:val="000000"/>
        </w:rPr>
      </w:pPr>
      <w:r>
        <w:rPr>
          <w:color w:val="000000"/>
        </w:rPr>
        <w:t> </w:t>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We primarily rely on our existing cash and marketable investment securities balances, as well as cash flow generated through our operations, to fund our business.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ARPU. Revenue in our enterprise and equipment businesses relies heavily on global economic conditions and the competitive landscape for pricing relative to competitors and alternative technologies. There can be no assurance that we will have positive cash flows from operations. Furthermore, if we experience negative cash flows, our existing cash and marketable investment securities balances may be reduced. </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We have a significant amount of outstanding indebtedness. As of March 31, 2023, our total indebtedness was $1.5 billion. Our liquidity requirements will continue to be significant, primarily due to our remaining debt service requirements. We may from time to time seek to purchase amounts of our outstanding debt in open market purchases, privately negotiated transactions or otherwise, depending on market conditions, our liquidity needs and other factors. The amounts we may repurchase may be material. In the future, we may require material capital expenditures to make significant acquisitions or investments in infrastructure, technologies or joint ventures to support and expand our business, or if we decide to purchase or build additional satellites or other technologies or assets. Other aspects of our business operations may also require additional capital. We also expect to owe U.S. federal income tax for 2023.</w:t>
      </w:r>
      <w:r>
        <w:rPr>
          <w:color w:val="000000"/>
        </w:rPr>
        <w:t xml:space="preserve">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anticipate that our existing cash and marketable investment securities are sufficient to fund the currently anticipated operations of our business through the next twelve months.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v:rect>
            </w:pict>
          </mc:Fallback>
        </mc:AlternateContent>
      </w:r>
    </w:p>
    <w:p>
      <w:pPr>
        <w:pStyle w:val="TextBody"/>
        <w:spacing w:lineRule="auto" w:line="288" w:before="0" w:after="0"/>
        <w:jc w:val="both"/>
        <w:rPr/>
      </w:pPr>
      <w:hyperlink w:anchor="iffcdad348b3c4a57aa352cc8de1ffc2f_802">
        <w:r>
          <w:rPr>
            <w:rStyle w:val="InternetLink"/>
            <w:rFonts w:ascii="Arial;sans-serif" w:hAnsi="Arial;sans-serif"/>
            <w:b w:val="false"/>
            <w:color w:val="0000FF"/>
            <w:sz w:val="20"/>
            <w:u w:val="single"/>
          </w:rPr>
          <w:t>Table of Contents</w:t>
        </w:r>
      </w:hyperlink>
      <w:r>
        <w:rPr>
          <w:color w:val="000000"/>
        </w:rPr>
        <w:t xml:space="preserve"> </w:t>
      </w:r>
    </w:p>
    <w:p>
      <w:pPr>
        <w:pStyle w:val="TextBody"/>
        <w:spacing w:before="0" w:after="0"/>
        <w:jc w:val="both"/>
        <w:rPr/>
      </w:pPr>
      <w:r>
        <w:rPr/>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Stock Repurchases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November 2, 2021, our Board of Directors authorized us to repurchase up to $500.0 million of our Class A common stock commencing January 1, 2022 through and including December 31, 2022. In addition, on October 20, 2022, our Board of Directors authorized us to repurchase up to $500.0 million of our Class A common stock commencing January 1, 2023 through and including December 31, 2023. Purchases under our repurchase authorizations may be made through privately negotiated transactions, open market repurchases, one or more trading plans in accordance with Rule 10b5-1 under the Securities Exchange Act of 1934, as amended, or otherwise, subject to market conditions and other factors. We may elect not to purchase the maximum amount or any of the shares allowable under these authorizations and we may also enter into additional share repurchase programs authorized by our Board of Directors. During the three months ended March 31, 2023, we repurchased zero shares of our Class A common stock under this program.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CRITICAL ACCOUNTING POLICIES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Our critical accounting policies are described in Note 2. </w:t>
      </w:r>
      <w:r>
        <w:rPr>
          <w:rFonts w:ascii="Arial;sans-serif" w:hAnsi="Arial;sans-serif"/>
          <w:b w:val="false"/>
          <w:i/>
          <w:color w:val="000000"/>
          <w:sz w:val="20"/>
        </w:rPr>
        <w:t>Summary of Significant Accounting Policies</w:t>
      </w:r>
      <w:r>
        <w:rPr>
          <w:color w:val="000000"/>
        </w:rPr>
        <w:t xml:space="preserve"> </w:t>
      </w:r>
      <w:r>
        <w:rPr>
          <w:rFonts w:ascii="Arial;sans-serif" w:hAnsi="Arial;sans-serif"/>
          <w:b w:val="false"/>
          <w:color w:val="000000"/>
          <w:sz w:val="20"/>
        </w:rPr>
        <w:t>in our Consolidated Financial Statements in our Form 10-K. There have been no significant changes in our critical accounting policies from those presented in our Form 10-K.</w:t>
      </w:r>
    </w:p>
    <w:p>
      <w:pPr>
        <w:pStyle w:val="TextBody"/>
        <w:spacing w:before="0" w:after="0"/>
        <w:jc w:val="both"/>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CRITICAL ACCOUNTING ESTIMATES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critical accounting estimates are described in our Form 10-K under the heading Part II - Item 7. Management’s Discussion and Analysis of Financial Condition and Results of Operations. There have been no significant changes in our critical accounting estimates from those presented in our Form 10-K. </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NEW ACCOUNTING PRONOUNCEMENTS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a discussion of new accounting pronouncements, refer to Note 2. Summary of Significant Accounting Policies in our Consolidated Financial Statements.</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SEASONALITY</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our Hughes segment, service revenue is generally not impacted by seasonal fluctuations other than those associated with fluctuations related to sales and promotional activities.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ESS segment is not generally affected by seasonal impacts.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cannot predict with any certainty whether these trends will continue in the near future. </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INFLATION AND SUPPLY CHAIN</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Inflation has impacted our operations as we have continued to experience increased costs in certain functional areas including field services and customer care. We are unable to predict the extent or nature of any future inflationary pressure at this time. Our ability to increase the prices charged for our products and services in future periods depends primarily on competitive pressures, contractual terms, and inflationary pressures.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worldwide interruptions and delays in the supply of components, materials and parts, although not materially impacting our operations during the three months ended March 31, 2023, may impact our ability to timely provide equipment deliveries in the future. These interruptions and delays could also increase the cost of our equipment which we may not be able to pass onto our customers.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v:rect>
            </w:pict>
          </mc:Fallback>
        </mc:AlternateContent>
      </w:r>
    </w:p>
    <w:p>
      <w:pPr>
        <w:pStyle w:val="TextBody"/>
        <w:spacing w:lineRule="auto" w:line="288" w:before="0" w:after="0"/>
        <w:jc w:val="both"/>
        <w:rPr/>
      </w:pPr>
      <w:hyperlink w:anchor="iffcdad348b3c4a57aa352cc8de1ffc2f_802">
        <w:r>
          <w:rPr>
            <w:rStyle w:val="InternetLink"/>
            <w:rFonts w:ascii="Arial;sans-serif" w:hAnsi="Arial;sans-serif"/>
            <w:b w:val="false"/>
            <w:color w:val="0000FF"/>
            <w:sz w:val="20"/>
            <w:u w:val="single"/>
          </w:rPr>
          <w:t>Table of Contents</w:t>
        </w:r>
      </w:hyperlink>
      <w:r>
        <w:rPr>
          <w:color w:val="000000"/>
        </w:rPr>
        <w:t xml:space="preserve"> </w:t>
      </w:r>
    </w:p>
    <w:p>
      <w:pPr>
        <w:pStyle w:val="TextBody"/>
        <w:spacing w:before="0" w:after="0"/>
        <w:jc w:val="both"/>
        <w:rPr/>
      </w:pPr>
      <w:r>
        <w:rPr/>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Refer to our Form 10-K, under the heading Part II - Item 7A. Quantitative and Qualitative Disclosures About Market Risk, for a more complete discussion of our risks. As of March 31, 2023, our market risk has not changed materially from those presented in our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4.     CONTROLS AND PROCEDURES</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Disclosure Controls and Procedures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as of the end of the period covered by this Form 10-Q. Based upon that evaluation, our Chief Executive Officer and Chief Financial Officer concluded that our disclosure controls and procedures were effective as of the end of the period covered by this Form 10-Q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has been no change in our internal control over financial reporting (as defined in Rule 13a-15(f) and Rule 15d-15(f) under the Securities Exchange Act of 1934, as amended) that occurred during the three months ended March 31, 2023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v:rect>
            </w:pict>
          </mc:Fallback>
        </mc:AlternateContent>
      </w:r>
    </w:p>
    <w:p>
      <w:pPr>
        <w:pStyle w:val="TextBody"/>
        <w:spacing w:lineRule="auto" w:line="288" w:before="0" w:after="0"/>
        <w:jc w:val="both"/>
        <w:rPr/>
      </w:pPr>
      <w:hyperlink w:anchor="iffcdad348b3c4a57aa352cc8de1ffc2f_802">
        <w:r>
          <w:rPr>
            <w:rStyle w:val="InternetLink"/>
            <w:rFonts w:ascii="Arial;sans-serif" w:hAnsi="Arial;sans-serif"/>
            <w:b w:val="false"/>
            <w:color w:val="0000FF"/>
            <w:sz w:val="20"/>
            <w:u w:val="single"/>
          </w:rPr>
          <w:t>Table of Contents</w:t>
        </w:r>
      </w:hyperlink>
      <w:r>
        <w:rPr>
          <w:color w:val="000000"/>
        </w:rPr>
        <w:t xml:space="preserve"> </w:t>
      </w:r>
    </w:p>
    <w:p>
      <w:pPr>
        <w:pStyle w:val="TextBody"/>
        <w:spacing w:before="0" w:after="0"/>
        <w:jc w:val="both"/>
        <w:rPr/>
      </w:pPr>
      <w:r>
        <w:rPr/>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ITEM 1. LEGAL PROCEEDINGS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For a discussion of legal proceedings, refer to Part I, Item 1. Financial Statements - </w:t>
      </w:r>
      <w:r>
        <w:rPr>
          <w:rFonts w:ascii="Arial;sans-serif" w:hAnsi="Arial;sans-serif"/>
          <w:b w:val="false"/>
          <w:i/>
          <w:color w:val="000000"/>
          <w:sz w:val="20"/>
        </w:rPr>
        <w:t>Note 13. Contingencies</w:t>
      </w:r>
      <w:r>
        <w:rPr>
          <w:color w:val="000000"/>
        </w:rPr>
        <w:t xml:space="preserve"> </w:t>
      </w:r>
      <w:r>
        <w:rPr>
          <w:rFonts w:ascii="Arial;sans-serif" w:hAnsi="Arial;sans-serif"/>
          <w:b w:val="false"/>
          <w:color w:val="000000"/>
          <w:sz w:val="20"/>
        </w:rPr>
        <w:t xml:space="preserve">- </w:t>
      </w:r>
      <w:r>
        <w:rPr>
          <w:rFonts w:ascii="Arial;sans-serif" w:hAnsi="Arial;sans-serif"/>
          <w:b w:val="false"/>
          <w:i/>
          <w:color w:val="000000"/>
          <w:sz w:val="20"/>
        </w:rPr>
        <w:t>Litigation</w:t>
      </w:r>
      <w:r>
        <w:rPr>
          <w:color w:val="000000"/>
        </w:rPr>
        <w:t xml:space="preserve"> </w:t>
      </w:r>
      <w:r>
        <w:rPr>
          <w:rFonts w:ascii="Arial;sans-serif" w:hAnsi="Arial;sans-serif"/>
          <w:b w:val="false"/>
          <w:color w:val="000000"/>
          <w:sz w:val="20"/>
        </w:rPr>
        <w:t>in this Form 10-Q.</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ITEM 1A.    RISK FACTORS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Item 1A, Risk Factors, of our Form 10-K for the year ended December 31, 2022 includes a detailed discussion of our risk factors.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2.    UNREGISTERED SALES OF EQUITY SECURITIES AND USE OF PROCEEDS    </w:t>
      </w:r>
    </w:p>
    <w:p>
      <w:pPr>
        <w:pStyle w:val="TextBody"/>
        <w:spacing w:lineRule="auto" w:line="288" w:before="0" w:after="0"/>
        <w:jc w:val="both"/>
        <w:rPr>
          <w:color w:val="000000"/>
        </w:rPr>
      </w:pPr>
      <w:r>
        <w:rPr>
          <w:color w:val="000000"/>
        </w:rPr>
        <w:t> </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Purchases of Equity Securities by the Issuer and Affiliated Purchasers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a stock repurchase program approved by our board of directors, we are authorized to repurchase up to $500.0 million of our Class A common stock through December 31, 2023. During the three months ended March 31, 2023, we repurchased zero shares of our Class A common stock under this program.</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3.    DEFAULTS UPON SENIOR SECURITIES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ITEM 4.    MINE SAFETY DISCLOSURES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ITEM 5.    OTHER INFORMATION </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Financial Results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May 8, 2023, we issued a press release (the “Press Release”) announcing our financial results for the quarter ended March 31, 2023. A copy of the Press Release is furnished herewith as Exhibit 99.1. The foregoing information, including the exhibit related thereto, is furnished in response to Item 2.02 of Form 8-K and shall not be deemed “filed” for the purposes of Section 18 of the Securities Exchange Act of 1934, as amended, or otherwise, and shall not be incorporated by reference into any registration statement or other document pursuant to the Securities Act of 1933, as amended, or into any filing or other document pursuant to the Securities Exchange Act of 1934, as amended, except as otherwise expressly stated in any such filing</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v:rect>
            </w:pict>
          </mc:Fallback>
        </mc:AlternateContent>
      </w:r>
    </w:p>
    <w:p>
      <w:pPr>
        <w:pStyle w:val="TextBody"/>
        <w:spacing w:lineRule="auto" w:line="288" w:before="0" w:after="0"/>
        <w:rPr/>
      </w:pPr>
      <w:hyperlink w:anchor="iffcdad348b3c4a57aa352cc8de1ffc2f_802">
        <w:r>
          <w:rPr>
            <w:rStyle w:val="InternetLink"/>
            <w:rFonts w:ascii="Arial;sans-serif" w:hAnsi="Arial;sans-serif"/>
            <w:b w:val="false"/>
            <w:color w:val="0000FF"/>
            <w:sz w:val="20"/>
            <w:u w:val="single"/>
          </w:rPr>
          <w:t>Table of Contents</w:t>
        </w:r>
      </w:hyperlink>
      <w:r>
        <w:rPr>
          <w:color w:val="000000"/>
        </w:rPr>
        <w:t xml:space="preserve"> </w:t>
      </w:r>
    </w:p>
    <w:p>
      <w:pPr>
        <w:pStyle w:val="TextBody"/>
        <w:spacing w:before="0" w:after="0"/>
        <w:jc w:val="both"/>
        <w:rPr/>
      </w:pPr>
      <w:r>
        <w:rPr/>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6.    EXHIBITS</w:t>
      </w:r>
    </w:p>
    <w:p>
      <w:pPr>
        <w:pStyle w:val="TextBody"/>
        <w:spacing w:lineRule="auto" w:line="288" w:before="0" w:after="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419"/>
        <w:gridCol w:w="368"/>
        <w:gridCol w:w="369"/>
        <w:gridCol w:w="109"/>
        <w:gridCol w:w="109"/>
        <w:gridCol w:w="109"/>
        <w:gridCol w:w="2562"/>
        <w:gridCol w:w="2549"/>
        <w:gridCol w:w="3611"/>
      </w:tblGrid>
      <w:tr>
        <w:trPr/>
        <w:tc>
          <w:tcPr>
            <w:tcW w:w="41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2" w:type="dxa"/>
            <w:tcBorders/>
            <w:shd w:fill="auto" w:val="clear"/>
            <w:vAlign w:val="center"/>
          </w:tcPr>
          <w:p>
            <w:pPr>
              <w:pStyle w:val="TableContents"/>
              <w:spacing w:before="0" w:after="283"/>
              <w:rPr>
                <w:sz w:val="4"/>
                <w:szCs w:val="4"/>
              </w:rPr>
            </w:pPr>
            <w:r>
              <w:rPr>
                <w:sz w:val="4"/>
                <w:szCs w:val="4"/>
              </w:rPr>
            </w:r>
          </w:p>
        </w:tc>
        <w:tc>
          <w:tcPr>
            <w:tcW w:w="2549" w:type="dxa"/>
            <w:tcBorders/>
            <w:shd w:fill="auto" w:val="clear"/>
            <w:vAlign w:val="center"/>
          </w:tcPr>
          <w:p>
            <w:pPr>
              <w:pStyle w:val="TableContents"/>
              <w:spacing w:before="0" w:after="283"/>
              <w:rPr>
                <w:sz w:val="4"/>
                <w:szCs w:val="4"/>
              </w:rPr>
            </w:pPr>
            <w:r>
              <w:rPr>
                <w:sz w:val="4"/>
                <w:szCs w:val="4"/>
              </w:rPr>
            </w:r>
          </w:p>
        </w:tc>
        <w:tc>
          <w:tcPr>
            <w:tcW w:w="3611" w:type="dxa"/>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Description</w:t>
            </w:r>
          </w:p>
        </w:tc>
      </w:tr>
      <w:tr>
        <w:trPr/>
        <w:tc>
          <w:tcPr>
            <w:tcW w:w="11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w:anchor="sats03312310-qxexx101.htm">
              <w:r>
                <w:rPr>
                  <w:rStyle w:val="InternetLink"/>
                  <w:rFonts w:ascii="Arial;sans-serif" w:hAnsi="Arial;sans-serif"/>
                  <w:b w:val="false"/>
                  <w:color w:val="0000FF"/>
                  <w:sz w:val="20"/>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both"/>
              <w:rPr/>
            </w:pPr>
            <w:hyperlink w:anchor="sats03312310-qxexx101.htm">
              <w:r>
                <w:rPr>
                  <w:rStyle w:val="InternetLink"/>
                  <w:rFonts w:ascii="Arial;sans-serif" w:hAnsi="Arial;sans-serif"/>
                  <w:b w:val="false"/>
                  <w:color w:val="0000FF"/>
                  <w:sz w:val="20"/>
                  <w:u w:val="single"/>
                </w:rPr>
                <w:t>Amendment No. 3 dated March 24, 2023 to the Contract between EchoStar XXIV L.L.C. and Maxar Space LLC for the Jupiter 3 Satellite Program</w:t>
              </w:r>
            </w:hyperlink>
            <w:r>
              <w:rPr>
                <w:rFonts w:ascii="Arial;sans-serif" w:hAnsi="Arial;sans-serif"/>
                <w:b w:val="false"/>
                <w:color w:val="000000"/>
                <w:sz w:val="20"/>
              </w:rPr>
              <w:t>***</w:t>
            </w:r>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ats03312310-qxexx311.htm">
              <w:r>
                <w:rPr>
                  <w:rStyle w:val="InternetLink"/>
                  <w:rFonts w:ascii="Arial;sans-serif" w:hAnsi="Arial;sans-serif"/>
                  <w:b w:val="false"/>
                  <w:color w:val="0000FF"/>
                  <w:sz w:val="20"/>
                  <w:u w:val="single"/>
                </w:rPr>
                <w:t>31.1(H)</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2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sats03312310-qxexx311.htm">
              <w:r>
                <w:rPr>
                  <w:rStyle w:val="InternetLink"/>
                  <w:rFonts w:ascii="Arial;sans-serif" w:hAnsi="Arial;sans-serif"/>
                  <w:b w:val="false"/>
                  <w:color w:val="0000FF"/>
                  <w:sz w:val="20"/>
                  <w:u w:val="single"/>
                </w:rPr>
                <w:t>Section 302 Certification of Chief Executive Officer and Principal Financial Officer</w:t>
              </w:r>
            </w:hyperlink>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ats03312310-qxexx321.htm">
              <w:r>
                <w:rPr>
                  <w:rStyle w:val="InternetLink"/>
                  <w:rFonts w:ascii="Arial;sans-serif" w:hAnsi="Arial;sans-serif"/>
                  <w:b w:val="false"/>
                  <w:color w:val="0000FF"/>
                  <w:sz w:val="20"/>
                  <w:u w:val="single"/>
                </w:rPr>
                <w:t>32.1(I)</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2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sats03312310-qxexx321.htm">
              <w:r>
                <w:rPr>
                  <w:rStyle w:val="InternetLink"/>
                  <w:rFonts w:ascii="Arial;sans-serif" w:hAnsi="Arial;sans-serif"/>
                  <w:b w:val="false"/>
                  <w:color w:val="0000FF"/>
                  <w:sz w:val="20"/>
                  <w:u w:val="single"/>
                </w:rPr>
                <w:t>Section 906 Certification of Chief Executive Officer and Principal Financial Officer</w:t>
              </w:r>
            </w:hyperlink>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pressreleaseq12023-exx991.htm">
              <w:r>
                <w:rPr>
                  <w:rStyle w:val="InternetLink"/>
                  <w:rFonts w:ascii="Arial;sans-serif" w:hAnsi="Arial;sans-serif"/>
                  <w:b w:val="false"/>
                  <w:color w:val="0000FF"/>
                  <w:sz w:val="20"/>
                  <w:u w:val="single"/>
                </w:rPr>
                <w:t>99.1(I)</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pressreleaseq12023-exx991.htm">
              <w:r>
                <w:rPr>
                  <w:rStyle w:val="InternetLink"/>
                  <w:rFonts w:ascii="Arial;sans-serif" w:hAnsi="Arial;sans-serif"/>
                  <w:b w:val="false"/>
                  <w:color w:val="0000FF"/>
                  <w:sz w:val="20"/>
                  <w:u w:val="single"/>
                </w:rPr>
                <w:t>Press release dated May 8, 2023 issued by EchoStar Corporation regarding financial results for the period ended March 31, 2023.</w:t>
              </w:r>
            </w:hyperlink>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Instance Document. The instance document does not appear in the Interactive Data File because its XBRL tags are embedded within the Inline XBRL document.</w:t>
            </w:r>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2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Schema.</w:t>
            </w:r>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2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Calculation Linkbase.</w:t>
            </w:r>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2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Definition Linkbase.</w:t>
            </w:r>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2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Label Linkbase.</w:t>
            </w:r>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2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Presentation Linkbase.</w:t>
            </w:r>
          </w:p>
        </w:tc>
      </w:tr>
    </w:tbl>
    <w:p>
      <w:pPr>
        <w:pStyle w:val="TextBody"/>
        <w:spacing w:lineRule="auto" w:line="288" w:before="0" w:after="0"/>
        <w:ind w:left="0" w:right="0" w:firstLine="360"/>
        <w:jc w:val="both"/>
        <w:rPr>
          <w:color w:val="000000"/>
        </w:rPr>
      </w:pPr>
      <w:r>
        <w:rPr>
          <w:color w:val="000000"/>
        </w:rPr>
        <w:t> </w:t>
      </w:r>
    </w:p>
    <w:p>
      <w:pPr>
        <w:pStyle w:val="TextBody"/>
        <w:spacing w:lineRule="auto" w:line="288" w:before="0" w:after="0"/>
        <w:ind w:left="0" w:right="0" w:hanging="540"/>
        <w:jc w:val="both"/>
        <w:rPr>
          <w:rFonts w:ascii="Arial;sans-serif" w:hAnsi="Arial;sans-serif"/>
          <w:b w:val="false"/>
          <w:color w:val="000000"/>
          <w:sz w:val="16"/>
        </w:rPr>
      </w:pPr>
      <w:r>
        <w:rPr>
          <w:rFonts w:ascii="Arial;sans-serif" w:hAnsi="Arial;sans-serif"/>
          <w:b w:val="false"/>
          <w:color w:val="000000"/>
          <w:sz w:val="16"/>
        </w:rPr>
        <w:t>(H)    Filed herewith.</w:t>
      </w:r>
    </w:p>
    <w:p>
      <w:pPr>
        <w:pStyle w:val="TextBody"/>
        <w:spacing w:lineRule="auto" w:line="288" w:before="0" w:after="0"/>
        <w:ind w:left="0" w:right="0" w:hanging="540"/>
        <w:jc w:val="both"/>
        <w:rPr>
          <w:rFonts w:ascii="Arial;sans-serif" w:hAnsi="Arial;sans-serif"/>
          <w:b w:val="false"/>
          <w:color w:val="000000"/>
          <w:sz w:val="16"/>
        </w:rPr>
      </w:pPr>
      <w:r>
        <w:rPr>
          <w:rFonts w:ascii="Arial;sans-serif" w:hAnsi="Arial;sans-serif"/>
          <w:b w:val="false"/>
          <w:color w:val="000000"/>
          <w:sz w:val="16"/>
        </w:rPr>
        <w:t>(I)    Furnished herewith.</w:t>
      </w:r>
    </w:p>
    <w:p>
      <w:pPr>
        <w:pStyle w:val="TextBody"/>
        <w:spacing w:lineRule="auto" w:line="288" w:before="0" w:after="0"/>
        <w:ind w:left="0" w:right="0" w:hanging="540"/>
        <w:jc w:val="both"/>
        <w:rPr>
          <w:rFonts w:ascii="Arial;sans-serif" w:hAnsi="Arial;sans-serif"/>
          <w:b w:val="false"/>
          <w:color w:val="000000"/>
          <w:sz w:val="16"/>
        </w:rPr>
      </w:pPr>
      <w:r>
        <w:rPr>
          <w:rFonts w:ascii="Arial;sans-serif" w:hAnsi="Arial;sans-serif"/>
          <w:b w:val="false"/>
          <w:color w:val="000000"/>
          <w:sz w:val="16"/>
        </w:rPr>
        <w:t>*    Incorporated by reference.</w:t>
      </w:r>
    </w:p>
    <w:p>
      <w:pPr>
        <w:pStyle w:val="TextBody"/>
        <w:spacing w:lineRule="auto" w:line="288" w:before="0" w:after="0"/>
        <w:ind w:left="0" w:right="0" w:hanging="540"/>
        <w:jc w:val="both"/>
        <w:rPr>
          <w:rFonts w:ascii="Arial;sans-serif" w:hAnsi="Arial;sans-serif"/>
          <w:b w:val="false"/>
          <w:color w:val="000000"/>
          <w:sz w:val="16"/>
        </w:rPr>
      </w:pPr>
      <w:r>
        <w:rPr>
          <w:rFonts w:ascii="Arial;sans-serif" w:hAnsi="Arial;sans-serif"/>
          <w:b w:val="false"/>
          <w:color w:val="000000"/>
          <w:sz w:val="16"/>
        </w:rPr>
        <w:t>**    Constitutes a management contract or compensatory plan or arrangement.</w:t>
      </w:r>
    </w:p>
    <w:p>
      <w:pPr>
        <w:pStyle w:val="TextBody"/>
        <w:spacing w:lineRule="auto" w:line="288" w:before="0" w:after="0"/>
        <w:ind w:left="0" w:right="0" w:hanging="540"/>
        <w:jc w:val="both"/>
        <w:rPr>
          <w:rFonts w:ascii="Arial;sans-serif" w:hAnsi="Arial;sans-serif"/>
          <w:b w:val="false"/>
          <w:color w:val="000000"/>
          <w:sz w:val="16"/>
        </w:rPr>
      </w:pPr>
      <w:r>
        <w:rPr>
          <w:rFonts w:ascii="Arial;sans-serif" w:hAnsi="Arial;sans-serif"/>
          <w:b w:val="false"/>
          <w:color w:val="000000"/>
          <w:sz w:val="16"/>
        </w:rPr>
        <w:t>***    Certain portions of the exhibit have been omitted in accordance with the Securities and Exchange Commission’s rules and regulations regarding confidential treatment.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50</w:t>
                      </w:r>
                    </w:p>
                  </w:txbxContent>
                </v:textbox>
              </v:rect>
            </w:pict>
          </mc:Fallback>
        </mc:AlternateContent>
      </w:r>
    </w:p>
    <w:p>
      <w:pPr>
        <w:pStyle w:val="TextBody"/>
        <w:spacing w:lineRule="auto" w:line="288" w:before="0" w:after="0"/>
        <w:jc w:val="both"/>
        <w:rPr/>
      </w:pPr>
      <w:hyperlink w:anchor="iffcdad348b3c4a57aa352cc8de1ffc2f_802">
        <w:r>
          <w:rPr>
            <w:rStyle w:val="InternetLink"/>
            <w:rFonts w:ascii="Arial;sans-serif" w:hAnsi="Arial;sans-serif"/>
            <w:b w:val="false"/>
            <w:color w:val="0000FF"/>
            <w:sz w:val="20"/>
            <w:u w:val="single"/>
          </w:rPr>
          <w:t>Table of Contents</w:t>
        </w:r>
      </w:hyperlink>
      <w:r>
        <w:rPr>
          <w:color w:val="000000"/>
        </w:rPr>
        <w:t xml:space="preserve"> </w:t>
      </w:r>
    </w:p>
    <w:p>
      <w:pPr>
        <w:pStyle w:val="TextBody"/>
        <w:spacing w:before="0" w:after="0"/>
        <w:jc w:val="both"/>
        <w:rPr/>
      </w:pPr>
      <w:r>
        <w:rPr/>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Form 10-Q to be signed on its behalf by the undersigned thereunto duly authorized. </w:t>
      </w:r>
    </w:p>
    <w:p>
      <w:pPr>
        <w:pStyle w:val="TextBody"/>
        <w:spacing w:lineRule="auto" w:line="288" w:before="0" w:after="0"/>
        <w:jc w:val="both"/>
        <w:rPr>
          <w:color w:val="000000"/>
        </w:rPr>
      </w:pPr>
      <w:r>
        <w:rPr>
          <w:color w:val="000000"/>
        </w:rPr>
        <w:t> </w:t>
      </w:r>
    </w:p>
    <w:tbl>
      <w:tblPr>
        <w:tblW w:w="7393" w:type="dxa"/>
        <w:jc w:val="left"/>
        <w:tblInd w:w="0" w:type="dxa"/>
        <w:tblCellMar>
          <w:top w:w="28" w:type="dxa"/>
          <w:left w:w="28" w:type="dxa"/>
          <w:bottom w:w="28" w:type="dxa"/>
          <w:right w:w="28" w:type="dxa"/>
        </w:tblCellMar>
      </w:tblPr>
      <w:tblGrid>
        <w:gridCol w:w="624"/>
        <w:gridCol w:w="547"/>
        <w:gridCol w:w="553"/>
        <w:gridCol w:w="134"/>
        <w:gridCol w:w="134"/>
        <w:gridCol w:w="136"/>
        <w:gridCol w:w="1541"/>
        <w:gridCol w:w="1541"/>
        <w:gridCol w:w="2183"/>
      </w:tblGrid>
      <w:tr>
        <w:trPr/>
        <w:tc>
          <w:tcPr>
            <w:tcW w:w="62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541" w:type="dxa"/>
            <w:tcBorders/>
            <w:shd w:fill="auto" w:val="clear"/>
            <w:vAlign w:val="center"/>
          </w:tcPr>
          <w:p>
            <w:pPr>
              <w:pStyle w:val="TableContents"/>
              <w:spacing w:before="0" w:after="283"/>
              <w:rPr>
                <w:sz w:val="4"/>
                <w:szCs w:val="4"/>
              </w:rPr>
            </w:pPr>
            <w:r>
              <w:rPr>
                <w:sz w:val="4"/>
                <w:szCs w:val="4"/>
              </w:rPr>
            </w:r>
          </w:p>
        </w:tc>
        <w:tc>
          <w:tcPr>
            <w:tcW w:w="1541" w:type="dxa"/>
            <w:tcBorders/>
            <w:shd w:fill="auto" w:val="clear"/>
            <w:vAlign w:val="center"/>
          </w:tcPr>
          <w:p>
            <w:pPr>
              <w:pStyle w:val="TableContents"/>
              <w:spacing w:before="0" w:after="283"/>
              <w:rPr>
                <w:sz w:val="4"/>
                <w:szCs w:val="4"/>
              </w:rPr>
            </w:pPr>
            <w:r>
              <w:rPr>
                <w:sz w:val="4"/>
                <w:szCs w:val="4"/>
              </w:rPr>
            </w:r>
          </w:p>
        </w:tc>
        <w:tc>
          <w:tcPr>
            <w:tcW w:w="2183"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ECHOSTAR CORPORATION</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8,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/s/ </w:t>
            </w:r>
            <w:r>
              <w:rPr>
                <w:rFonts w:ascii="Arial;sans-serif" w:hAnsi="Arial;sans-serif"/>
                <w:b w:val="false"/>
                <w:i/>
                <w:color w:val="000000"/>
                <w:sz w:val="20"/>
              </w:rPr>
              <w:t>Hamid Akhavan</w:t>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Hamid Akhavan</w:t>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President</w:t>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 and Principal Financial Officer)</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8,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/s/ </w:t>
            </w:r>
            <w:r>
              <w:rPr>
                <w:rFonts w:ascii="Arial;sans-serif" w:hAnsi="Arial;sans-serif"/>
                <w:b w:val="false"/>
                <w:i/>
                <w:color w:val="000000"/>
                <w:sz w:val="20"/>
              </w:rPr>
              <w:t>Veronika Takacs</w:t>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Veronika Takacs</w:t>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Chief Accounting Officer and Controller</w:t>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10.1</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v:rect>
            </w:pict>
          </mc:Fallback>
        </mc:AlternateConten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 xml:space="preserve">Certain portions of this Exhibit have been omitted pursuant to </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Item 601(b)(10)(iv) of Regulation S-K.</w:t>
      </w:r>
    </w:p>
    <w:p>
      <w:pPr>
        <w:pStyle w:val="TextBody"/>
        <w:spacing w:before="0" w:after="0"/>
        <w:rPr/>
      </w:pPr>
      <w:r>
        <w:rPr/>
      </w:r>
    </w:p>
    <w:p>
      <w:pPr>
        <w:pStyle w:val="TextBody"/>
        <w:spacing w:before="0" w:after="0"/>
        <w:rPr/>
      </w:pPr>
      <w:r>
        <w:rPr/>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Amendment No. 3</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 xml:space="preserve">to the Contract between </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EchoStar XXIV L.L.C. and Maxar Space LLC</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for the Jupiter 3 Satellite Program</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This Amendment No. 3 (“Amendment No. 3”) to the Contract between EchoStar XXIV L.L.C. (hereinafter referred as “EchoStar” or the “Purchaser”) and Maxar Space LLC (hereinafter referred as “Maxar” or the “Contractor”), dated April 19, 2017, and that certain Amendment No. 1 made as of October 1, 2018 and that certain Amendment No. 2 made as of November 16, 2022 (collectively referred to hereinafter as the “Contract”) is made as of March 24, 2023 (the “Amendment No. 3 Effective Date”) by and between EchoStar and Maxar (collectively, the “Parties”). Capitalized terms used but not defined in this Amendment No. 3 have the meanings given to them in the Contract. </w:t>
      </w:r>
    </w:p>
    <w:p>
      <w:pPr>
        <w:pStyle w:val="TextBody"/>
        <w:spacing w:before="0" w:after="0"/>
        <w:rPr/>
      </w:pPr>
      <w:r>
        <w:rPr/>
      </w:r>
    </w:p>
    <w:p>
      <w:pPr>
        <w:pStyle w:val="TextBody"/>
        <w:spacing w:lineRule="auto" w:line="268" w:before="0" w:after="0"/>
        <w:jc w:val="both"/>
        <w:rPr/>
      </w:pPr>
      <w:r>
        <w:rPr>
          <w:rFonts w:ascii="Arial;sans-serif" w:hAnsi="Arial;sans-serif"/>
          <w:b/>
          <w:color w:val="000000"/>
          <w:sz w:val="20"/>
        </w:rPr>
        <w:t>WHEREAS</w:t>
      </w:r>
      <w:r>
        <w:rPr>
          <w:rFonts w:ascii="Arial;sans-serif" w:hAnsi="Arial;sans-serif"/>
          <w:b w:val="false"/>
          <w:color w:val="000000"/>
          <w:sz w:val="20"/>
        </w:rPr>
        <w:t>, the Parties now desire to amend the Contract as further set forth below to, among other things, modify the location and nature of the Work to be performed;</w:t>
      </w:r>
    </w:p>
    <w:p>
      <w:pPr>
        <w:pStyle w:val="TextBody"/>
        <w:spacing w:before="0" w:after="0"/>
        <w:rPr/>
      </w:pPr>
      <w:r>
        <w:rPr/>
      </w:r>
    </w:p>
    <w:p>
      <w:pPr>
        <w:pStyle w:val="TextBody"/>
        <w:spacing w:lineRule="auto" w:line="268" w:before="0" w:after="0"/>
        <w:jc w:val="both"/>
        <w:rPr/>
      </w:pPr>
      <w:r>
        <w:rPr>
          <w:rFonts w:ascii="Arial;sans-serif" w:hAnsi="Arial;sans-serif"/>
          <w:b/>
          <w:color w:val="000000"/>
          <w:sz w:val="20"/>
        </w:rPr>
        <w:t>NOW, THEREFORE</w:t>
      </w:r>
      <w:r>
        <w:rPr>
          <w:rFonts w:ascii="Arial;sans-serif" w:hAnsi="Arial;sans-serif"/>
          <w:b w:val="false"/>
          <w:color w:val="000000"/>
          <w:sz w:val="20"/>
        </w:rPr>
        <w:t>, in consideration of the promises and mutual covenants and agreements contained in this Amendment No. 3, the Parties agree to amend the Contract as follows:</w:t>
      </w:r>
    </w:p>
    <w:p>
      <w:pPr>
        <w:pStyle w:val="TextBody"/>
        <w:spacing w:before="0" w:after="0"/>
        <w:rPr/>
      </w:pPr>
      <w:r>
        <w:rPr/>
      </w:r>
    </w:p>
    <w:p>
      <w:pPr>
        <w:pStyle w:val="TextBody"/>
        <w:spacing w:lineRule="auto" w:line="268" w:before="0" w:after="0"/>
        <w:ind w:left="0" w:right="0" w:hanging="360"/>
        <w:jc w:val="both"/>
        <w:rPr/>
      </w:pPr>
      <w:r>
        <w:rPr>
          <w:rFonts w:ascii="Arial;sans-serif" w:hAnsi="Arial;sans-serif"/>
          <w:b w:val="false"/>
          <w:color w:val="000000"/>
          <w:sz w:val="20"/>
        </w:rPr>
        <w:t>1.</w:t>
      </w:r>
      <w:r>
        <w:rPr>
          <w:rFonts w:ascii="Arial;sans-serif" w:hAnsi="Arial;sans-serif"/>
          <w:b/>
          <w:color w:val="000000"/>
          <w:sz w:val="20"/>
        </w:rPr>
        <w:t>Modified Work</w:t>
      </w:r>
      <w:r>
        <w:rPr>
          <w:rFonts w:ascii="Arial;sans-serif" w:hAnsi="Arial;sans-serif"/>
          <w:b w:val="false"/>
          <w:color w:val="000000"/>
          <w:sz w:val="20"/>
        </w:rPr>
        <w:t xml:space="preserve">. (a) After the successful deployment during post-dynamics testing of ****, Contractor shall conduct **** rather than at **** the integration and associated post-integration activities, ****. (b) Contractor shall perform **** of testing of the Data Handling Subsystem (in the manner set forth in clause (c) below) ****. (c) At the ****, Contractor shall perform the testing as set forth in Exhibit D associated with **** the Data Handling Subsystem ****. The items described in clauses (a) through (c) above shall be known as the “Modified **** Work”. </w:t>
      </w:r>
    </w:p>
    <w:p>
      <w:pPr>
        <w:pStyle w:val="TextBody"/>
        <w:spacing w:before="0" w:after="0"/>
        <w:jc w:val="both"/>
        <w:rPr/>
      </w:pPr>
      <w:r>
        <w:rPr/>
      </w:r>
    </w:p>
    <w:p>
      <w:pPr>
        <w:pStyle w:val="TextBody"/>
        <w:spacing w:lineRule="auto" w:line="268" w:before="0" w:after="0"/>
        <w:ind w:left="0" w:right="0" w:hanging="360"/>
        <w:jc w:val="both"/>
        <w:rPr/>
      </w:pPr>
      <w:r>
        <w:rPr>
          <w:rFonts w:ascii="Arial;sans-serif" w:hAnsi="Arial;sans-serif"/>
          <w:b w:val="false"/>
          <w:color w:val="000000"/>
          <w:sz w:val="20"/>
        </w:rPr>
        <w:t>2.</w:t>
      </w:r>
      <w:r>
        <w:rPr>
          <w:rFonts w:ascii="Arial;sans-serif" w:hAnsi="Arial;sans-serif"/>
          <w:b/>
          <w:color w:val="000000"/>
          <w:sz w:val="20"/>
        </w:rPr>
        <w:t>Satellite Pre-Shipment Review</w:t>
      </w:r>
      <w:r>
        <w:rPr>
          <w:rFonts w:ascii="Arial;sans-serif" w:hAnsi="Arial;sans-serif"/>
          <w:b w:val="false"/>
          <w:color w:val="000000"/>
          <w:sz w:val="20"/>
        </w:rPr>
        <w:t>. The Parties hereby agree that all SPSR-related reviews, requests for waivers and deviations, and Purchaser’s concurrences and/or non-concurrences of such reviews associated with the Modified **** Work that would have occurred as part of SPSR had such Work **** prior to SPSR shall occur following SPSR at **** prior to the Satellite being Delivered. For clarity, the obligations set forth in Article 9 (Satellite Pre-Shipment Review), Section 3.8.1 of the SOW, Section 1.1.3.6 of Exhibit C, and Section 6.2 of Exhibit D are unmodified except for the **** of the occurrence of such portion of the SPSR reviews associated with the Modified **** Work. For further clarity, the SPSR Complete Date shall be the date on which Purchaser provides Contractor written notice of its concurrence with the results of the SPSR (including without limitation any waiver of its right to compel correction of those non-conformances to the requirements of Exhibit B, Satellite Performance Specification, specified by Purchaser in such notice) less the Modified **** Work and the portion of SPSR to occur at the ****, and the Satellite shall be deemed ready for shipment to ****. Notwithstanding the forgoing, SPSR shall not be considered complete until the completion of the SPSR-related reviews and Purchaser’s concurrence of such reviews associated with the Modified **** Work.</w:t>
      </w:r>
    </w:p>
    <w:p>
      <w:pPr>
        <w:pStyle w:val="TextBody"/>
        <w:spacing w:before="0" w:after="0"/>
        <w:jc w:val="both"/>
        <w:rPr/>
      </w:pPr>
      <w:r>
        <w:rPr/>
      </w:r>
    </w:p>
    <w:p>
      <w:pPr>
        <w:pStyle w:val="TextBody"/>
        <w:spacing w:lineRule="auto" w:line="268" w:before="0" w:after="0"/>
        <w:ind w:left="0" w:right="0" w:hanging="360"/>
        <w:jc w:val="both"/>
        <w:rPr/>
      </w:pPr>
      <w:r>
        <w:rPr>
          <w:rFonts w:ascii="Arial;sans-serif" w:hAnsi="Arial;sans-serif"/>
          <w:b w:val="false"/>
          <w:color w:val="000000"/>
          <w:sz w:val="20"/>
        </w:rPr>
        <w:t>3.</w:t>
      </w:r>
      <w:r>
        <w:rPr>
          <w:rFonts w:ascii="Arial;sans-serif" w:hAnsi="Arial;sans-serif"/>
          <w:b/>
          <w:color w:val="000000"/>
          <w:sz w:val="20"/>
        </w:rPr>
        <w:t>Delivery</w:t>
      </w:r>
      <w:r>
        <w:rPr>
          <w:rFonts w:ascii="Arial;sans-serif" w:hAnsi="Arial;sans-serif"/>
          <w:b w:val="false"/>
          <w:color w:val="000000"/>
          <w:sz w:val="20"/>
        </w:rPr>
        <w:t>. The second sentence of Article 11 of the Contract is hereby deleted in its entirety and replaced with the following:</w:t>
      </w:r>
    </w:p>
    <w:p>
      <w:pPr>
        <w:pStyle w:val="TextBody"/>
        <w:spacing w:before="0" w:after="0"/>
        <w:jc w:val="both"/>
        <w:rPr/>
      </w:pPr>
      <w:r>
        <w:rPr/>
      </w:r>
    </w:p>
    <w:p>
      <w:pPr>
        <w:pStyle w:val="TextBody"/>
        <w:spacing w:lineRule="auto" w:line="268" w:before="0" w:after="0"/>
        <w:ind w:left="0" w:right="0" w:firstLine="720"/>
        <w:jc w:val="both"/>
        <w:rPr>
          <w:color w:val="000000"/>
        </w:rPr>
      </w:pPr>
      <w:r>
        <w:rPr>
          <w:color w:val="000000"/>
        </w:rPr>
        <w:t>“</w:t>
      </w:r>
      <w:r>
        <w:rPr>
          <w:rFonts w:ascii="Arial;sans-serif" w:hAnsi="Arial;sans-serif"/>
          <w:b w:val="false"/>
          <w:color w:val="000000"/>
          <w:sz w:val="20"/>
        </w:rPr>
        <w:t>In the case of the Satellite, Delivery of the Satellite shall occur following the completion of all of the following: ****.”</w:t>
      </w:r>
    </w:p>
    <w:p>
      <w:pPr>
        <w:pStyle w:val="TextBody"/>
        <w:spacing w:before="0" w:after="0"/>
        <w:jc w:val="both"/>
        <w:rPr/>
      </w:pPr>
      <w:r>
        <w:rPr/>
      </w:r>
    </w:p>
    <w:p>
      <w:pPr>
        <w:pStyle w:val="TextBody"/>
        <w:spacing w:lineRule="auto" w:line="268" w:before="0" w:after="0"/>
        <w:ind w:left="0" w:right="0" w:hanging="360"/>
        <w:jc w:val="both"/>
        <w:rPr/>
      </w:pPr>
      <w:r>
        <w:rPr>
          <w:rFonts w:ascii="Arial;sans-serif" w:hAnsi="Arial;sans-serif"/>
          <w:b w:val="false"/>
          <w:color w:val="000000"/>
          <w:sz w:val="20"/>
        </w:rPr>
        <w:t>4.</w:t>
      </w:r>
      <w:r>
        <w:rPr>
          <w:rFonts w:ascii="Arial;sans-serif" w:hAnsi="Arial;sans-serif"/>
          <w:b/>
          <w:color w:val="000000"/>
          <w:sz w:val="20"/>
        </w:rPr>
        <w:t>****</w:t>
      </w:r>
      <w:r>
        <w:rPr>
          <w:rFonts w:ascii="Arial;sans-serif" w:hAnsi="Arial;sans-serif"/>
          <w:b w:val="false"/>
          <w:color w:val="000000"/>
          <w:sz w:val="20"/>
        </w:rPr>
        <w:t>. Section 14.2 of the Contract is hereby deleted in its entirety and replaced with the following:</w:t>
      </w:r>
    </w:p>
    <w:p>
      <w:pPr>
        <w:pStyle w:val="TextBody"/>
        <w:spacing w:before="0" w:after="0"/>
        <w:jc w:val="both"/>
        <w:rPr/>
      </w:pPr>
      <w:r>
        <w:rPr/>
      </w:r>
    </w:p>
    <w:p>
      <w:pPr>
        <w:pStyle w:val="TextBody"/>
        <w:spacing w:lineRule="auto" w:line="268" w:before="0" w:after="0"/>
        <w:ind w:left="0" w:right="0" w:firstLine="720"/>
        <w:jc w:val="both"/>
        <w:rPr>
          <w:color w:val="000000"/>
        </w:rPr>
      </w:pPr>
      <w:r>
        <w:rPr>
          <w:color w:val="000000"/>
        </w:rPr>
        <w:t>“</w:t>
      </w:r>
      <w:r>
        <w:rPr>
          <w:rFonts w:ascii="Arial;sans-serif" w:hAnsi="Arial;sans-serif"/>
          <w:b w:val="false"/>
          <w:color w:val="000000"/>
          <w:sz w:val="20"/>
        </w:rPr>
        <w:t>****”</w:t>
      </w:r>
    </w:p>
    <w:p>
      <w:pPr>
        <w:pStyle w:val="TextBody"/>
        <w:jc w:val="both"/>
        <w:rPr/>
      </w:pPr>
      <w:r>
        <w:rPr/>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10.1</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jc w:val="both"/>
        <w:rPr/>
      </w:pPr>
      <w:r>
        <w:rPr>
          <w:rFonts w:ascii="Arial;sans-serif" w:hAnsi="Arial;sans-serif"/>
          <w:b w:val="false"/>
          <w:color w:val="000000"/>
          <w:sz w:val="20"/>
        </w:rPr>
        <w:t>5.</w:t>
      </w:r>
      <w:r>
        <w:rPr>
          <w:rFonts w:ascii="Arial;sans-serif" w:hAnsi="Arial;sans-serif"/>
          <w:b/>
          <w:color w:val="000000"/>
          <w:sz w:val="20"/>
        </w:rPr>
        <w:t>Ground Storage</w:t>
      </w:r>
      <w:r>
        <w:rPr>
          <w:rFonts w:ascii="Arial;sans-serif" w:hAnsi="Arial;sans-serif"/>
          <w:b w:val="false"/>
          <w:color w:val="000000"/>
          <w:sz w:val="20"/>
        </w:rPr>
        <w:t>. If Purchaser directs Contractor to place the Satellite into storage following the completion of all portions of SPSR **** solely due to the unavailability of the Launch Vehicle and not for any reason caused by the Contractor, then such storage will be subject to the provisions of Article 32 (Ground Storage), including without limitation Section 32.7 ****. Any payments required to be made pursuant to Article 14.3 shall be tolled for the period the Satellite is in Ground Storage pursuant to this Section 5 of this Amendment No. 3.</w:t>
      </w:r>
    </w:p>
    <w:p>
      <w:pPr>
        <w:pStyle w:val="TextBody"/>
        <w:spacing w:before="0" w:after="0"/>
        <w:jc w:val="both"/>
        <w:rPr/>
      </w:pPr>
      <w:r>
        <w:rPr/>
      </w:r>
    </w:p>
    <w:p>
      <w:pPr>
        <w:pStyle w:val="TextBody"/>
        <w:spacing w:lineRule="auto" w:line="268" w:before="0" w:after="0"/>
        <w:ind w:left="0" w:right="0" w:hanging="360"/>
        <w:jc w:val="both"/>
        <w:rPr/>
      </w:pPr>
      <w:r>
        <w:rPr>
          <w:rFonts w:ascii="Arial;sans-serif" w:hAnsi="Arial;sans-serif"/>
          <w:b w:val="false"/>
          <w:color w:val="000000"/>
          <w:sz w:val="20"/>
        </w:rPr>
        <w:t>6.</w:t>
      </w:r>
      <w:r>
        <w:rPr>
          <w:rFonts w:ascii="Arial;sans-serif" w:hAnsi="Arial;sans-serif"/>
          <w:b/>
          <w:color w:val="000000"/>
          <w:sz w:val="20"/>
        </w:rPr>
        <w:t>Replacement Satellites and Additional Satellites</w:t>
      </w:r>
      <w:r>
        <w:rPr>
          <w:rFonts w:ascii="Arial;sans-serif" w:hAnsi="Arial;sans-serif"/>
          <w:b w:val="false"/>
          <w:color w:val="000000"/>
          <w:sz w:val="20"/>
        </w:rPr>
        <w:t>. Notwithstanding anything to the contrary in this Amendment No. 3, the amendments to the Contract as set forth in this Amendment No. 3 shall only apply to the Satellite known as Jupiter 3/EchoStar XXIV and not a Replacement Satellite or Additional Satellite procured pursuant to Article 27 (Options) of the Contract.</w:t>
      </w:r>
    </w:p>
    <w:p>
      <w:pPr>
        <w:pStyle w:val="TextBody"/>
        <w:spacing w:before="0" w:after="0"/>
        <w:jc w:val="both"/>
        <w:rPr/>
      </w:pPr>
      <w:r>
        <w:rPr/>
      </w:r>
    </w:p>
    <w:p>
      <w:pPr>
        <w:pStyle w:val="TextBody"/>
        <w:spacing w:lineRule="auto" w:line="268" w:before="0" w:after="0"/>
        <w:ind w:left="0" w:right="0" w:hanging="360"/>
        <w:jc w:val="both"/>
        <w:rPr/>
      </w:pPr>
      <w:r>
        <w:rPr>
          <w:rFonts w:ascii="Arial;sans-serif" w:hAnsi="Arial;sans-serif"/>
          <w:b w:val="false"/>
          <w:color w:val="000000"/>
          <w:sz w:val="20"/>
        </w:rPr>
        <w:t>7.</w:t>
      </w:r>
      <w:r>
        <w:rPr>
          <w:rFonts w:ascii="Arial;sans-serif" w:hAnsi="Arial;sans-serif"/>
          <w:b/>
          <w:color w:val="000000"/>
          <w:sz w:val="20"/>
        </w:rPr>
        <w:t>Exhibit D.</w:t>
      </w:r>
      <w:r>
        <w:rPr>
          <w:color w:val="000000"/>
        </w:rPr>
        <w:t xml:space="preserve"> </w:t>
      </w:r>
      <w:r>
        <w:rPr>
          <w:rFonts w:ascii="Arial;sans-serif" w:hAnsi="Arial;sans-serif"/>
          <w:b w:val="false"/>
          <w:color w:val="000000"/>
          <w:sz w:val="20"/>
        </w:rPr>
        <w:t>The Parties hereby agree that effective as of the Amendment No. 3 Effective Date, the Modified **** Work and any portion of the SPSR associated with the Modified **** Work will be considered part of the ****.</w:t>
      </w:r>
    </w:p>
    <w:p>
      <w:pPr>
        <w:pStyle w:val="TextBody"/>
        <w:spacing w:before="0" w:after="0"/>
        <w:jc w:val="both"/>
        <w:rPr/>
      </w:pPr>
      <w:r>
        <w:rPr/>
      </w:r>
    </w:p>
    <w:p>
      <w:pPr>
        <w:pStyle w:val="TextBody"/>
        <w:spacing w:lineRule="auto" w:line="268" w:before="0" w:after="0"/>
        <w:ind w:left="0" w:right="0" w:hanging="360"/>
        <w:jc w:val="both"/>
        <w:rPr/>
      </w:pPr>
      <w:r>
        <w:rPr>
          <w:rFonts w:ascii="Arial;sans-serif" w:hAnsi="Arial;sans-serif"/>
          <w:b w:val="false"/>
          <w:color w:val="000000"/>
          <w:sz w:val="20"/>
        </w:rPr>
        <w:t>8.</w:t>
      </w:r>
      <w:r>
        <w:rPr>
          <w:rFonts w:ascii="Arial;sans-serif" w:hAnsi="Arial;sans-serif"/>
          <w:b/>
          <w:color w:val="000000"/>
          <w:sz w:val="20"/>
        </w:rPr>
        <w:t>Binding Effect; Conflicts</w:t>
      </w:r>
      <w:r>
        <w:rPr>
          <w:rFonts w:ascii="Arial;sans-serif" w:hAnsi="Arial;sans-serif"/>
          <w:b w:val="false"/>
          <w:color w:val="000000"/>
          <w:sz w:val="20"/>
        </w:rPr>
        <w:t>. Except as expressly amended by this Amendment No. 3, all terms, conditions, obligations and covenants of the Contract shall remain and continue in full force and effect, without any change whatsoever, and Contractor and Purchaser hereby ratify and confirm the Contract, as amended. In the event of a conflict between this Amendment No. 3 and the Contract, this Amendment No. 3 shall prevail. This Amendment No. 3 will be binding upon, and inure to the benefits of, the heirs, personal representatives, successors and assigns of the Parties.</w:t>
      </w:r>
    </w:p>
    <w:p>
      <w:pPr>
        <w:pStyle w:val="TextBody"/>
        <w:spacing w:before="0" w:after="0"/>
        <w:jc w:val="both"/>
        <w:rPr/>
      </w:pPr>
      <w:r>
        <w:rPr/>
      </w:r>
    </w:p>
    <w:p>
      <w:pPr>
        <w:pStyle w:val="TextBody"/>
        <w:spacing w:lineRule="auto" w:line="268" w:before="0" w:after="0"/>
        <w:ind w:left="0" w:right="0" w:hanging="360"/>
        <w:jc w:val="both"/>
        <w:rPr/>
      </w:pPr>
      <w:r>
        <w:rPr>
          <w:rFonts w:ascii="Arial;sans-serif" w:hAnsi="Arial;sans-serif"/>
          <w:b w:val="false"/>
          <w:color w:val="000000"/>
          <w:sz w:val="20"/>
        </w:rPr>
        <w:t>9.</w:t>
      </w:r>
      <w:r>
        <w:rPr>
          <w:rFonts w:ascii="Arial;sans-serif" w:hAnsi="Arial;sans-serif"/>
          <w:b/>
          <w:color w:val="000000"/>
          <w:sz w:val="20"/>
        </w:rPr>
        <w:t>Counterparts</w:t>
      </w:r>
      <w:r>
        <w:rPr>
          <w:rFonts w:ascii="Arial;sans-serif" w:hAnsi="Arial;sans-serif"/>
          <w:b w:val="false"/>
          <w:color w:val="000000"/>
          <w:sz w:val="20"/>
        </w:rPr>
        <w:t>. This Amendment No. 3 may be executed in one or more counterparts, each of which, when executed, shall be deemed an original and all of which taken together will constitute one and the same instrument. Execution of this Amendment No. 3 by facsimile or electronically scanned documents shall be effective to create a binding agreement.</w:t>
      </w:r>
    </w:p>
    <w:p>
      <w:pPr>
        <w:pStyle w:val="TextBody"/>
        <w:spacing w:before="0" w:after="0"/>
        <w:rPr/>
      </w:pPr>
      <w:r>
        <w:rPr/>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IN WITNESS WHEREOF, the Parties have executed this Amendment No. 3 by their duly authorized representatives as of the Amendment No. 3 Effective Date.</w:t>
      </w:r>
    </w:p>
    <w:p>
      <w:pPr>
        <w:pStyle w:val="TextBody"/>
        <w:spacing w:before="0" w:after="0"/>
        <w:rPr/>
      </w:pPr>
      <w:r>
        <w:rPr/>
      </w:r>
    </w:p>
    <w:p>
      <w:pPr>
        <w:pStyle w:val="TextBody"/>
        <w:spacing w:before="0" w:after="0"/>
        <w:jc w:val="both"/>
        <w:rPr/>
      </w:pPr>
      <w:r>
        <w:rPr/>
      </w:r>
    </w:p>
    <w:p>
      <w:pPr>
        <w:pStyle w:val="TextBody"/>
        <w:spacing w:before="0" w:after="0"/>
        <w:rPr/>
      </w:pPr>
      <w:r>
        <w:rPr/>
      </w:r>
    </w:p>
    <w:tbl>
      <w:tblPr>
        <w:tblW w:w="3012" w:type="dxa"/>
        <w:jc w:val="left"/>
        <w:tblInd w:w="0" w:type="dxa"/>
        <w:tblCellMar>
          <w:top w:w="28" w:type="dxa"/>
          <w:left w:w="28" w:type="dxa"/>
          <w:bottom w:w="28" w:type="dxa"/>
          <w:right w:w="28" w:type="dxa"/>
        </w:tblCellMar>
      </w:tblPr>
      <w:tblGrid>
        <w:gridCol w:w="151"/>
        <w:gridCol w:w="134"/>
        <w:gridCol w:w="135"/>
        <w:gridCol w:w="739"/>
        <w:gridCol w:w="739"/>
        <w:gridCol w:w="742"/>
        <w:gridCol w:w="109"/>
        <w:gridCol w:w="109"/>
        <w:gridCol w:w="154"/>
      </w:tblGrid>
      <w:tr>
        <w:trPr/>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Arial;sans-serif" w:hAnsi="Arial;sans-serif"/>
                <w:b/>
                <w:color w:val="000000"/>
                <w:sz w:val="20"/>
              </w:rPr>
            </w:pPr>
            <w:r>
              <w:rPr>
                <w:rFonts w:ascii="Arial;sans-serif" w:hAnsi="Arial;sans-serif"/>
                <w:b/>
                <w:color w:val="000000"/>
                <w:sz w:val="20"/>
              </w:rPr>
              <w:t>Maxar Space LLC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i/>
                <w:color w:val="000000"/>
                <w:sz w:val="20"/>
              </w:rPr>
              <w:t>/ s /</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Arial;sans-serif" w:hAnsi="Arial;sans-serif"/>
                <w:b/>
                <w:color w:val="000000"/>
                <w:sz w:val="20"/>
              </w:rPr>
            </w:pPr>
            <w:r>
              <w:rPr>
                <w:rFonts w:ascii="Arial;sans-serif" w:hAnsi="Arial;sans-serif"/>
                <w:b/>
                <w:color w:val="000000"/>
                <w:sz w:val="20"/>
              </w:rPr>
              <w:t>EchoStar XXIV L.L.C.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i/>
                <w:color w:val="000000"/>
                <w:sz w:val="20"/>
              </w:rPr>
              <w:t xml:space="preserve">/ s / </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Dean Manson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Legal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spacing w:lineRule="auto" w:line="288" w:before="0" w:after="0"/>
        <w:jc w:val="both"/>
        <w:rPr>
          <w:color w:val="000000"/>
        </w:rPr>
      </w:pPr>
      <w:r>
        <w:rPr>
          <w:color w:val="000000"/>
        </w:rPr>
        <w:t>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OF CHIEF EXECUTIVE OFFICER AND PRINCIPAL FINANCIAL OFFICER</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302 Certification</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 Hamid Akhavan, certify that:</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EchoStar Corporation;</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spacing w:lineRule="auto" w:line="288" w:before="0" w:after="0"/>
        <w:ind w:left="0" w:right="0" w:hanging="360"/>
        <w:jc w:val="both"/>
        <w:rPr>
          <w:color w:val="000000"/>
        </w:rPr>
      </w:pPr>
      <w:r>
        <w:rPr>
          <w:color w:val="000000"/>
        </w:rPr>
        <w:t> </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ind w:left="0" w:right="0" w:hanging="360"/>
        <w:jc w:val="both"/>
        <w:rPr>
          <w:color w:val="000000"/>
        </w:rPr>
      </w:pPr>
      <w:r>
        <w:rPr>
          <w:color w:val="000000"/>
        </w:rPr>
        <w:t> </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spacing w:lineRule="auto" w:line="288" w:before="0" w:after="0"/>
        <w:ind w:left="0" w:right="0" w:hanging="360"/>
        <w:jc w:val="both"/>
        <w:rPr>
          <w:color w:val="000000"/>
        </w:rPr>
      </w:pPr>
      <w:r>
        <w:rPr>
          <w:color w:val="000000"/>
        </w:rPr>
        <w:t> </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ind w:left="0" w:right="0" w:hanging="360"/>
        <w:jc w:val="both"/>
        <w:rPr>
          <w:color w:val="000000"/>
        </w:rPr>
      </w:pPr>
      <w:r>
        <w:rPr>
          <w:color w:val="000000"/>
        </w:rPr>
        <w:t> </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 </w:t>
      </w:r>
    </w:p>
    <w:tbl>
      <w:tblPr>
        <w:tblW w:w="6596" w:type="dxa"/>
        <w:jc w:val="left"/>
        <w:tblInd w:w="0" w:type="dxa"/>
        <w:tblCellMar>
          <w:top w:w="28" w:type="dxa"/>
          <w:left w:w="28" w:type="dxa"/>
          <w:bottom w:w="28" w:type="dxa"/>
          <w:right w:w="28" w:type="dxa"/>
        </w:tblCellMar>
      </w:tblPr>
      <w:tblGrid>
        <w:gridCol w:w="363"/>
        <w:gridCol w:w="320"/>
        <w:gridCol w:w="322"/>
        <w:gridCol w:w="1738"/>
        <w:gridCol w:w="1738"/>
        <w:gridCol w:w="1743"/>
        <w:gridCol w:w="109"/>
        <w:gridCol w:w="109"/>
        <w:gridCol w:w="154"/>
      </w:tblGrid>
      <w:tr>
        <w:trPr/>
        <w:tc>
          <w:tcPr>
            <w:tcW w:w="36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1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2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8,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firstLine="585"/>
              <w:jc w:val="left"/>
              <w:rPr>
                <w:rFonts w:ascii="Arial;sans-serif" w:hAnsi="Arial;sans-serif"/>
                <w:b w:val="false"/>
                <w:color w:val="000000"/>
                <w:sz w:val="20"/>
              </w:rPr>
            </w:pPr>
            <w:r>
              <w:rPr>
                <w:rFonts w:ascii="Arial;sans-serif" w:hAnsi="Arial;sans-serif"/>
                <w:b w:val="false"/>
                <w:color w:val="000000"/>
                <w:sz w:val="20"/>
              </w:rPr>
              <w:t>By:</w:t>
            </w:r>
          </w:p>
        </w:tc>
        <w:tc>
          <w:tcPr>
            <w:tcW w:w="5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Hamid Akhavan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2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Hamid Akhavan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President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 and 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spacing w:lineRule="auto" w:line="288" w:before="0" w:after="0"/>
        <w:jc w:val="both"/>
        <w:rPr>
          <w:color w:val="000000"/>
        </w:rPr>
      </w:pPr>
      <w:r>
        <w:rPr>
          <w:color w:val="000000"/>
        </w:rPr>
        <w:t> </w:t>
      </w:r>
    </w:p>
    <w:p>
      <w:pPr>
        <w:pStyle w:val="TextBody"/>
        <w:spacing w:lineRule="auto" w:line="288" w:before="0" w:after="0"/>
        <w:jc w:val="center"/>
        <w:rPr/>
      </w:pPr>
      <w:r>
        <w:rPr>
          <w:rFonts w:ascii="Arial;sans-serif" w:hAnsi="Arial;sans-serif"/>
          <w:b/>
          <w:color w:val="000000"/>
          <w:sz w:val="20"/>
        </w:rPr>
        <w:t>CERTIFICATION OF</w:t>
      </w:r>
      <w:r>
        <w:rPr>
          <w:color w:val="000000"/>
        </w:rPr>
        <w:t xml:space="preserve"> </w:t>
      </w:r>
      <w:r>
        <w:rPr>
          <w:rFonts w:ascii="Arial;sans-serif" w:hAnsi="Arial;sans-serif"/>
          <w:b/>
          <w:color w:val="000000"/>
          <w:sz w:val="20"/>
        </w:rPr>
        <w:t>CHIEF EXECUTIVE OFFICER AND PRINCIPAL FINANCIAL OFFICER</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906 Certifications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for the quarter ended March 31, 2023 on Form 10-Q (the “Report”), of EchoStar Corporation (the “Company”) as filed with the Securities and Exchange Commission on the date hereof, I, Hamid Akhavan, Chief Executive Officer and Principal Financial Officer of the Company, certify, pursuant to 18 U.S.C. Section 1350, as adopted pursuant to section 906 of the Sarbanes-Oxley Act of 2002, that to the best of my knowledge:</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(i)    the Report fully complies with the requirements of Section 13(a) or Section 15(d), as applicable, of the Securities Exchange Act of 1934; and</w:t>
      </w:r>
    </w:p>
    <w:p>
      <w:pPr>
        <w:pStyle w:val="TextBody"/>
        <w:spacing w:lineRule="auto" w:line="288" w:before="0" w:after="0"/>
        <w:ind w:left="0" w:right="0" w:hanging="360"/>
        <w:jc w:val="both"/>
        <w:rPr>
          <w:color w:val="000000"/>
        </w:rPr>
      </w:pPr>
      <w:r>
        <w:rPr>
          <w:color w:val="000000"/>
        </w:rPr>
        <w:t> </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spacing w:lineRule="auto" w:line="288" w:before="0" w:after="0"/>
        <w:jc w:val="both"/>
        <w:rPr>
          <w:color w:val="000000"/>
        </w:rPr>
      </w:pPr>
      <w:r>
        <w:rPr>
          <w:color w:val="000000"/>
        </w:rPr>
        <w:t> </w:t>
      </w:r>
    </w:p>
    <w:tbl>
      <w:tblPr>
        <w:tblW w:w="6472" w:type="dxa"/>
        <w:jc w:val="left"/>
        <w:tblInd w:w="0" w:type="dxa"/>
        <w:tblCellMar>
          <w:top w:w="28" w:type="dxa"/>
          <w:left w:w="28" w:type="dxa"/>
          <w:bottom w:w="28" w:type="dxa"/>
          <w:right w:w="28" w:type="dxa"/>
        </w:tblCellMar>
      </w:tblPr>
      <w:tblGrid>
        <w:gridCol w:w="319"/>
        <w:gridCol w:w="281"/>
        <w:gridCol w:w="281"/>
        <w:gridCol w:w="1738"/>
        <w:gridCol w:w="1738"/>
        <w:gridCol w:w="1743"/>
        <w:gridCol w:w="109"/>
        <w:gridCol w:w="109"/>
        <w:gridCol w:w="154"/>
      </w:tblGrid>
      <w:tr>
        <w:trPr/>
        <w:tc>
          <w:tcPr>
            <w:tcW w:w="31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1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0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8, 2023</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Hamid Akhavan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2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Hamid Akhavan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President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 and 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foregoing certification is being furnished solely pursuant to 18 U.S.C. Section 1350 and is not being filed as part of the Annual Report or as a separate disclosure document.</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45"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99.1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EchoStar Announces Financial Results for the Three Months Ended March 31, 2023 </w:t>
      </w:r>
    </w:p>
    <w:p>
      <w:pPr>
        <w:pStyle w:val="TextBody"/>
        <w:spacing w:before="0" w:after="0"/>
        <w:rPr/>
      </w:pPr>
      <w:r>
        <w:rPr/>
      </w:r>
    </w:p>
    <w:p>
      <w:pPr>
        <w:pStyle w:val="TextBody"/>
        <w:spacing w:lineRule="auto" w:line="288" w:before="0" w:after="0"/>
        <w:jc w:val="both"/>
        <w:rPr/>
      </w:pPr>
      <w:r>
        <w:rPr>
          <w:rFonts w:ascii="Arial;sans-serif" w:hAnsi="Arial;sans-serif"/>
          <w:b/>
          <w:color w:val="000000"/>
          <w:sz w:val="20"/>
        </w:rPr>
        <w:t>Englewood, CO, May 8, 2023—</w:t>
      </w:r>
      <w:r>
        <w:rPr>
          <w:rFonts w:ascii="Arial;sans-serif" w:hAnsi="Arial;sans-serif"/>
          <w:b w:val="false"/>
          <w:color w:val="000000"/>
          <w:sz w:val="20"/>
        </w:rPr>
        <w:t>EchoStar Corporation (Nasdaq: SATS) announced its financial results for the three months ended March 31, 2023.</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Three Months Ended March 31, 2023 Financial Highlights:</w:t>
      </w:r>
    </w:p>
    <w:p>
      <w:pPr>
        <w:pStyle w:val="TextBody"/>
        <w:spacing w:before="0" w:after="0"/>
        <w:jc w:val="both"/>
        <w:rPr/>
      </w:pPr>
      <w:r>
        <w:rPr/>
      </w:r>
    </w:p>
    <w:p>
      <w:pPr>
        <w:pStyle w:val="TextBody"/>
        <w:spacing w:lineRule="auto" w:line="288" w:before="0" w:after="140"/>
        <w:ind w:left="0" w:right="0" w:hanging="360"/>
        <w:jc w:val="both"/>
        <w:rPr/>
      </w:pPr>
      <w:r>
        <w:rPr>
          <w:color w:val="000000"/>
          <w:highlight w:val="white"/>
        </w:rPr>
        <w:t>•</w:t>
      </w:r>
      <w:r>
        <w:rPr>
          <w:rFonts w:ascii="Arial;sans-serif" w:hAnsi="Arial;sans-serif"/>
          <w:b w:val="false"/>
          <w:color w:val="000000"/>
          <w:sz w:val="20"/>
          <w:highlight w:val="white"/>
        </w:rPr>
        <w:t>Consolidated revenue of $439.6 million.</w:t>
      </w:r>
    </w:p>
    <w:p>
      <w:pPr>
        <w:pStyle w:val="TextBody"/>
        <w:spacing w:lineRule="auto" w:line="288" w:before="0" w:after="140"/>
        <w:ind w:left="0" w:right="0" w:hanging="360"/>
        <w:jc w:val="both"/>
        <w:rPr/>
      </w:pPr>
      <w:r>
        <w:rPr>
          <w:color w:val="000000"/>
          <w:highlight w:val="white"/>
        </w:rPr>
        <w:t>•</w:t>
      </w:r>
      <w:r>
        <w:rPr>
          <w:rFonts w:ascii="Arial;sans-serif" w:hAnsi="Arial;sans-serif"/>
          <w:b w:val="false"/>
          <w:color w:val="000000"/>
          <w:sz w:val="20"/>
          <w:highlight w:val="white"/>
        </w:rPr>
        <w:t>Net income of $27.8 million, consolidated net income attributable to EchoStar common stock of $29.0 million, and basic and diluted earnings per share of common stock of $0.35.</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Consolidated Adjusted EBITDA of $135.0 million (see discussion and the reconciliation of GAAP to this non-GAAP measure below).</w:t>
      </w:r>
    </w:p>
    <w:p>
      <w:pPr>
        <w:pStyle w:val="TextBody"/>
        <w:spacing w:before="0" w:after="0"/>
        <w:jc w:val="both"/>
        <w:rPr/>
      </w:pPr>
      <w:r>
        <w:rPr/>
      </w:r>
    </w:p>
    <w:p>
      <w:pPr>
        <w:pStyle w:val="TextBody"/>
        <w:spacing w:lineRule="auto" w:line="268" w:before="0" w:after="0"/>
        <w:jc w:val="both"/>
        <w:rPr>
          <w:color w:val="000000"/>
        </w:rPr>
      </w:pPr>
      <w:r>
        <w:rPr>
          <w:color w:val="000000"/>
        </w:rPr>
        <w:t>“</w:t>
      </w:r>
      <w:r>
        <w:rPr>
          <w:rFonts w:ascii="Arial;sans-serif" w:hAnsi="Arial;sans-serif"/>
          <w:b w:val="false"/>
          <w:color w:val="000000"/>
          <w:sz w:val="20"/>
        </w:rPr>
        <w:t>In the first quarter of 2023, the EchoStar team performed as planned, with a focus on optimizing our existing assets and market opportunities efficiently,” said Hamid Akhavan, CEO and President of EchoStar. “The business continues to pursue new avenues of growth, laying the operational foundation to drive increased revenues once our upcoming EchoStar XXIV/JUPITER 3 satellite enters into service and taking tangible steps toward fulfilling our vision of a global 5G network in the S-band.”</w:t>
      </w:r>
    </w:p>
    <w:p>
      <w:pPr>
        <w:pStyle w:val="TextBody"/>
        <w:spacing w:before="0" w:after="0"/>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Three Months Ended March 31, 2023 - Additional Information:</w:t>
      </w:r>
    </w:p>
    <w:p>
      <w:pPr>
        <w:pStyle w:val="TextBody"/>
        <w:spacing w:before="0" w:after="0"/>
        <w:jc w:val="both"/>
        <w:rPr/>
      </w:pPr>
      <w:r>
        <w:rPr/>
      </w:r>
    </w:p>
    <w:p>
      <w:pPr>
        <w:pStyle w:val="TextBody"/>
        <w:spacing w:lineRule="auto" w:line="288" w:before="0" w:after="140"/>
        <w:ind w:left="0" w:right="0" w:hanging="360"/>
        <w:jc w:val="both"/>
        <w:rPr/>
      </w:pPr>
      <w:r>
        <w:rPr>
          <w:color w:val="000000"/>
        </w:rPr>
        <w:t>•</w:t>
      </w:r>
      <w:r>
        <w:rPr>
          <w:rFonts w:ascii="Arial;sans-serif" w:hAnsi="Arial;sans-serif"/>
          <w:b w:val="false"/>
          <w:color w:val="000000"/>
          <w:sz w:val="20"/>
        </w:rPr>
        <w:t>Consolidated revenue decreased 12.3% or $61.9 million year over year. The decrease was driven by lower service revenues of $41.3 million partially due to fewer broadband customers. Equipment sales decreased $20.7 million, primarily due to lower sales to both domestic and international enterprise customers.</w:t>
      </w:r>
    </w:p>
    <w:p>
      <w:pPr>
        <w:pStyle w:val="TextBody"/>
        <w:spacing w:lineRule="auto" w:line="288" w:before="0" w:after="140"/>
        <w:ind w:left="0" w:right="0" w:hanging="360"/>
        <w:jc w:val="both"/>
        <w:rPr/>
      </w:pPr>
      <w:r>
        <w:rPr>
          <w:color w:val="000000"/>
        </w:rPr>
        <w:t>•</w:t>
      </w:r>
      <w:r>
        <w:rPr>
          <w:rFonts w:ascii="Arial;sans-serif" w:hAnsi="Arial;sans-serif"/>
          <w:b w:val="false"/>
          <w:color w:val="000000"/>
          <w:sz w:val="20"/>
        </w:rPr>
        <w:t>Net income decreased $61.1 million year over year. The decrease was due to lower operating income of $16.8 million and an unfavorable change in investments of $87.8 million due to $80.7 million of gains that occurred in 2022. These items were partially offset by a favorable change in interest income of $22.2 million and lower net income tax expense of $21.3 million.</w:t>
      </w:r>
    </w:p>
    <w:p>
      <w:pPr>
        <w:pStyle w:val="TextBody"/>
        <w:spacing w:lineRule="auto" w:line="288" w:before="0" w:after="140"/>
        <w:ind w:left="0" w:right="0" w:hanging="360"/>
        <w:jc w:val="both"/>
        <w:rPr/>
      </w:pPr>
      <w:r>
        <w:rPr>
          <w:color w:val="000000"/>
        </w:rPr>
        <w:t>•</w:t>
      </w:r>
      <w:r>
        <w:rPr>
          <w:rFonts w:ascii="Arial;sans-serif" w:hAnsi="Arial;sans-serif"/>
          <w:b w:val="false"/>
          <w:color w:val="000000"/>
          <w:sz w:val="20"/>
        </w:rPr>
        <w:t>Adjusted EBITDA decreased 18.6% or $30.9 million year over year.</w:t>
      </w:r>
    </w:p>
    <w:p>
      <w:pPr>
        <w:pStyle w:val="TextBody"/>
        <w:spacing w:lineRule="auto" w:line="288" w:before="0" w:after="140"/>
        <w:ind w:left="0" w:right="0" w:hanging="360"/>
        <w:jc w:val="both"/>
        <w:rPr/>
      </w:pPr>
      <w:r>
        <w:rPr>
          <w:color w:val="000000"/>
          <w:highlight w:val="white"/>
        </w:rPr>
        <w:t>◦</w:t>
      </w:r>
      <w:r>
        <w:rPr>
          <w:rFonts w:ascii="Arial;sans-serif" w:hAnsi="Arial;sans-serif"/>
          <w:b w:val="false"/>
          <w:color w:val="000000"/>
          <w:sz w:val="20"/>
          <w:highlight w:val="white"/>
        </w:rPr>
        <w:t>Hughes segment Adjusted EBITDA decreased $30.1 million year over year. The decrease was driven primarily by lower service and equipment revenue, partially offset by lower sales and marketing expense for our broadband consumer business.</w:t>
      </w:r>
    </w:p>
    <w:p>
      <w:pPr>
        <w:pStyle w:val="TextBody"/>
        <w:spacing w:lineRule="auto" w:line="288" w:before="0" w:after="140"/>
        <w:ind w:left="0" w:right="0" w:hanging="360"/>
        <w:jc w:val="both"/>
        <w:rPr/>
      </w:pPr>
      <w:r>
        <w:rPr>
          <w:color w:val="000000"/>
        </w:rPr>
        <w:t>◦</w:t>
      </w:r>
      <w:r>
        <w:rPr>
          <w:rFonts w:ascii="Arial;sans-serif" w:hAnsi="Arial;sans-serif"/>
          <w:b w:val="false"/>
          <w:color w:val="000000"/>
          <w:sz w:val="20"/>
        </w:rPr>
        <w:t>ESS segment Adjusted EBITDA increased $2.0 million year over year primarily due to higher revenue.</w:t>
      </w:r>
    </w:p>
    <w:p>
      <w:pPr>
        <w:pStyle w:val="TextBody"/>
        <w:spacing w:lineRule="auto" w:line="288" w:before="0" w:after="140"/>
        <w:ind w:left="0" w:right="0" w:hanging="360"/>
        <w:jc w:val="both"/>
        <w:rPr/>
      </w:pPr>
      <w:r>
        <w:rPr>
          <w:color w:val="000000"/>
        </w:rPr>
        <w:t>◦</w:t>
      </w:r>
      <w:r>
        <w:rPr>
          <w:rFonts w:ascii="Arial;sans-serif" w:hAnsi="Arial;sans-serif"/>
          <w:b w:val="false"/>
          <w:color w:val="000000"/>
          <w:sz w:val="20"/>
        </w:rPr>
        <w:t>Corporate and Other segment Adjusted EBITDA decreased $2.7 million year over year. The decrease was primarily due to higher corporate expenses, partially offset by higher earnings of unconsolidated affiliates, net, of $0.4 million.</w:t>
      </w:r>
    </w:p>
    <w:p>
      <w:pPr>
        <w:pStyle w:val="TextBody"/>
        <w:spacing w:lineRule="auto" w:line="288" w:before="0" w:after="140"/>
        <w:ind w:left="0" w:right="0" w:hanging="360"/>
        <w:jc w:val="both"/>
        <w:rPr/>
      </w:pPr>
      <w:r>
        <w:rPr>
          <w:color w:val="000000"/>
        </w:rPr>
        <w:t>•</w:t>
      </w:r>
      <w:r>
        <w:rPr>
          <w:rFonts w:ascii="Arial;sans-serif" w:hAnsi="Arial;sans-serif"/>
          <w:b w:val="false"/>
          <w:color w:val="000000"/>
          <w:sz w:val="20"/>
        </w:rPr>
        <w:t>Hughes broadband subscribers totaled approximately 1,177,000, declining 51,000 from December 31, 2022. Our current capacity limitations, increasing bandwidth usage by approximately 15% year on year on average by our existing U.S subscribers, and competitive pressures are impacting our consumer subscriber levels. In Latin America, subscriber levels were tempered by our focus on more profitable consumer segments and by our allocation of capacity to enterprise opportunities.</w:t>
      </w:r>
    </w:p>
    <w:p>
      <w:pPr>
        <w:pStyle w:val="TextBody"/>
        <w:spacing w:lineRule="auto" w:line="288" w:before="0" w:after="0"/>
        <w:ind w:left="0" w:right="0" w:hanging="360"/>
        <w:rPr/>
      </w:pPr>
      <w:r>
        <w:rPr>
          <w:color w:val="000000"/>
        </w:rPr>
        <w:t>•</w:t>
      </w:r>
      <w:r>
        <w:rPr>
          <w:rFonts w:ascii="Arial;sans-serif" w:hAnsi="Arial;sans-serif"/>
          <w:b w:val="false"/>
          <w:color w:val="000000"/>
          <w:sz w:val="20"/>
        </w:rPr>
        <w:t>For the three months ended March 31, 2023, approximately 37% of Hughes segment revenue was attributable to our enterprise customers, increasing from 36% in the same period last year.</w:t>
      </w:r>
    </w:p>
    <w:p>
      <w:pPr>
        <w:pStyle w:val="TextBody"/>
        <w:spacing w:before="0" w:after="0"/>
        <w:rPr/>
      </w:pPr>
      <w:r>
        <w:rPr/>
      </w:r>
    </w:p>
    <w:p>
      <w:pPr>
        <w:pStyle w:val="TextBody"/>
        <w:spacing w:lineRule="auto" w:line="288" w:before="0" w:after="140"/>
        <w:ind w:left="0" w:right="0" w:hanging="360"/>
        <w:jc w:val="both"/>
        <w:rPr/>
      </w:pPr>
      <w:r>
        <w:rPr>
          <w:color w:val="000000"/>
        </w:rPr>
        <w:t>•</w:t>
      </w:r>
      <w:r>
        <w:rPr>
          <w:rFonts w:ascii="Arial;sans-serif" w:hAnsi="Arial;sans-serif"/>
          <w:b w:val="false"/>
          <w:color w:val="000000"/>
          <w:sz w:val="20"/>
        </w:rPr>
        <w:t>Cash, cash equivalents and current marketable investment securities were $1.7 billion as of March 31, 2023.</w:t>
      </w:r>
    </w:p>
    <w:p>
      <w:pPr>
        <w:pStyle w:val="TextBody"/>
        <w:spacing w:lineRule="auto" w:line="288" w:before="0" w:after="140"/>
        <w:ind w:left="0" w:right="0" w:hanging="360"/>
        <w:jc w:val="both"/>
        <w:rPr/>
      </w:pPr>
      <w:r>
        <w:rPr>
          <w:color w:val="000000"/>
        </w:rPr>
        <w:t>•</w:t>
      </w:r>
      <w:r>
        <w:rPr>
          <w:rFonts w:ascii="Arial;sans-serif" w:hAnsi="Arial;sans-serif"/>
          <w:b w:val="false"/>
          <w:color w:val="000000"/>
          <w:sz w:val="20"/>
        </w:rPr>
        <w:t>The JUPITER 3/EchoStar XXIV satellite is currently expected to be shipped to the launch site in June and subsequently launched at the first window that SpaceX can allocate to it, which is subject to preemption by certain higher-priority government launches.</w:t>
      </w:r>
      <w:r>
        <w:br w:type="page"/>
      </w: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140"/>
        <w:jc w:val="both"/>
        <w:rPr>
          <w:rFonts w:ascii="Arial;sans-serif" w:hAnsi="Arial;sans-serif"/>
          <w:b w:val="false"/>
          <w:color w:val="000000"/>
          <w:sz w:val="20"/>
        </w:rPr>
      </w:pPr>
      <w:r>
        <w:rPr>
          <w:rFonts w:ascii="Arial;sans-serif" w:hAnsi="Arial;sans-serif"/>
          <w:b w:val="false"/>
          <w:color w:val="000000"/>
          <w:sz w:val="20"/>
        </w:rPr>
        <w:t>Set forth below is a table highlighting certain of EchoStar’s segment results for the three months ended March 31, 2023 and 2022 (amounts in thousands) (all US GAAP amounts reference results from operations):</w:t>
      </w:r>
    </w:p>
    <w:tbl>
      <w:tblPr>
        <w:tblW w:w="10205" w:type="dxa"/>
        <w:jc w:val="left"/>
        <w:tblInd w:w="0" w:type="dxa"/>
        <w:tblCellMar>
          <w:top w:w="28" w:type="dxa"/>
          <w:left w:w="28" w:type="dxa"/>
          <w:bottom w:w="28" w:type="dxa"/>
          <w:right w:w="28" w:type="dxa"/>
        </w:tblCellMar>
      </w:tblPr>
      <w:tblGrid>
        <w:gridCol w:w="2326"/>
        <w:gridCol w:w="1985"/>
        <w:gridCol w:w="2012"/>
        <w:gridCol w:w="109"/>
        <w:gridCol w:w="109"/>
        <w:gridCol w:w="109"/>
        <w:gridCol w:w="274"/>
        <w:gridCol w:w="1117"/>
        <w:gridCol w:w="141"/>
        <w:gridCol w:w="141"/>
        <w:gridCol w:w="141"/>
        <w:gridCol w:w="141"/>
        <w:gridCol w:w="274"/>
        <w:gridCol w:w="1117"/>
        <w:gridCol w:w="209"/>
      </w:tblGrid>
      <w:tr>
        <w:trPr/>
        <w:tc>
          <w:tcPr>
            <w:tcW w:w="2326" w:type="dxa"/>
            <w:tcBorders/>
            <w:shd w:fill="auto" w:val="clear"/>
            <w:vAlign w:val="center"/>
          </w:tcPr>
          <w:p>
            <w:pPr>
              <w:pStyle w:val="TableContents"/>
              <w:spacing w:before="0" w:after="283"/>
              <w:rPr>
                <w:sz w:val="4"/>
                <w:szCs w:val="4"/>
              </w:rPr>
            </w:pPr>
            <w:r>
              <w:rPr>
                <w:sz w:val="4"/>
                <w:szCs w:val="4"/>
              </w:rPr>
            </w:r>
          </w:p>
        </w:tc>
        <w:tc>
          <w:tcPr>
            <w:tcW w:w="1985" w:type="dxa"/>
            <w:tcBorders/>
            <w:shd w:fill="auto" w:val="clear"/>
            <w:vAlign w:val="center"/>
          </w:tcPr>
          <w:p>
            <w:pPr>
              <w:pStyle w:val="TableContents"/>
              <w:spacing w:before="0" w:after="283"/>
              <w:rPr>
                <w:sz w:val="4"/>
                <w:szCs w:val="4"/>
              </w:rPr>
            </w:pPr>
            <w:r>
              <w:rPr>
                <w:sz w:val="4"/>
                <w:szCs w:val="4"/>
              </w:rPr>
            </w:r>
          </w:p>
        </w:tc>
        <w:tc>
          <w:tcPr>
            <w:tcW w:w="2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431,195 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494,106 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EchoStar Satellite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5,997 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4,474 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Corporate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2,954 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439,597 </w:t>
            </w:r>
          </w:p>
        </w:tc>
        <w:tc>
          <w:tcPr>
            <w:tcW w:w="1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501,534 </w:t>
            </w:r>
          </w:p>
        </w:tc>
        <w:tc>
          <w:tcPr>
            <w:tcW w:w="2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27,820 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88,945 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154,164 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184,287 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EchoStar Satellite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4,655 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Corporate &amp;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(23,832)</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(21,089)</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Total Adjusted EBITDA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134,987 </w:t>
            </w:r>
          </w:p>
        </w:tc>
        <w:tc>
          <w:tcPr>
            <w:tcW w:w="1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165,889 </w:t>
            </w:r>
          </w:p>
        </w:tc>
        <w:tc>
          <w:tcPr>
            <w:tcW w:w="2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color w:val="000000"/>
                <w:sz w:val="20"/>
              </w:rPr>
            </w:pPr>
            <w:r>
              <w:rPr>
                <w:rFonts w:ascii="Arial;sans-serif" w:hAnsi="Arial;sans-serif"/>
                <w:b/>
                <w:color w:val="000000"/>
                <w:sz w:val="20"/>
              </w:rPr>
              <w:t>Expenditures for property and equipment, net of refunds and other receipts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44,071 </w:t>
            </w:r>
          </w:p>
        </w:tc>
        <w:tc>
          <w:tcPr>
            <w:tcW w:w="141"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112,138 </w:t>
            </w:r>
          </w:p>
        </w:tc>
        <w:tc>
          <w:tcPr>
            <w:tcW w:w="209"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Reconciliation of GAAP to Non-GAAP Measurement (amounts in thousands):</w:t>
      </w:r>
    </w:p>
    <w:tbl>
      <w:tblPr>
        <w:tblW w:w="9175" w:type="dxa"/>
        <w:jc w:val="center"/>
        <w:tblInd w:w="0" w:type="dxa"/>
        <w:tblCellMar>
          <w:top w:w="28" w:type="dxa"/>
          <w:left w:w="28" w:type="dxa"/>
          <w:bottom w:w="28" w:type="dxa"/>
          <w:right w:w="28" w:type="dxa"/>
        </w:tblCellMar>
      </w:tblPr>
      <w:tblGrid>
        <w:gridCol w:w="1868"/>
        <w:gridCol w:w="1643"/>
        <w:gridCol w:w="1649"/>
        <w:gridCol w:w="109"/>
        <w:gridCol w:w="109"/>
        <w:gridCol w:w="109"/>
        <w:gridCol w:w="309"/>
        <w:gridCol w:w="1102"/>
        <w:gridCol w:w="160"/>
        <w:gridCol w:w="160"/>
        <w:gridCol w:w="160"/>
        <w:gridCol w:w="160"/>
        <w:gridCol w:w="309"/>
        <w:gridCol w:w="1102"/>
        <w:gridCol w:w="226"/>
      </w:tblGrid>
      <w:tr>
        <w:trPr/>
        <w:tc>
          <w:tcPr>
            <w:tcW w:w="1868" w:type="dxa"/>
            <w:tcBorders/>
            <w:shd w:fill="auto" w:val="clear"/>
            <w:vAlign w:val="center"/>
          </w:tcPr>
          <w:p>
            <w:pPr>
              <w:pStyle w:val="TableContents"/>
              <w:spacing w:before="0" w:after="283"/>
              <w:rPr>
                <w:sz w:val="4"/>
                <w:szCs w:val="4"/>
              </w:rPr>
            </w:pPr>
            <w:r>
              <w:rPr>
                <w:sz w:val="4"/>
                <w:szCs w:val="4"/>
              </w:rPr>
            </w:r>
          </w:p>
        </w:tc>
        <w:tc>
          <w:tcPr>
            <w:tcW w:w="1643" w:type="dxa"/>
            <w:tcBorders/>
            <w:shd w:fill="auto" w:val="clear"/>
            <w:vAlign w:val="center"/>
          </w:tcPr>
          <w:p>
            <w:pPr>
              <w:pStyle w:val="TableContents"/>
              <w:spacing w:before="0" w:after="283"/>
              <w:rPr>
                <w:sz w:val="4"/>
                <w:szCs w:val="4"/>
              </w:rPr>
            </w:pPr>
            <w:r>
              <w:rPr>
                <w:sz w:val="4"/>
                <w:szCs w:val="4"/>
              </w:rPr>
            </w:r>
          </w:p>
        </w:tc>
        <w:tc>
          <w:tcPr>
            <w:tcW w:w="16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5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5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27,820 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88,945 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(28,596)</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(6,422)</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amounts capitalized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13,286 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14,973 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 (benefit),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11,460 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32,782 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102,858 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120,436 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attributable to 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128,049 </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253,202 </w:t>
            </w:r>
          </w:p>
        </w:tc>
        <w:tc>
          <w:tcPr>
            <w:tcW w:w="2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(Gains) losses on investments,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7,109 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(80,686)</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long-lived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3,142 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License fee dispute - India, net of 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Foreign currency transaction (gains) losses,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(3,313)</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(6,394)</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134,987 </w:t>
            </w:r>
          </w:p>
        </w:tc>
        <w:tc>
          <w:tcPr>
            <w:tcW w:w="160"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165,889 </w:t>
            </w:r>
          </w:p>
        </w:tc>
        <w:tc>
          <w:tcPr>
            <w:tcW w:w="22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Note on Use of Non-GAAP Financial Measures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EBITDA is defined as “Net income (loss)” excluding “Interest income, net,” “Interest expense, net of amounts capitalized,” “Income tax benefit (provision), net,” “Depreciation and amortization,” and “Net income (loss) attributable to non-controlling interests.”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EBITDA is defined as EBITDA excluding Gains and losses on investments, net, Foreign currency transaction gains (losses), net, and other non-recurring or non-operational items.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consolidated financial statements of EchoStar for the periods ended March 31, 2023 and 2022 are attached to this press release. Detailed financial data and other information are available in EchoStar’s Quarterly Report on Form 10-Q for the period ended March 31, 2023 filed today with the Securities and Exchange Commission.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EchoStar will host a conference call to discuss its earnings on Tuesday, May 9, 2023 at 8:30 a.m. Eastern Time. The conference call will be broadcast live in listen-only mode on EchoStar’s investor relations website at ir.echostar.com. To participate via telephone and ask a question, participants must register using an online form found at: https://register.vevent.com/register/BI60954a97734841e7aa2eaffe6e4ad436.</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About EchoStar Corporation</w:t>
      </w:r>
    </w:p>
    <w:p>
      <w:pPr>
        <w:pStyle w:val="TextBody"/>
        <w:spacing w:before="0" w:after="0"/>
        <w:jc w:val="both"/>
        <w:rPr/>
      </w:pPr>
      <w:r>
        <w:rPr/>
      </w:r>
    </w:p>
    <w:p>
      <w:pPr>
        <w:pStyle w:val="TextBody"/>
        <w:spacing w:lineRule="auto" w:line="288"/>
        <w:jc w:val="both"/>
        <w:rPr>
          <w:rFonts w:ascii="Arial;sans-serif" w:hAnsi="Arial;sans-serif"/>
          <w:b w:val="false"/>
          <w:color w:val="000000"/>
          <w:sz w:val="20"/>
        </w:rPr>
      </w:pPr>
      <w:r>
        <w:rPr>
          <w:rFonts w:ascii="Arial;sans-serif" w:hAnsi="Arial;sans-serif"/>
          <w:b w:val="false"/>
          <w:color w:val="000000"/>
          <w:sz w:val="20"/>
        </w:rPr>
        <w:t xml:space="preserve">EchoStar Corporation (Nasdaq: SATS) is a premier global provider of satellite communications solutions. Headquartered in Englewood, Colo., and conducting business around the globe, EchoStar is a pioneer in </w:t>
      </w:r>
      <w:r>
        <w:br w:type="page"/>
      </w: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secure communications technologies through its Hughes Network Systems and EchoStar Satellite Services business segments.</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Safe Harbor Statement under the US Private Securities Litigation Reform Act of 1995</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“goal,” “seek,” “estimate,” “expect,” “intend,” “project,” “continue,” “future,” “will,” “would,” “can,” “may,” “plans,” and similar expressions and the use of future dates are intended to identify forward</w:t>
        <w:noBreakHyphen/>
        <w:t>looking statements. Although management believes that the expectations reflected in these forward</w:t>
        <w:noBreakHyphen/>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2022 as filed with the Securities and Exchange Commission and in the other documents EchoStar files with the Securities and Exchange Commission from time to time.</w:t>
      </w:r>
    </w:p>
    <w:p>
      <w:pPr>
        <w:pStyle w:val="TextBody"/>
        <w:spacing w:before="0" w:after="0"/>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p>
      <w:pPr>
        <w:pStyle w:val="TextBody"/>
        <w:spacing w:before="0" w:after="0"/>
        <w:jc w:val="center"/>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Contact Information</w:t>
      </w:r>
    </w:p>
    <w:tbl>
      <w:tblPr>
        <w:tblW w:w="6359" w:type="dxa"/>
        <w:jc w:val="left"/>
        <w:tblInd w:w="0" w:type="dxa"/>
        <w:tblCellMar>
          <w:top w:w="28" w:type="dxa"/>
          <w:left w:w="28" w:type="dxa"/>
          <w:bottom w:w="28" w:type="dxa"/>
          <w:right w:w="28" w:type="dxa"/>
        </w:tblCellMar>
      </w:tblPr>
      <w:tblGrid>
        <w:gridCol w:w="983"/>
        <w:gridCol w:w="863"/>
        <w:gridCol w:w="868"/>
        <w:gridCol w:w="1068"/>
        <w:gridCol w:w="1068"/>
        <w:gridCol w:w="1509"/>
      </w:tblGrid>
      <w:tr>
        <w:trPr/>
        <w:tc>
          <w:tcPr>
            <w:tcW w:w="98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color w:val="000000"/>
                <w:sz w:val="20"/>
              </w:rPr>
            </w:pPr>
            <w:r>
              <w:rPr>
                <w:rFonts w:ascii="Arial;sans-serif" w:hAnsi="Arial;sans-serif"/>
                <w:b/>
                <w:color w:val="000000"/>
                <w:sz w:val="20"/>
              </w:rPr>
              <w:t>EchoStar Investor Relations</w:t>
            </w:r>
          </w:p>
        </w:tc>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color w:val="000000"/>
                <w:sz w:val="20"/>
              </w:rPr>
            </w:pPr>
            <w:r>
              <w:rPr>
                <w:rFonts w:ascii="Arial;sans-serif" w:hAnsi="Arial;sans-serif"/>
                <w:b/>
                <w:color w:val="000000"/>
                <w:sz w:val="20"/>
              </w:rPr>
              <w:t>EchoStar Media Relations</w:t>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40" w:after="283"/>
              <w:jc w:val="left"/>
              <w:rPr>
                <w:rFonts w:ascii="Arial;sans-serif" w:hAnsi="Arial;sans-serif"/>
                <w:b w:val="false"/>
                <w:color w:val="000000"/>
                <w:sz w:val="20"/>
              </w:rPr>
            </w:pPr>
            <w:r>
              <w:rPr>
                <w:rFonts w:ascii="Arial;sans-serif" w:hAnsi="Arial;sans-serif"/>
                <w:b w:val="false"/>
                <w:color w:val="000000"/>
                <w:sz w:val="20"/>
              </w:rPr>
              <w:t>Samantha Whirley</w:t>
            </w:r>
          </w:p>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Phone: +1 301-601-6451</w:t>
            </w:r>
          </w:p>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Email: ir@echostar.com</w:t>
            </w:r>
          </w:p>
        </w:tc>
        <w:tc>
          <w:tcPr>
            <w:tcW w:w="3645" w:type="dxa"/>
            <w:gridSpan w:val="3"/>
            <w:tcBorders/>
            <w:shd w:fill="auto" w:val="clear"/>
            <w:tcMar>
              <w:top w:w="0" w:type="dxa"/>
              <w:left w:w="0" w:type="dxa"/>
              <w:bottom w:w="0" w:type="dxa"/>
              <w:right w:w="0" w:type="dxa"/>
            </w:tcMar>
            <w:vAlign w:val="center"/>
          </w:tcPr>
          <w:p>
            <w:pPr>
              <w:pStyle w:val="TableContents"/>
              <w:spacing w:lineRule="auto" w:line="240" w:before="40" w:after="283"/>
              <w:jc w:val="left"/>
              <w:rPr>
                <w:rFonts w:ascii="Arial;sans-serif" w:hAnsi="Arial;sans-serif"/>
                <w:b w:val="false"/>
                <w:color w:val="000000"/>
                <w:sz w:val="20"/>
              </w:rPr>
            </w:pPr>
            <w:r>
              <w:rPr>
                <w:rFonts w:ascii="Arial;sans-serif" w:hAnsi="Arial;sans-serif"/>
                <w:b w:val="false"/>
                <w:color w:val="000000"/>
                <w:sz w:val="20"/>
              </w:rPr>
              <w:t>Sharyn Nerenberg</w:t>
            </w:r>
          </w:p>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Phone: +1 301-428-7124</w:t>
            </w:r>
          </w:p>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Email: sharyn.nerenberg@echostar.com</w:t>
            </w:r>
          </w:p>
        </w:tc>
      </w:tr>
    </w:tbl>
    <w:p>
      <w:pPr>
        <w:pStyle w:val="TextBody"/>
        <w:spacing w:before="0" w:after="0"/>
        <w:rPr/>
      </w:pPr>
      <w:r>
        <w:br w:type="page"/>
      </w: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(Amounts in thousands, except share and per share amounts)</w:t>
      </w:r>
    </w:p>
    <w:tbl>
      <w:tblPr>
        <w:tblW w:w="8122" w:type="dxa"/>
        <w:jc w:val="center"/>
        <w:tblInd w:w="0" w:type="dxa"/>
        <w:tblCellMar>
          <w:top w:w="28" w:type="dxa"/>
          <w:left w:w="28" w:type="dxa"/>
          <w:bottom w:w="28" w:type="dxa"/>
          <w:right w:w="28" w:type="dxa"/>
        </w:tblCellMar>
      </w:tblPr>
      <w:tblGrid>
        <w:gridCol w:w="1534"/>
        <w:gridCol w:w="1348"/>
        <w:gridCol w:w="1363"/>
        <w:gridCol w:w="109"/>
        <w:gridCol w:w="109"/>
        <w:gridCol w:w="109"/>
        <w:gridCol w:w="229"/>
        <w:gridCol w:w="1062"/>
        <w:gridCol w:w="118"/>
        <w:gridCol w:w="109"/>
        <w:gridCol w:w="109"/>
        <w:gridCol w:w="109"/>
        <w:gridCol w:w="285"/>
        <w:gridCol w:w="1321"/>
        <w:gridCol w:w="208"/>
      </w:tblGrid>
      <w:tr>
        <w:trPr/>
        <w:tc>
          <w:tcPr>
            <w:tcW w:w="1534"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4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920,105 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704,541 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investment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755,169 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973,915 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and contract assets,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251,871 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236,479 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252,596 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210,446 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2,179,741 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2,125,381 </w:t>
            </w:r>
          </w:p>
        </w:tc>
        <w:tc>
          <w:tcPr>
            <w:tcW w:w="20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Non-current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2,175,861 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2,237,617 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147,707 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151,518 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532,858 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532,491 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authorizations,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461,556 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462,531 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15,151 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15,698 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364,954 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356,705 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315,960 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317,062 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4,014,047 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4,073,622 </w:t>
            </w:r>
          </w:p>
        </w:tc>
        <w:tc>
          <w:tcPr>
            <w:tcW w:w="20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6,193,788 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6,199,003 </w:t>
            </w:r>
          </w:p>
        </w:tc>
        <w:tc>
          <w:tcPr>
            <w:tcW w:w="20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payable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85,772 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101,239 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129,292 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121,739 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163,109 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199,853 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378,173 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422,831 </w:t>
            </w:r>
          </w:p>
        </w:tc>
        <w:tc>
          <w:tcPr>
            <w:tcW w:w="20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Non-current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1,496,981 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1,496,777 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430,957 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424,621 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131,881 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135,932 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112,534 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119,787 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2,172,353 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2,177,117 </w:t>
            </w:r>
          </w:p>
        </w:tc>
        <w:tc>
          <w:tcPr>
            <w:tcW w:w="20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2,550,526 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2,599,948 </w:t>
            </w:r>
          </w:p>
        </w:tc>
        <w:tc>
          <w:tcPr>
            <w:tcW w:w="20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5</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(Amounts in thousands, except share and per share amounts)</w:t>
      </w:r>
    </w:p>
    <w:p>
      <w:pPr>
        <w:pStyle w:val="TextBody"/>
        <w:spacing w:before="0" w:after="0"/>
        <w:jc w:val="center"/>
        <w:rPr/>
      </w:pPr>
      <w:r>
        <w:rPr/>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538"/>
        <w:gridCol w:w="2184"/>
        <w:gridCol w:w="2191"/>
        <w:gridCol w:w="109"/>
        <w:gridCol w:w="109"/>
        <w:gridCol w:w="109"/>
        <w:gridCol w:w="211"/>
        <w:gridCol w:w="976"/>
        <w:gridCol w:w="109"/>
        <w:gridCol w:w="109"/>
        <w:gridCol w:w="109"/>
        <w:gridCol w:w="109"/>
        <w:gridCol w:w="211"/>
        <w:gridCol w:w="976"/>
        <w:gridCol w:w="155"/>
      </w:tblGrid>
      <w:tr>
        <w:trPr/>
        <w:tc>
          <w:tcPr>
            <w:tcW w:w="2538" w:type="dxa"/>
            <w:tcBorders/>
            <w:shd w:fill="auto" w:val="clear"/>
            <w:vAlign w:val="center"/>
          </w:tcPr>
          <w:p>
            <w:pPr>
              <w:pStyle w:val="TableContents"/>
              <w:spacing w:before="0" w:after="283"/>
              <w:rPr>
                <w:sz w:val="4"/>
                <w:szCs w:val="4"/>
              </w:rPr>
            </w:pPr>
            <w:r>
              <w:rPr>
                <w:sz w:val="4"/>
                <w:szCs w:val="4"/>
              </w:rPr>
            </w:r>
          </w:p>
        </w:tc>
        <w:tc>
          <w:tcPr>
            <w:tcW w:w="2184" w:type="dxa"/>
            <w:tcBorders/>
            <w:shd w:fill="auto" w:val="clear"/>
            <w:vAlign w:val="center"/>
          </w:tcPr>
          <w:p>
            <w:pPr>
              <w:pStyle w:val="TableContents"/>
              <w:spacing w:before="0" w:after="283"/>
              <w:rPr>
                <w:sz w:val="4"/>
                <w:szCs w:val="4"/>
              </w:rPr>
            </w:pPr>
            <w:r>
              <w:rPr>
                <w:sz w:val="4"/>
                <w:szCs w:val="4"/>
              </w:rPr>
            </w:r>
          </w:p>
        </w:tc>
        <w:tc>
          <w:tcPr>
            <w:tcW w:w="2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$0.001 par value, 20,000,000 shares authorized, none issued and outstanding at both March 31, 2023 and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Common stock, $0.001 par value, 4,000,000,000 shares authorized: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Class A common stock, $0.001 par value, 1,600,000,000 shares authorized, 59,303,237 shares issued and 35,989,926 shares outstanding at March 31, 2023 and 58,604,927 shares issued and 35,291,616 shares outstanding at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Class B convertible common stock, $0.001 par value, 800,000,000 shares authorized, 47,687,039 shares issued and outstanding at both March 31, 2023 and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Class C convertible common stock, $0.001 par value, 800,000,000 shares authorized, none issued and outstanding at both March 31, 2023 and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Class D common stock, $0.001 par value, 800,000,000 shares authorized, none issued and outstanding at both March 31, 2023 and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3,376,169 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3,367,058 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(166,931)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(172,239)</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earnings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862,558 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833,517 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shares, at cost, 23,313,311 at both March 31, 2023 and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(525,824)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(525,824)</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EchoStar Corporation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3,546,079 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3,502,619 </w:t>
            </w:r>
          </w:p>
        </w:tc>
        <w:tc>
          <w:tcPr>
            <w:tcW w:w="15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96,436 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3,643,262 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3,599,055 </w:t>
            </w:r>
          </w:p>
        </w:tc>
        <w:tc>
          <w:tcPr>
            <w:tcW w:w="15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6,193,788 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6,199,003 </w:t>
            </w:r>
          </w:p>
        </w:tc>
        <w:tc>
          <w:tcPr>
            <w:tcW w:w="1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(Amounts in thousands, except per share amounts)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213"/>
        <w:gridCol w:w="1916"/>
        <w:gridCol w:w="1920"/>
        <w:gridCol w:w="109"/>
        <w:gridCol w:w="109"/>
        <w:gridCol w:w="109"/>
        <w:gridCol w:w="287"/>
        <w:gridCol w:w="1125"/>
        <w:gridCol w:w="147"/>
        <w:gridCol w:w="147"/>
        <w:gridCol w:w="147"/>
        <w:gridCol w:w="147"/>
        <w:gridCol w:w="287"/>
        <w:gridCol w:w="1125"/>
        <w:gridCol w:w="147"/>
        <w:gridCol w:w="109"/>
        <w:gridCol w:w="161"/>
      </w:tblGrid>
      <w:tr>
        <w:trPr/>
        <w:tc>
          <w:tcPr>
            <w:tcW w:w="2213" w:type="dxa"/>
            <w:tcBorders/>
            <w:shd w:fill="auto" w:val="clear"/>
            <w:vAlign w:val="center"/>
          </w:tcPr>
          <w:p>
            <w:pPr>
              <w:pStyle w:val="TableContents"/>
              <w:spacing w:before="0" w:after="283"/>
              <w:rPr>
                <w:sz w:val="4"/>
                <w:szCs w:val="4"/>
              </w:rPr>
            </w:pPr>
            <w:r>
              <w:rPr>
                <w:sz w:val="4"/>
                <w:szCs w:val="4"/>
              </w:rPr>
            </w:r>
          </w:p>
        </w:tc>
        <w:tc>
          <w:tcPr>
            <w:tcW w:w="1916" w:type="dxa"/>
            <w:tcBorders/>
            <w:shd w:fill="auto" w:val="clear"/>
            <w:vAlign w:val="center"/>
          </w:tcPr>
          <w:p>
            <w:pPr>
              <w:pStyle w:val="TableContents"/>
              <w:spacing w:before="0" w:after="283"/>
              <w:rPr>
                <w:sz w:val="4"/>
                <w:szCs w:val="4"/>
              </w:rPr>
            </w:pPr>
            <w:r>
              <w:rPr>
                <w:sz w:val="4"/>
                <w:szCs w:val="4"/>
              </w:rPr>
            </w:r>
          </w:p>
        </w:tc>
        <w:tc>
          <w:tcPr>
            <w:tcW w:w="19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 and other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377,527 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418,811 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62,070 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82,723 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439,597 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501,534 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 - services and other (exclusive of 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135,372 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141,129 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 - equipment (exclusive of 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51,662 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69,114 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110,061 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118,170 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8,255 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7,617 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102,858 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120,436 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long-lived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411,350 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456,466 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28,247 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45,068 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Other income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28,596 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6,422 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 of amounts capitalized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(13,286)</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(14,973)</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investments,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(7,109)</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80,686 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of unconsolidated affiliates,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transaction gains (losses),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3,313 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6,394 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(expense),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11,033 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76,659 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39,280 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121,727 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(provision),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(11,460)</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(32,782)</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27,820 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88,945 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loss (income) attributable to 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EchoStar Corporation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29,041 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91,433 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(losses)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0.35 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0.35 </w:t>
            </w:r>
          </w:p>
        </w:tc>
        <w:tc>
          <w:tcPr>
            <w:tcW w:w="147"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47"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(Amounts in thousands)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450"/>
        <w:gridCol w:w="2040"/>
        <w:gridCol w:w="2053"/>
        <w:gridCol w:w="109"/>
        <w:gridCol w:w="109"/>
        <w:gridCol w:w="109"/>
        <w:gridCol w:w="286"/>
        <w:gridCol w:w="980"/>
        <w:gridCol w:w="147"/>
        <w:gridCol w:w="147"/>
        <w:gridCol w:w="147"/>
        <w:gridCol w:w="147"/>
        <w:gridCol w:w="286"/>
        <w:gridCol w:w="980"/>
        <w:gridCol w:w="215"/>
      </w:tblGrid>
      <w:tr>
        <w:trPr/>
        <w:tc>
          <w:tcPr>
            <w:tcW w:w="2450"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sz w:val="4"/>
                <w:szCs w:val="4"/>
              </w:rPr>
            </w:pPr>
            <w:r>
              <w:rPr>
                <w:sz w:val="4"/>
                <w:szCs w:val="4"/>
              </w:rPr>
            </w:r>
          </w:p>
        </w:tc>
        <w:tc>
          <w:tcPr>
            <w:tcW w:w="20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6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27,820 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88,945 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Adjustments to reconcile net income (loss) to cash flows provided by (used for) operating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102,858 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120,436 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long-lived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(gains) on investments,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7,109 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(80,686)</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losses (earnings) of unconsolidated affiliates,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transaction losses (gains),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(3,313)</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(6,394)</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provision (benefit),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6,521 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25,538 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2,592 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1,860 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481" w:type="dxa"/>
            <w:gridSpan w:val="3"/>
            <w:tcBorders/>
            <w:shd w:fill="auto" w:val="cle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(24,078)</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(2,528)</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Changes in assets and liabilities,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and contract assets,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(14,041)</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(8,480)</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(27,153)</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(3,340)</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payable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(13,797)</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7,046 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7,553 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(28,257)</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(27,033)</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assets and non-current liabilities,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(9,774)</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for) operating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46,425 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104,353 </w:t>
            </w:r>
          </w:p>
        </w:tc>
        <w:tc>
          <w:tcPr>
            <w:tcW w:w="2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marketable investment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(238,585)</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(88,578)</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maturities of marketable investment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457,776 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492,812 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property and equipment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(59,071)</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(112,138)</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Refunds and other receipts related to capital expenditures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externally marketed software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(6,962)</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(5,093)</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 JV formation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(7,892)</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481" w:type="dxa"/>
            <w:gridSpan w:val="3"/>
            <w:tcBorders/>
            <w:shd w:fill="auto" w:val="clear"/>
            <w:vAlign w:val="center"/>
          </w:tcPr>
          <w:p>
            <w:pPr>
              <w:pStyle w:val="TableContents"/>
              <w:spacing w:before="0" w:after="283"/>
              <w:rPr>
                <w:sz w:val="4"/>
                <w:szCs w:val="4"/>
              </w:rPr>
            </w:pPr>
            <w:r>
              <w:rPr>
                <w:sz w:val="4"/>
                <w:szCs w:val="4"/>
              </w:rPr>
            </w:r>
          </w:p>
        </w:tc>
      </w:tr>
      <w:tr>
        <w:trPr/>
        <w:tc>
          <w:tcPr>
            <w:tcW w:w="65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481" w:type="dxa"/>
            <w:gridSpan w:val="3"/>
            <w:tcBorders/>
            <w:shd w:fill="auto" w:val="clear"/>
            <w:vAlign w:val="center"/>
          </w:tcPr>
          <w:p>
            <w:pPr>
              <w:pStyle w:val="TableContents"/>
              <w:spacing w:before="0" w:after="283"/>
              <w:rPr>
                <w:sz w:val="4"/>
                <w:szCs w:val="4"/>
              </w:rPr>
            </w:pPr>
            <w:r>
              <w:rPr>
                <w:sz w:val="4"/>
                <w:szCs w:val="4"/>
              </w:rPr>
            </w:r>
          </w:p>
        </w:tc>
      </w:tr>
      <w:tr>
        <w:trPr/>
        <w:tc>
          <w:tcPr>
            <w:tcW w:w="65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481" w:type="dxa"/>
            <w:gridSpan w:val="3"/>
            <w:tcBorders/>
            <w:shd w:fill="auto" w:val="clear"/>
            <w:vAlign w:val="center"/>
          </w:tcPr>
          <w:p>
            <w:pPr>
              <w:pStyle w:val="TableContents"/>
              <w:spacing w:before="0" w:after="283"/>
              <w:rPr>
                <w:sz w:val="4"/>
                <w:szCs w:val="4"/>
              </w:rPr>
            </w:pPr>
            <w:r>
              <w:rPr>
                <w:sz w:val="4"/>
                <w:szCs w:val="4"/>
              </w:rPr>
            </w:r>
          </w:p>
        </w:tc>
      </w:tr>
      <w:tr>
        <w:trPr/>
        <w:tc>
          <w:tcPr>
            <w:tcW w:w="65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481" w:type="dxa"/>
            <w:gridSpan w:val="3"/>
            <w:tcBorders/>
            <w:shd w:fill="auto" w:val="cle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for) investing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168,158 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279,111 </w:t>
            </w:r>
          </w:p>
        </w:tc>
        <w:tc>
          <w:tcPr>
            <w:tcW w:w="2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2610"/>
        <w:gridCol w:w="2298"/>
        <w:gridCol w:w="2306"/>
        <w:gridCol w:w="109"/>
        <w:gridCol w:w="109"/>
        <w:gridCol w:w="109"/>
        <w:gridCol w:w="211"/>
        <w:gridCol w:w="826"/>
        <w:gridCol w:w="109"/>
        <w:gridCol w:w="109"/>
        <w:gridCol w:w="109"/>
        <w:gridCol w:w="109"/>
        <w:gridCol w:w="211"/>
        <w:gridCol w:w="826"/>
        <w:gridCol w:w="154"/>
      </w:tblGrid>
      <w:tr>
        <w:trPr/>
        <w:tc>
          <w:tcPr>
            <w:tcW w:w="2610" w:type="dxa"/>
            <w:tcBorders/>
            <w:shd w:fill="auto" w:val="clear"/>
            <w:vAlign w:val="center"/>
          </w:tcPr>
          <w:p>
            <w:pPr>
              <w:pStyle w:val="TableContents"/>
              <w:spacing w:before="0" w:after="283"/>
              <w:rPr>
                <w:sz w:val="4"/>
                <w:szCs w:val="4"/>
              </w:rPr>
            </w:pPr>
            <w:r>
              <w:rPr>
                <w:sz w:val="4"/>
                <w:szCs w:val="4"/>
              </w:rPr>
            </w:r>
          </w:p>
        </w:tc>
        <w:tc>
          <w:tcPr>
            <w:tcW w:w="2298" w:type="dxa"/>
            <w:tcBorders/>
            <w:shd w:fill="auto" w:val="clear"/>
            <w:vAlign w:val="center"/>
          </w:tcPr>
          <w:p>
            <w:pPr>
              <w:pStyle w:val="TableContents"/>
              <w:spacing w:before="0" w:after="283"/>
              <w:rPr>
                <w:sz w:val="4"/>
                <w:szCs w:val="4"/>
              </w:rPr>
            </w:pPr>
            <w:r>
              <w:rPr>
                <w:sz w:val="4"/>
                <w:szCs w:val="4"/>
              </w:rPr>
            </w:r>
          </w:p>
        </w:tc>
        <w:tc>
          <w:tcPr>
            <w:tcW w:w="2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finance lease obligations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in-orbit incentive obligations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Class A common stock issued under the Employee Stock Purchase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Treasury share repurchase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(33,307)</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7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for) financing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(32,469)</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rates on cash and cash equivalents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215,506 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354,475 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including restricted amounts, beginning of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705,883 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536,874 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including restricted amounts, end of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921,389 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891,349 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8</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Pages>
  <Words>27328</Words>
  <CharactersWithSpaces>179955</CharactersWithSpaces>
  <Paragraphs>3580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