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84"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560" w:right="2800" w:hanging="3554"/>
        <w:spacing w:after="0" w:line="256" w:lineRule="auto"/>
        <w:tabs>
          <w:tab w:leader="none" w:pos="305"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2022.</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40" w:lineRule="exact"/>
        <w:rPr>
          <w:sz w:val="24"/>
          <w:szCs w:val="24"/>
          <w:color w:val="auto"/>
        </w:rPr>
      </w:pPr>
    </w:p>
    <w:p>
      <w:pPr>
        <w:ind w:left="300" w:hanging="294"/>
        <w:spacing w:after="0"/>
        <w:tabs>
          <w:tab w:leader="none" w:pos="30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 w:lineRule="exact"/>
        <w:rPr>
          <w:sz w:val="24"/>
          <w:szCs w:val="24"/>
          <w:color w:val="auto"/>
        </w:rPr>
      </w:pPr>
    </w:p>
    <w:p>
      <w:pPr>
        <w:ind w:left="3360"/>
        <w:spacing w:after="0"/>
        <w:tabs>
          <w:tab w:leader="none" w:pos="69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3995420</wp:posOffset>
            </wp:positionH>
            <wp:positionV relativeFrom="paragraph">
              <wp:posOffset>-16510</wp:posOffset>
            </wp:positionV>
            <wp:extent cx="1007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168910</wp:posOffset>
            </wp:positionV>
            <wp:extent cx="1682750" cy="421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2750" cy="421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EchoStar Corporation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pacing w:after="0" w:line="9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4660" w:type="dxa"/>
            <w:vAlign w:val="bottom"/>
          </w:tcPr>
          <w:p>
            <w:pPr>
              <w:jc w:val="center"/>
              <w:ind w:right="418"/>
              <w:spacing w:after="0"/>
              <w:rPr>
                <w:sz w:val="20"/>
                <w:szCs w:val="20"/>
                <w:color w:val="auto"/>
              </w:rPr>
            </w:pPr>
            <w:r>
              <w:rPr>
                <w:rFonts w:ascii="Arial" w:cs="Arial" w:eastAsia="Arial" w:hAnsi="Arial"/>
                <w:sz w:val="18"/>
                <w:szCs w:val="18"/>
                <w:b w:val="1"/>
                <w:bCs w:val="1"/>
                <w:color w:val="auto"/>
                <w:w w:val="99"/>
              </w:rPr>
              <w:t>Nevada</w:t>
            </w:r>
          </w:p>
        </w:tc>
        <w:tc>
          <w:tcPr>
            <w:tcW w:w="5740" w:type="dxa"/>
            <w:vAlign w:val="bottom"/>
          </w:tcPr>
          <w:p>
            <w:pPr>
              <w:jc w:val="center"/>
              <w:ind w:left="418"/>
              <w:spacing w:after="0"/>
              <w:rPr>
                <w:sz w:val="20"/>
                <w:szCs w:val="20"/>
                <w:color w:val="auto"/>
              </w:rPr>
            </w:pPr>
            <w:r>
              <w:rPr>
                <w:rFonts w:ascii="Arial" w:cs="Arial" w:eastAsia="Arial" w:hAnsi="Arial"/>
                <w:sz w:val="18"/>
                <w:szCs w:val="18"/>
                <w:b w:val="1"/>
                <w:bCs w:val="1"/>
                <w:color w:val="auto"/>
                <w:w w:val="99"/>
              </w:rPr>
              <w:t>26-1232727</w:t>
            </w:r>
          </w:p>
        </w:tc>
      </w:tr>
      <w:tr>
        <w:trPr>
          <w:trHeight w:val="208"/>
        </w:trPr>
        <w:tc>
          <w:tcPr>
            <w:tcW w:w="4660" w:type="dxa"/>
            <w:vAlign w:val="bottom"/>
          </w:tcPr>
          <w:p>
            <w:pPr>
              <w:jc w:val="center"/>
              <w:ind w:right="398"/>
              <w:spacing w:after="0"/>
              <w:rPr>
                <w:sz w:val="20"/>
                <w:szCs w:val="20"/>
                <w:color w:val="auto"/>
              </w:rPr>
            </w:pPr>
            <w:r>
              <w:rPr>
                <w:rFonts w:ascii="Arial" w:cs="Arial" w:eastAsia="Arial" w:hAnsi="Arial"/>
                <w:sz w:val="16"/>
                <w:szCs w:val="16"/>
                <w:color w:val="auto"/>
                <w:w w:val="99"/>
              </w:rPr>
              <w:t>(State or other jurisdiction of incorporation or organization)</w:t>
            </w:r>
          </w:p>
        </w:tc>
        <w:tc>
          <w:tcPr>
            <w:tcW w:w="5740" w:type="dxa"/>
            <w:vAlign w:val="bottom"/>
          </w:tcPr>
          <w:p>
            <w:pPr>
              <w:jc w:val="center"/>
              <w:ind w:left="418"/>
              <w:spacing w:after="0"/>
              <w:rPr>
                <w:sz w:val="20"/>
                <w:szCs w:val="20"/>
                <w:color w:val="auto"/>
              </w:rPr>
            </w:pPr>
            <w:r>
              <w:rPr>
                <w:rFonts w:ascii="Arial" w:cs="Arial" w:eastAsia="Arial" w:hAnsi="Arial"/>
                <w:sz w:val="16"/>
                <w:szCs w:val="16"/>
                <w:color w:val="auto"/>
                <w:w w:val="99"/>
              </w:rPr>
              <w:t>(I.R.S. Employer Identification No.)</w:t>
            </w:r>
          </w:p>
        </w:tc>
      </w:tr>
      <w:tr>
        <w:trPr>
          <w:trHeight w:val="415"/>
        </w:trPr>
        <w:tc>
          <w:tcPr>
            <w:tcW w:w="4660" w:type="dxa"/>
            <w:vAlign w:val="bottom"/>
          </w:tcPr>
          <w:p>
            <w:pPr>
              <w:jc w:val="center"/>
              <w:ind w:right="398"/>
              <w:spacing w:after="0"/>
              <w:rPr>
                <w:sz w:val="20"/>
                <w:szCs w:val="20"/>
                <w:color w:val="auto"/>
              </w:rPr>
            </w:pPr>
            <w:r>
              <w:rPr>
                <w:rFonts w:ascii="Arial" w:cs="Arial" w:eastAsia="Arial" w:hAnsi="Arial"/>
                <w:sz w:val="18"/>
                <w:szCs w:val="18"/>
                <w:b w:val="1"/>
                <w:bCs w:val="1"/>
                <w:color w:val="auto"/>
                <w:w w:val="97"/>
              </w:rPr>
              <w:t>100 Inverness Terrace East, Englewood, Colorado</w:t>
            </w:r>
          </w:p>
        </w:tc>
        <w:tc>
          <w:tcPr>
            <w:tcW w:w="5740" w:type="dxa"/>
            <w:vAlign w:val="bottom"/>
          </w:tcPr>
          <w:p>
            <w:pPr>
              <w:jc w:val="center"/>
              <w:ind w:left="418"/>
              <w:spacing w:after="0"/>
              <w:rPr>
                <w:sz w:val="20"/>
                <w:szCs w:val="20"/>
                <w:color w:val="auto"/>
              </w:rPr>
            </w:pPr>
            <w:r>
              <w:rPr>
                <w:rFonts w:ascii="Arial" w:cs="Arial" w:eastAsia="Arial" w:hAnsi="Arial"/>
                <w:sz w:val="18"/>
                <w:szCs w:val="18"/>
                <w:b w:val="1"/>
                <w:bCs w:val="1"/>
                <w:color w:val="auto"/>
                <w:w w:val="99"/>
              </w:rPr>
              <w:t>80112-5308</w:t>
            </w:r>
          </w:p>
        </w:tc>
      </w:tr>
      <w:tr>
        <w:trPr>
          <w:trHeight w:val="208"/>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9"/>
              </w:rPr>
              <w:t>(Address of principal executive offices)</w:t>
            </w:r>
          </w:p>
        </w:tc>
        <w:tc>
          <w:tcPr>
            <w:tcW w:w="5740" w:type="dxa"/>
            <w:vAlign w:val="bottom"/>
          </w:tcPr>
          <w:p>
            <w:pPr>
              <w:jc w:val="center"/>
              <w:ind w:left="418"/>
              <w:spacing w:after="0"/>
              <w:rPr>
                <w:sz w:val="20"/>
                <w:szCs w:val="20"/>
                <w:color w:val="auto"/>
              </w:rPr>
            </w:pPr>
            <w:r>
              <w:rPr>
                <w:rFonts w:ascii="Arial" w:cs="Arial" w:eastAsia="Arial" w:hAnsi="Arial"/>
                <w:sz w:val="16"/>
                <w:szCs w:val="16"/>
                <w:color w:val="auto"/>
              </w:rPr>
              <w:t>(Zip Code)</w:t>
            </w:r>
          </w:p>
        </w:tc>
      </w:tr>
      <w:tr>
        <w:trPr>
          <w:trHeight w:val="335"/>
        </w:trPr>
        <w:tc>
          <w:tcPr>
            <w:tcW w:w="4660" w:type="dxa"/>
            <w:vAlign w:val="bottom"/>
          </w:tcPr>
          <w:p>
            <w:pPr>
              <w:jc w:val="center"/>
              <w:ind w:right="418"/>
              <w:spacing w:after="0"/>
              <w:rPr>
                <w:sz w:val="20"/>
                <w:szCs w:val="20"/>
                <w:color w:val="auto"/>
              </w:rPr>
            </w:pPr>
            <w:r>
              <w:rPr>
                <w:rFonts w:ascii="Arial" w:cs="Arial" w:eastAsia="Arial" w:hAnsi="Arial"/>
                <w:sz w:val="18"/>
                <w:szCs w:val="18"/>
                <w:b w:val="1"/>
                <w:bCs w:val="1"/>
                <w:color w:val="auto"/>
                <w:w w:val="97"/>
              </w:rPr>
              <w:t>(303) 706-4000</w:t>
            </w:r>
          </w:p>
        </w:tc>
        <w:tc>
          <w:tcPr>
            <w:tcW w:w="5740" w:type="dxa"/>
            <w:vAlign w:val="bottom"/>
          </w:tcPr>
          <w:p>
            <w:pPr>
              <w:jc w:val="center"/>
              <w:ind w:left="418"/>
              <w:spacing w:after="0"/>
              <w:rPr>
                <w:sz w:val="20"/>
                <w:szCs w:val="20"/>
                <w:color w:val="auto"/>
              </w:rPr>
            </w:pPr>
            <w:r>
              <w:rPr>
                <w:rFonts w:ascii="Arial" w:cs="Arial" w:eastAsia="Arial" w:hAnsi="Arial"/>
                <w:sz w:val="18"/>
                <w:szCs w:val="18"/>
                <w:b w:val="1"/>
                <w:bCs w:val="1"/>
                <w:color w:val="auto"/>
                <w:w w:val="98"/>
              </w:rPr>
              <w:t>Not Applicable</w:t>
            </w:r>
          </w:p>
        </w:tc>
      </w:tr>
      <w:tr>
        <w:trPr>
          <w:trHeight w:val="175"/>
        </w:trPr>
        <w:tc>
          <w:tcPr>
            <w:tcW w:w="4660" w:type="dxa"/>
            <w:vAlign w:val="bottom"/>
          </w:tcPr>
          <w:p>
            <w:pPr>
              <w:jc w:val="center"/>
              <w:ind w:right="418"/>
              <w:spacing w:after="0" w:line="175" w:lineRule="exact"/>
              <w:rPr>
                <w:sz w:val="20"/>
                <w:szCs w:val="20"/>
                <w:color w:val="auto"/>
              </w:rPr>
            </w:pPr>
            <w:r>
              <w:rPr>
                <w:rFonts w:ascii="Arial" w:cs="Arial" w:eastAsia="Arial" w:hAnsi="Arial"/>
                <w:sz w:val="16"/>
                <w:szCs w:val="16"/>
                <w:color w:val="auto"/>
                <w:w w:val="98"/>
              </w:rPr>
              <w:t>(Registrant’s telephone number, including area code)</w:t>
            </w:r>
          </w:p>
        </w:tc>
        <w:tc>
          <w:tcPr>
            <w:tcW w:w="5740" w:type="dxa"/>
            <w:vAlign w:val="bottom"/>
          </w:tcPr>
          <w:p>
            <w:pPr>
              <w:jc w:val="center"/>
              <w:ind w:left="418"/>
              <w:spacing w:after="0" w:line="175" w:lineRule="exact"/>
              <w:rPr>
                <w:sz w:val="20"/>
                <w:szCs w:val="20"/>
                <w:color w:val="auto"/>
              </w:rPr>
            </w:pPr>
            <w:r>
              <w:rPr>
                <w:rFonts w:ascii="Arial" w:cs="Arial" w:eastAsia="Arial" w:hAnsi="Arial"/>
                <w:sz w:val="16"/>
                <w:szCs w:val="16"/>
                <w:color w:val="auto"/>
                <w:w w:val="98"/>
              </w:rPr>
              <w:t>(Former name, former address and former fiscal year, if changed since last</w:t>
            </w:r>
          </w:p>
        </w:tc>
      </w:tr>
      <w:tr>
        <w:trPr>
          <w:trHeight w:val="192"/>
        </w:trPr>
        <w:tc>
          <w:tcPr>
            <w:tcW w:w="4660" w:type="dxa"/>
            <w:vAlign w:val="bottom"/>
          </w:tcPr>
          <w:p>
            <w:pPr>
              <w:spacing w:after="0"/>
              <w:rPr>
                <w:sz w:val="16"/>
                <w:szCs w:val="16"/>
                <w:color w:val="auto"/>
              </w:rPr>
            </w:pPr>
          </w:p>
        </w:tc>
        <w:tc>
          <w:tcPr>
            <w:tcW w:w="5740" w:type="dxa"/>
            <w:vAlign w:val="bottom"/>
          </w:tcPr>
          <w:p>
            <w:pPr>
              <w:jc w:val="center"/>
              <w:ind w:left="418"/>
              <w:spacing w:after="0"/>
              <w:rPr>
                <w:sz w:val="20"/>
                <w:szCs w:val="20"/>
                <w:color w:val="auto"/>
              </w:rPr>
            </w:pPr>
            <w:r>
              <w:rPr>
                <w:rFonts w:ascii="Arial" w:cs="Arial" w:eastAsia="Arial" w:hAnsi="Arial"/>
                <w:sz w:val="16"/>
                <w:szCs w:val="16"/>
                <w:color w:val="auto"/>
              </w:rPr>
              <w:t>report)</w:t>
            </w:r>
          </w:p>
        </w:tc>
      </w:tr>
      <w:tr>
        <w:trPr>
          <w:trHeight w:val="318"/>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5740" w:type="dxa"/>
            <w:vAlign w:val="bottom"/>
          </w:tcPr>
          <w:p>
            <w:pPr>
              <w:spacing w:after="0"/>
              <w:rPr>
                <w:sz w:val="24"/>
                <w:szCs w:val="24"/>
                <w:color w:val="auto"/>
              </w:rPr>
            </w:pPr>
          </w:p>
        </w:tc>
      </w:tr>
      <w:tr>
        <w:trPr>
          <w:trHeight w:val="212"/>
        </w:trPr>
        <w:tc>
          <w:tcPr>
            <w:tcW w:w="4660" w:type="dxa"/>
            <w:vAlign w:val="bottom"/>
          </w:tcPr>
          <w:p>
            <w:pPr>
              <w:jc w:val="center"/>
              <w:ind w:right="438"/>
              <w:spacing w:after="0"/>
              <w:rPr>
                <w:sz w:val="20"/>
                <w:szCs w:val="20"/>
                <w:color w:val="auto"/>
              </w:rPr>
            </w:pPr>
            <w:r>
              <w:rPr>
                <w:rFonts w:ascii="Arial" w:cs="Arial" w:eastAsia="Arial" w:hAnsi="Arial"/>
                <w:sz w:val="16"/>
                <w:szCs w:val="16"/>
                <w:b w:val="1"/>
                <w:bCs w:val="1"/>
                <w:color w:val="auto"/>
              </w:rPr>
              <w:t>Class A common stock $0.001 par value</w:t>
            </w:r>
          </w:p>
        </w:tc>
        <w:tc>
          <w:tcPr>
            <w:tcW w:w="5740" w:type="dxa"/>
            <w:vAlign w:val="bottom"/>
          </w:tcPr>
          <w:p>
            <w:pPr>
              <w:jc w:val="center"/>
              <w:ind w:left="418"/>
              <w:spacing w:after="0"/>
              <w:rPr>
                <w:sz w:val="20"/>
                <w:szCs w:val="20"/>
                <w:color w:val="auto"/>
              </w:rPr>
            </w:pPr>
            <w:r>
              <w:rPr>
                <w:rFonts w:ascii="Arial" w:cs="Arial" w:eastAsia="Arial" w:hAnsi="Arial"/>
                <w:sz w:val="16"/>
                <w:szCs w:val="16"/>
                <w:b w:val="1"/>
                <w:bCs w:val="1"/>
                <w:color w:val="auto"/>
                <w:w w:val="99"/>
              </w:rPr>
              <w:t>The NASDAQ Stock Market LLC</w:t>
            </w:r>
          </w:p>
        </w:tc>
      </w:tr>
      <w:tr>
        <w:trPr>
          <w:trHeight w:val="212"/>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8"/>
              </w:rPr>
              <w:t>(Title of each class)</w:t>
            </w:r>
          </w:p>
        </w:tc>
        <w:tc>
          <w:tcPr>
            <w:tcW w:w="5740" w:type="dxa"/>
            <w:vAlign w:val="bottom"/>
          </w:tcPr>
          <w:p>
            <w:pPr>
              <w:jc w:val="center"/>
              <w:ind w:left="418"/>
              <w:spacing w:after="0"/>
              <w:rPr>
                <w:sz w:val="20"/>
                <w:szCs w:val="20"/>
                <w:color w:val="auto"/>
              </w:rPr>
            </w:pPr>
            <w:r>
              <w:rPr>
                <w:rFonts w:ascii="Arial" w:cs="Arial" w:eastAsia="Arial" w:hAnsi="Arial"/>
                <w:sz w:val="16"/>
                <w:szCs w:val="16"/>
                <w:color w:val="auto"/>
                <w:w w:val="98"/>
              </w:rPr>
              <w:t>(Name of each exchange on which registered)</w:t>
            </w:r>
          </w:p>
        </w:tc>
      </w:tr>
      <w:tr>
        <w:trPr>
          <w:trHeight w:val="212"/>
        </w:trPr>
        <w:tc>
          <w:tcPr>
            <w:tcW w:w="4660" w:type="dxa"/>
            <w:vAlign w:val="bottom"/>
          </w:tcPr>
          <w:p>
            <w:pPr>
              <w:jc w:val="center"/>
              <w:ind w:right="418"/>
              <w:spacing w:after="0"/>
              <w:rPr>
                <w:sz w:val="20"/>
                <w:szCs w:val="20"/>
                <w:color w:val="auto"/>
              </w:rPr>
            </w:pPr>
            <w:r>
              <w:rPr>
                <w:rFonts w:ascii="Arial" w:cs="Arial" w:eastAsia="Arial" w:hAnsi="Arial"/>
                <w:sz w:val="16"/>
                <w:szCs w:val="16"/>
                <w:b w:val="1"/>
                <w:bCs w:val="1"/>
                <w:color w:val="auto"/>
                <w:w w:val="93"/>
              </w:rPr>
              <w:t>SATS</w:t>
            </w:r>
          </w:p>
        </w:tc>
        <w:tc>
          <w:tcPr>
            <w:tcW w:w="5740" w:type="dxa"/>
            <w:vAlign w:val="bottom"/>
          </w:tcPr>
          <w:p>
            <w:pPr>
              <w:spacing w:after="0"/>
              <w:rPr>
                <w:sz w:val="18"/>
                <w:szCs w:val="18"/>
                <w:color w:val="auto"/>
              </w:rPr>
            </w:pPr>
          </w:p>
        </w:tc>
      </w:tr>
      <w:tr>
        <w:trPr>
          <w:trHeight w:val="212"/>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8"/>
              </w:rPr>
              <w:t>(Ticker symbol)</w:t>
            </w:r>
          </w:p>
        </w:tc>
        <w:tc>
          <w:tcPr>
            <w:tcW w:w="5740" w:type="dxa"/>
            <w:vAlign w:val="bottom"/>
          </w:tcPr>
          <w:p>
            <w:pPr>
              <w:spacing w:after="0"/>
              <w:rPr>
                <w:sz w:val="18"/>
                <w:szCs w:val="18"/>
                <w:color w:val="auto"/>
              </w:rPr>
            </w:pPr>
          </w:p>
        </w:tc>
      </w:tr>
    </w:tbl>
    <w:p>
      <w:pPr>
        <w:spacing w:after="0" w:line="245" w:lineRule="exact"/>
        <w:rPr>
          <w:sz w:val="24"/>
          <w:szCs w:val="24"/>
          <w:color w:val="auto"/>
        </w:rPr>
      </w:pPr>
    </w:p>
    <w:p>
      <w:pPr>
        <w:jc w:val="both"/>
        <w:spacing w:after="0" w:line="19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5"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4" w:lineRule="exact"/>
        <w:rPr>
          <w:sz w:val="24"/>
          <w:szCs w:val="24"/>
          <w:color w:val="auto"/>
        </w:rPr>
      </w:pPr>
    </w:p>
    <w:p>
      <w:pPr>
        <w:jc w:val="both"/>
        <w:spacing w:after="0" w:line="24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45" w:right="339" w:bottom="1440" w:gutter="0" w:footer="0" w:header="0"/>
        </w:sectPr>
      </w:pPr>
    </w:p>
    <w:p>
      <w:pPr>
        <w:spacing w:after="0" w:line="121" w:lineRule="exact"/>
        <w:rPr>
          <w:sz w:val="24"/>
          <w:szCs w:val="24"/>
          <w:color w:val="auto"/>
        </w:rPr>
      </w:pPr>
    </w:p>
    <w:p>
      <w:pPr>
        <w:ind w:left="1480"/>
        <w:spacing w:after="0"/>
        <w:rPr>
          <w:sz w:val="20"/>
          <w:szCs w:val="20"/>
          <w:color w:val="auto"/>
        </w:rPr>
      </w:pPr>
      <w:r>
        <w:rPr>
          <w:rFonts w:ascii="Arial" w:cs="Arial" w:eastAsia="Arial" w:hAnsi="Arial"/>
          <w:sz w:val="15"/>
          <w:szCs w:val="15"/>
          <w:color w:val="auto"/>
        </w:rPr>
        <w:t>Large accelerated filer</w:t>
      </w:r>
    </w:p>
    <w:p>
      <w:pPr>
        <w:spacing w:after="0" w:line="40" w:lineRule="exact"/>
        <w:rPr>
          <w:sz w:val="24"/>
          <w:szCs w:val="24"/>
          <w:color w:val="auto"/>
        </w:rPr>
      </w:pPr>
    </w:p>
    <w:p>
      <w:pPr>
        <w:ind w:left="14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97" w:lineRule="exact"/>
        <w:rPr>
          <w:sz w:val="24"/>
          <w:szCs w:val="24"/>
          <w:color w:val="auto"/>
        </w:rPr>
      </w:pPr>
    </w:p>
    <w:p>
      <w:pPr>
        <w:sectPr>
          <w:pgSz w:w="11900" w:h="16838" w:orient="portrait"/>
          <w:cols w:equalWidth="0" w:num="6">
            <w:col w:w="3220" w:space="720"/>
            <w:col w:w="140" w:space="160"/>
            <w:col w:w="1900" w:space="580"/>
            <w:col w:w="160" w:space="140"/>
            <w:col w:w="1900" w:space="600"/>
            <w:col w:w="1720"/>
          </w:cols>
          <w:pgMar w:left="320" w:top="245" w:right="339" w:bottom="1440" w:gutter="0" w:footer="0" w:header="0"/>
          <w:type w:val="continuous"/>
        </w:sectPr>
      </w:pPr>
    </w:p>
    <w:p>
      <w:pPr>
        <w:spacing w:after="0" w:line="1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4" w:lineRule="exact"/>
        <w:rPr>
          <w:sz w:val="24"/>
          <w:szCs w:val="24"/>
          <w:color w:val="auto"/>
        </w:rPr>
      </w:pPr>
    </w:p>
    <w:p>
      <w:pPr>
        <w:spacing w:after="0" w:line="252" w:lineRule="auto"/>
        <w:rPr>
          <w:sz w:val="20"/>
          <w:szCs w:val="20"/>
          <w:color w:val="auto"/>
        </w:rPr>
      </w:pPr>
      <w:r>
        <w:rPr>
          <w:rFonts w:ascii="Arial" w:cs="Arial" w:eastAsia="Arial" w:hAnsi="Arial"/>
          <w:sz w:val="16"/>
          <w:szCs w:val="16"/>
          <w:color w:val="auto"/>
        </w:rPr>
        <w:t>As of July 28, 2022, the registrant’s outstanding common stock consisted of 35,485,315 shares of Class A common stock and 47,687,039 shares of Class B common stock, each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548640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80" w:type="dxa"/>
            <w:vAlign w:val="bottom"/>
            <w:gridSpan w:val="13"/>
          </w:tcPr>
          <w:p>
            <w:pPr>
              <w:ind w:left="36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10380" w:type="dxa"/>
            <w:vAlign w:val="bottom"/>
            <w:gridSpan w:val="3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Disclosure Regarding Forward Looking Statements</w:t>
              </w:r>
            </w:hyperlink>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ind w:left="6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w:t>
              </w:r>
            </w:hyperlink>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6220" w:type="dxa"/>
            <w:vAlign w:val="bottom"/>
            <w:gridSpan w:val="14"/>
          </w:tcPr>
          <w:p>
            <w:pPr>
              <w:jc w:val="center"/>
              <w:ind w:right="3280"/>
              <w:spacing w:after="0"/>
              <w:rPr>
                <w:rFonts w:ascii="Arial" w:cs="Arial" w:eastAsia="Arial" w:hAnsi="Arial"/>
                <w:sz w:val="18"/>
                <w:szCs w:val="18"/>
                <w:b w:val="1"/>
                <w:bCs w:val="1"/>
                <w:color w:val="0000FF"/>
                <w:w w:val="96"/>
              </w:rPr>
            </w:pPr>
            <w:hyperlink w:anchor="page3">
              <w:r>
                <w:rPr>
                  <w:rFonts w:ascii="Arial" w:cs="Arial" w:eastAsia="Arial" w:hAnsi="Arial"/>
                  <w:sz w:val="18"/>
                  <w:szCs w:val="18"/>
                  <w:b w:val="1"/>
                  <w:bCs w:val="1"/>
                  <w:color w:val="0000FF"/>
                  <w:w w:val="96"/>
                </w:rPr>
                <w:t>PART I - FINANCIAL INFORMATION</w:t>
              </w:r>
            </w:hyperlink>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36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2800" w:type="dxa"/>
            <w:vAlign w:val="bottom"/>
            <w:gridSpan w:val="1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2940" w:type="dxa"/>
            <w:vAlign w:val="bottom"/>
            <w:tcBorders>
              <w:top w:val="single" w:sz="8" w:color="0000FF"/>
            </w:tcBorders>
            <w:gridSpan w:val="6"/>
          </w:tcPr>
          <w:p>
            <w:pPr>
              <w:spacing w:after="0"/>
              <w:rPr>
                <w:sz w:val="24"/>
                <w:szCs w:val="24"/>
                <w:color w:val="auto"/>
              </w:rPr>
            </w:pPr>
          </w:p>
        </w:tc>
        <w:tc>
          <w:tcPr>
            <w:tcW w:w="3280" w:type="dxa"/>
            <w:vAlign w:val="bottom"/>
            <w:gridSpan w:val="8"/>
          </w:tcPr>
          <w:p>
            <w:pPr>
              <w:spacing w:after="0"/>
              <w:rPr>
                <w:sz w:val="24"/>
                <w:szCs w:val="24"/>
                <w:color w:val="auto"/>
              </w:rPr>
            </w:pPr>
          </w:p>
        </w:tc>
        <w:tc>
          <w:tcPr>
            <w:tcW w:w="840" w:type="dxa"/>
            <w:vAlign w:val="bottom"/>
            <w:gridSpan w:val="4"/>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20" w:type="dxa"/>
            <w:vAlign w:val="bottom"/>
            <w:gridSpan w:val="27"/>
          </w:tcPr>
          <w:p>
            <w:pPr>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Consolidated Balance Sheets as of June 30, 2022 (unaudited) and December 31, 2021 (audited)</w:t>
              </w:r>
            </w:hyperlink>
          </w:p>
        </w:tc>
        <w:tc>
          <w:tcPr>
            <w:tcW w:w="840" w:type="dxa"/>
            <w:vAlign w:val="bottom"/>
            <w:gridSpan w:val="4"/>
          </w:tcPr>
          <w:p>
            <w:pPr>
              <w:jc w:val="right"/>
              <w:ind w:right="40"/>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20" w:type="dxa"/>
            <w:vAlign w:val="bottom"/>
            <w:gridSpan w:val="27"/>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Consolidated Statements of Operations for the three and six months ended June 30, 2022 and 2021</w:t>
              </w:r>
            </w:hyperlink>
          </w:p>
        </w:tc>
        <w:tc>
          <w:tcPr>
            <w:tcW w:w="840" w:type="dxa"/>
            <w:vAlign w:val="bottom"/>
            <w:gridSpan w:val="4"/>
            <w:vMerge w:val="restart"/>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w:anchor="page5">
              <w:r>
                <w:rPr>
                  <w:rFonts w:ascii="Arial" w:cs="Arial" w:eastAsia="Arial" w:hAnsi="Arial"/>
                  <w:sz w:val="17"/>
                  <w:szCs w:val="17"/>
                  <w:color w:val="0000FF"/>
                </w:rPr>
                <w:t>(unaudited)</w:t>
              </w:r>
            </w:hyperlink>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20" w:type="dxa"/>
            <w:vAlign w:val="bottom"/>
            <w:gridSpan w:val="27"/>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Consolidated Statements of Comprehensive Income (Loss) for the three and six months ended June 30,</w:t>
              </w:r>
            </w:hyperlink>
          </w:p>
        </w:tc>
        <w:tc>
          <w:tcPr>
            <w:tcW w:w="840" w:type="dxa"/>
            <w:vAlign w:val="bottom"/>
            <w:gridSpan w:val="4"/>
            <w:vMerge w:val="restart"/>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20" w:type="dxa"/>
            <w:vAlign w:val="bottom"/>
            <w:tcBorders>
              <w:top w:val="single" w:sz="8" w:color="0000FF"/>
            </w:tcBorders>
            <w:gridSpan w:val="10"/>
          </w:tcPr>
          <w:p>
            <w:pPr>
              <w:spacing w:after="0" w:line="133" w:lineRule="exact"/>
              <w:rPr>
                <w:rFonts w:ascii="Arial" w:cs="Arial" w:eastAsia="Arial" w:hAnsi="Arial"/>
                <w:sz w:val="15"/>
                <w:szCs w:val="15"/>
                <w:color w:val="0000FF"/>
              </w:rPr>
            </w:pPr>
            <w:hyperlink w:anchor="page6">
              <w:r>
                <w:rPr>
                  <w:rFonts w:ascii="Arial" w:cs="Arial" w:eastAsia="Arial" w:hAnsi="Arial"/>
                  <w:sz w:val="15"/>
                  <w:szCs w:val="15"/>
                  <w:color w:val="0000FF"/>
                </w:rPr>
                <w:t>2022 and 2021 (unaudited)</w:t>
              </w:r>
            </w:hyperlink>
          </w:p>
        </w:tc>
        <w:tc>
          <w:tcPr>
            <w:tcW w:w="3540" w:type="dxa"/>
            <w:vAlign w:val="bottom"/>
            <w:tcBorders>
              <w:top w:val="single" w:sz="8" w:color="0000FF"/>
            </w:tcBorders>
            <w:gridSpan w:val="8"/>
          </w:tcPr>
          <w:p>
            <w:pPr>
              <w:spacing w:after="0"/>
              <w:rPr>
                <w:sz w:val="11"/>
                <w:szCs w:val="11"/>
                <w:color w:val="auto"/>
              </w:rPr>
            </w:pPr>
          </w:p>
        </w:tc>
        <w:tc>
          <w:tcPr>
            <w:tcW w:w="1280" w:type="dxa"/>
            <w:vAlign w:val="bottom"/>
            <w:tcBorders>
              <w:top w:val="single" w:sz="8" w:color="0000FF"/>
            </w:tcBorders>
            <w:gridSpan w:val="2"/>
          </w:tcPr>
          <w:p>
            <w:pPr>
              <w:spacing w:after="0"/>
              <w:rPr>
                <w:sz w:val="11"/>
                <w:szCs w:val="11"/>
                <w:color w:val="auto"/>
              </w:rPr>
            </w:pPr>
          </w:p>
        </w:tc>
        <w:tc>
          <w:tcPr>
            <w:tcW w:w="1080" w:type="dxa"/>
            <w:vAlign w:val="bottom"/>
            <w:tcBorders>
              <w:top w:val="single" w:sz="8" w:color="0000FF"/>
            </w:tcBorders>
            <w:gridSpan w:val="3"/>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20" w:type="dxa"/>
            <w:vAlign w:val="bottom"/>
            <w:gridSpan w:val="27"/>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Consolidated Statements of Changes in Stockholders’ Equity for the three months ended June 30, 2022 and</w:t>
              </w:r>
            </w:hyperlink>
          </w:p>
        </w:tc>
        <w:tc>
          <w:tcPr>
            <w:tcW w:w="840" w:type="dxa"/>
            <w:vAlign w:val="bottom"/>
            <w:gridSpan w:val="4"/>
            <w:vMerge w:val="restart"/>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tcBorders>
              <w:top w:val="single" w:sz="8" w:color="0000FF"/>
            </w:tcBorders>
            <w:gridSpan w:val="4"/>
          </w:tcPr>
          <w:p>
            <w:pPr>
              <w:spacing w:after="0" w:line="152" w:lineRule="exact"/>
              <w:rPr>
                <w:rFonts w:ascii="Arial" w:cs="Arial" w:eastAsia="Arial" w:hAnsi="Arial"/>
                <w:sz w:val="17"/>
                <w:szCs w:val="17"/>
                <w:color w:val="0000FF"/>
              </w:rPr>
            </w:pPr>
            <w:hyperlink w:anchor="page7">
              <w:r>
                <w:rPr>
                  <w:rFonts w:ascii="Arial" w:cs="Arial" w:eastAsia="Arial" w:hAnsi="Arial"/>
                  <w:sz w:val="17"/>
                  <w:szCs w:val="17"/>
                  <w:color w:val="0000FF"/>
                </w:rPr>
                <w:t>2021 (unaudited)</w:t>
              </w:r>
            </w:hyperlink>
          </w:p>
        </w:tc>
        <w:tc>
          <w:tcPr>
            <w:tcW w:w="7100" w:type="dxa"/>
            <w:vAlign w:val="bottom"/>
            <w:tcBorders>
              <w:top w:val="single" w:sz="8" w:color="0000FF"/>
            </w:tcBorders>
            <w:gridSpan w:val="22"/>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20" w:type="dxa"/>
            <w:vAlign w:val="bottom"/>
            <w:gridSpan w:val="27"/>
          </w:tcPr>
          <w:p>
            <w:pPr>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Consolidated Statements of Changes in Stockholders’ Equity for the six months ended June 30, 2022 and</w:t>
              </w:r>
            </w:hyperlink>
          </w:p>
        </w:tc>
        <w:tc>
          <w:tcPr>
            <w:tcW w:w="840" w:type="dxa"/>
            <w:vAlign w:val="bottom"/>
            <w:gridSpan w:val="4"/>
            <w:vMerge w:val="restart"/>
          </w:tcPr>
          <w:p>
            <w:pPr>
              <w:jc w:val="right"/>
              <w:ind w:right="4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tcBorders>
              <w:top w:val="single" w:sz="8" w:color="0000FF"/>
            </w:tcBorders>
            <w:gridSpan w:val="4"/>
          </w:tcPr>
          <w:p>
            <w:pPr>
              <w:spacing w:after="0" w:line="152" w:lineRule="exact"/>
              <w:rPr>
                <w:rFonts w:ascii="Arial" w:cs="Arial" w:eastAsia="Arial" w:hAnsi="Arial"/>
                <w:sz w:val="17"/>
                <w:szCs w:val="17"/>
                <w:color w:val="0000FF"/>
              </w:rPr>
            </w:pPr>
            <w:hyperlink w:anchor="page8">
              <w:r>
                <w:rPr>
                  <w:rFonts w:ascii="Arial" w:cs="Arial" w:eastAsia="Arial" w:hAnsi="Arial"/>
                  <w:sz w:val="17"/>
                  <w:szCs w:val="17"/>
                  <w:color w:val="0000FF"/>
                </w:rPr>
                <w:t>2021 (unaudited)</w:t>
              </w:r>
            </w:hyperlink>
          </w:p>
        </w:tc>
        <w:tc>
          <w:tcPr>
            <w:tcW w:w="6920" w:type="dxa"/>
            <w:vAlign w:val="bottom"/>
            <w:tcBorders>
              <w:top w:val="single" w:sz="8" w:color="0000FF"/>
            </w:tcBorders>
            <w:gridSpan w:val="21"/>
          </w:tcPr>
          <w:p>
            <w:pPr>
              <w:spacing w:after="0"/>
              <w:rPr>
                <w:sz w:val="13"/>
                <w:szCs w:val="13"/>
                <w:color w:val="auto"/>
              </w:rPr>
            </w:pPr>
          </w:p>
        </w:tc>
        <w:tc>
          <w:tcPr>
            <w:tcW w:w="760" w:type="dxa"/>
            <w:vAlign w:val="bottom"/>
            <w:gridSpan w:val="2"/>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20" w:type="dxa"/>
            <w:vAlign w:val="bottom"/>
            <w:gridSpan w:val="23"/>
          </w:tcPr>
          <w:p>
            <w:pPr>
              <w:spacing w:after="0" w:line="205" w:lineRule="exact"/>
              <w:rPr>
                <w:rFonts w:ascii="Arial" w:cs="Arial" w:eastAsia="Arial" w:hAnsi="Arial"/>
                <w:sz w:val="18"/>
                <w:szCs w:val="18"/>
                <w:color w:val="0000FF"/>
                <w:w w:val="97"/>
              </w:rPr>
            </w:pPr>
            <w:hyperlink w:anchor="page9">
              <w:r>
                <w:rPr>
                  <w:rFonts w:ascii="Arial" w:cs="Arial" w:eastAsia="Arial" w:hAnsi="Arial"/>
                  <w:sz w:val="18"/>
                  <w:szCs w:val="18"/>
                  <w:color w:val="0000FF"/>
                  <w:w w:val="97"/>
                </w:rPr>
                <w:t xml:space="preserve">Consolidated Statements of Cash Flows for the six months ended June </w:t>
              </w:r>
            </w:hyperlink>
            <w:r>
              <w:rPr>
                <w:rFonts w:ascii="Arial" w:cs="Arial" w:eastAsia="Arial" w:hAnsi="Arial"/>
                <w:sz w:val="18"/>
                <w:szCs w:val="18"/>
                <w:color w:val="0000FF"/>
                <w:w w:val="97"/>
              </w:rPr>
              <w:t xml:space="preserve">30, </w:t>
            </w:r>
            <w:hyperlink w:anchor="page9">
              <w:r>
                <w:rPr>
                  <w:rFonts w:ascii="Arial" w:cs="Arial" w:eastAsia="Arial" w:hAnsi="Arial"/>
                  <w:sz w:val="18"/>
                  <w:szCs w:val="18"/>
                  <w:color w:val="0000FF"/>
                  <w:w w:val="97"/>
                </w:rPr>
                <w:t>2022 and 2021 (unaudited)</w:t>
              </w:r>
            </w:hyperlink>
          </w:p>
        </w:tc>
        <w:tc>
          <w:tcPr>
            <w:tcW w:w="1000" w:type="dxa"/>
            <w:vAlign w:val="bottom"/>
            <w:gridSpan w:val="4"/>
          </w:tcPr>
          <w:p>
            <w:pPr>
              <w:spacing w:after="0"/>
              <w:rPr>
                <w:sz w:val="17"/>
                <w:szCs w:val="17"/>
                <w:color w:val="auto"/>
              </w:rPr>
            </w:pPr>
          </w:p>
        </w:tc>
        <w:tc>
          <w:tcPr>
            <w:tcW w:w="840" w:type="dxa"/>
            <w:vAlign w:val="bottom"/>
            <w:gridSpan w:val="4"/>
          </w:tcPr>
          <w:p>
            <w:pPr>
              <w:jc w:val="right"/>
              <w:ind w:right="40"/>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20" w:type="dxa"/>
            <w:vAlign w:val="bottom"/>
            <w:gridSpan w:val="23"/>
          </w:tcPr>
          <w:p>
            <w:pPr>
              <w:spacing w:after="0" w:line="205" w:lineRule="exact"/>
              <w:rPr>
                <w:rFonts w:ascii="Arial" w:cs="Arial" w:eastAsia="Arial" w:hAnsi="Arial"/>
                <w:sz w:val="18"/>
                <w:szCs w:val="18"/>
                <w:color w:val="0000FF"/>
              </w:rPr>
            </w:pPr>
            <w:hyperlink w:anchor="page10">
              <w:r>
                <w:rPr>
                  <w:rFonts w:ascii="Arial" w:cs="Arial" w:eastAsia="Arial" w:hAnsi="Arial"/>
                  <w:sz w:val="18"/>
                  <w:szCs w:val="18"/>
                  <w:color w:val="0000FF"/>
                </w:rPr>
                <w:t>Notes to the Consolidated Financial Statements (unaudited)</w:t>
              </w:r>
            </w:hyperlink>
          </w:p>
        </w:tc>
        <w:tc>
          <w:tcPr>
            <w:tcW w:w="1000" w:type="dxa"/>
            <w:vAlign w:val="bottom"/>
            <w:gridSpan w:val="4"/>
          </w:tcPr>
          <w:p>
            <w:pPr>
              <w:spacing w:after="0"/>
              <w:rPr>
                <w:sz w:val="17"/>
                <w:szCs w:val="17"/>
                <w:color w:val="auto"/>
              </w:rPr>
            </w:pPr>
          </w:p>
        </w:tc>
        <w:tc>
          <w:tcPr>
            <w:tcW w:w="840" w:type="dxa"/>
            <w:vAlign w:val="bottom"/>
            <w:gridSpan w:val="4"/>
          </w:tcPr>
          <w:p>
            <w:pPr>
              <w:jc w:val="right"/>
              <w:ind w:right="40"/>
              <w:spacing w:after="0" w:line="205"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rFonts w:ascii="Arial" w:cs="Arial" w:eastAsia="Arial" w:hAnsi="Arial"/>
                <w:sz w:val="18"/>
                <w:szCs w:val="18"/>
                <w:color w:val="0000FF"/>
              </w:rPr>
            </w:pPr>
            <w:hyperlink w:anchor="page42">
              <w:r>
                <w:rPr>
                  <w:rFonts w:ascii="Arial" w:cs="Arial" w:eastAsia="Arial" w:hAnsi="Arial"/>
                  <w:sz w:val="18"/>
                  <w:szCs w:val="18"/>
                  <w:color w:val="0000FF"/>
                </w:rPr>
                <w:t>Item 2.</w:t>
              </w:r>
            </w:hyperlink>
          </w:p>
        </w:tc>
        <w:tc>
          <w:tcPr>
            <w:tcW w:w="9020" w:type="dxa"/>
            <w:vAlign w:val="bottom"/>
            <w:gridSpan w:val="27"/>
          </w:tcPr>
          <w:p>
            <w:pPr>
              <w:spacing w:after="0" w:line="205" w:lineRule="exact"/>
              <w:rPr>
                <w:rFonts w:ascii="Arial" w:cs="Arial" w:eastAsia="Arial" w:hAnsi="Arial"/>
                <w:sz w:val="18"/>
                <w:szCs w:val="18"/>
                <w:color w:val="0000FF"/>
              </w:rPr>
            </w:pPr>
            <w:hyperlink w:anchor="page42">
              <w:r>
                <w:rPr>
                  <w:rFonts w:ascii="Arial" w:cs="Arial" w:eastAsia="Arial" w:hAnsi="Arial"/>
                  <w:sz w:val="18"/>
                  <w:szCs w:val="18"/>
                  <w:color w:val="0000FF"/>
                </w:rPr>
                <w:t>Management’s Discussion and Analysis of Financial Condition and Results of Operations</w:t>
              </w:r>
            </w:hyperlink>
          </w:p>
        </w:tc>
        <w:tc>
          <w:tcPr>
            <w:tcW w:w="840" w:type="dxa"/>
            <w:vAlign w:val="bottom"/>
            <w:gridSpan w:val="4"/>
          </w:tcPr>
          <w:p>
            <w:pPr>
              <w:jc w:val="right"/>
              <w:ind w:right="40"/>
              <w:spacing w:after="0" w:line="205" w:lineRule="exact"/>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tcBorders>
              <w:bottom w:val="single" w:sz="8" w:color="0000FF"/>
            </w:tcBorders>
            <w:gridSpan w:val="2"/>
          </w:tcPr>
          <w:p>
            <w:pPr>
              <w:spacing w:after="0" w:line="205" w:lineRule="exact"/>
              <w:rPr>
                <w:rFonts w:ascii="Arial" w:cs="Arial" w:eastAsia="Arial" w:hAnsi="Arial"/>
                <w:sz w:val="18"/>
                <w:szCs w:val="18"/>
                <w:color w:val="0000FF"/>
              </w:rPr>
            </w:pPr>
            <w:hyperlink w:anchor="page64">
              <w:r>
                <w:rPr>
                  <w:rFonts w:ascii="Arial" w:cs="Arial" w:eastAsia="Arial" w:hAnsi="Arial"/>
                  <w:sz w:val="18"/>
                  <w:szCs w:val="18"/>
                  <w:color w:val="0000FF"/>
                </w:rPr>
                <w:t>Item 3.</w:t>
              </w:r>
            </w:hyperlink>
          </w:p>
        </w:tc>
        <w:tc>
          <w:tcPr>
            <w:tcW w:w="700" w:type="dxa"/>
            <w:vAlign w:val="bottom"/>
          </w:tcPr>
          <w:p>
            <w:pPr>
              <w:spacing w:after="0"/>
              <w:rPr>
                <w:sz w:val="17"/>
                <w:szCs w:val="17"/>
                <w:color w:val="auto"/>
              </w:rPr>
            </w:pPr>
          </w:p>
        </w:tc>
        <w:tc>
          <w:tcPr>
            <w:tcW w:w="4660" w:type="dxa"/>
            <w:vAlign w:val="bottom"/>
            <w:tcBorders>
              <w:bottom w:val="single" w:sz="8" w:color="0000FF"/>
            </w:tcBorders>
            <w:gridSpan w:val="15"/>
          </w:tcPr>
          <w:p>
            <w:pPr>
              <w:spacing w:after="0" w:line="205" w:lineRule="exact"/>
              <w:rPr>
                <w:rFonts w:ascii="Arial" w:cs="Arial" w:eastAsia="Arial" w:hAnsi="Arial"/>
                <w:sz w:val="18"/>
                <w:szCs w:val="18"/>
                <w:color w:val="0000FF"/>
                <w:w w:val="98"/>
              </w:rPr>
            </w:pPr>
            <w:hyperlink w:anchor="page64">
              <w:r>
                <w:rPr>
                  <w:rFonts w:ascii="Arial" w:cs="Arial" w:eastAsia="Arial" w:hAnsi="Arial"/>
                  <w:sz w:val="18"/>
                  <w:szCs w:val="18"/>
                  <w:color w:val="0000FF"/>
                  <w:w w:val="98"/>
                </w:rPr>
                <w:t>Quantitative and Qualitative Disclosures about Market Risk</w:t>
              </w:r>
            </w:hyperlink>
          </w:p>
        </w:tc>
        <w:tc>
          <w:tcPr>
            <w:tcW w:w="4360" w:type="dxa"/>
            <w:vAlign w:val="bottom"/>
            <w:gridSpan w:val="12"/>
          </w:tcPr>
          <w:p>
            <w:pPr>
              <w:spacing w:after="0"/>
              <w:rPr>
                <w:sz w:val="17"/>
                <w:szCs w:val="17"/>
                <w:color w:val="auto"/>
              </w:rPr>
            </w:pPr>
          </w:p>
        </w:tc>
        <w:tc>
          <w:tcPr>
            <w:tcW w:w="840" w:type="dxa"/>
            <w:vAlign w:val="bottom"/>
            <w:gridSpan w:val="4"/>
          </w:tcPr>
          <w:p>
            <w:pPr>
              <w:jc w:val="right"/>
              <w:ind w:right="40"/>
              <w:spacing w:after="0" w:line="205" w:lineRule="exact"/>
              <w:rPr>
                <w:rFonts w:ascii="Arial" w:cs="Arial" w:eastAsia="Arial" w:hAnsi="Arial"/>
                <w:sz w:val="18"/>
                <w:szCs w:val="18"/>
                <w:color w:val="0000FF"/>
              </w:rPr>
            </w:pPr>
            <w:hyperlink w:anchor="page64">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rFonts w:ascii="Arial" w:cs="Arial" w:eastAsia="Arial" w:hAnsi="Arial"/>
                <w:sz w:val="18"/>
                <w:szCs w:val="18"/>
                <w:color w:val="0000FF"/>
              </w:rPr>
            </w:pPr>
            <w:hyperlink w:anchor="page64">
              <w:r>
                <w:rPr>
                  <w:rFonts w:ascii="Arial" w:cs="Arial" w:eastAsia="Arial" w:hAnsi="Arial"/>
                  <w:sz w:val="18"/>
                  <w:szCs w:val="18"/>
                  <w:color w:val="0000FF"/>
                </w:rPr>
                <w:t>Item 4.</w:t>
              </w:r>
            </w:hyperlink>
          </w:p>
        </w:tc>
        <w:tc>
          <w:tcPr>
            <w:tcW w:w="9020" w:type="dxa"/>
            <w:vAlign w:val="bottom"/>
            <w:gridSpan w:val="27"/>
          </w:tcPr>
          <w:p>
            <w:pPr>
              <w:spacing w:after="0" w:line="205" w:lineRule="exact"/>
              <w:rPr>
                <w:rFonts w:ascii="Arial" w:cs="Arial" w:eastAsia="Arial" w:hAnsi="Arial"/>
                <w:sz w:val="18"/>
                <w:szCs w:val="18"/>
                <w:color w:val="0000FF"/>
              </w:rPr>
            </w:pPr>
            <w:hyperlink w:anchor="page64">
              <w:r>
                <w:rPr>
                  <w:rFonts w:ascii="Arial" w:cs="Arial" w:eastAsia="Arial" w:hAnsi="Arial"/>
                  <w:sz w:val="18"/>
                  <w:szCs w:val="18"/>
                  <w:color w:val="0000FF"/>
                </w:rPr>
                <w:t>Controls and Procedures</w:t>
              </w:r>
            </w:hyperlink>
          </w:p>
        </w:tc>
        <w:tc>
          <w:tcPr>
            <w:tcW w:w="840" w:type="dxa"/>
            <w:vAlign w:val="bottom"/>
            <w:gridSpan w:val="4"/>
          </w:tcPr>
          <w:p>
            <w:pPr>
              <w:jc w:val="right"/>
              <w:ind w:right="40"/>
              <w:spacing w:after="0" w:line="205" w:lineRule="exact"/>
              <w:rPr>
                <w:rFonts w:ascii="Arial" w:cs="Arial" w:eastAsia="Arial" w:hAnsi="Arial"/>
                <w:sz w:val="18"/>
                <w:szCs w:val="18"/>
                <w:color w:val="0000FF"/>
              </w:rPr>
            </w:pPr>
            <w:hyperlink w:anchor="page64">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80" w:type="dxa"/>
            <w:vAlign w:val="bottom"/>
            <w:gridSpan w:val="13"/>
          </w:tcPr>
          <w:p>
            <w:pPr>
              <w:jc w:val="center"/>
              <w:ind w:right="3420"/>
              <w:spacing w:after="0"/>
              <w:rPr>
                <w:rFonts w:ascii="Arial" w:cs="Arial" w:eastAsia="Arial" w:hAnsi="Arial"/>
                <w:sz w:val="18"/>
                <w:szCs w:val="18"/>
                <w:b w:val="1"/>
                <w:bCs w:val="1"/>
                <w:color w:val="0000FF"/>
                <w:w w:val="96"/>
              </w:rPr>
            </w:pPr>
            <w:hyperlink w:anchor="page64">
              <w:r>
                <w:rPr>
                  <w:rFonts w:ascii="Arial" w:cs="Arial" w:eastAsia="Arial" w:hAnsi="Arial"/>
                  <w:sz w:val="18"/>
                  <w:szCs w:val="18"/>
                  <w:b w:val="1"/>
                  <w:bCs w:val="1"/>
                  <w:color w:val="0000FF"/>
                  <w:w w:val="96"/>
                </w:rPr>
                <w:t>PART II - OTHER INFORMATION</w:t>
              </w:r>
            </w:hyperlink>
          </w:p>
        </w:tc>
        <w:tc>
          <w:tcPr>
            <w:tcW w:w="6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360" w:type="dxa"/>
            <w:vAlign w:val="bottom"/>
            <w:gridSpan w:val="3"/>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Item 1.</w:t>
              </w:r>
            </w:hyperlink>
          </w:p>
        </w:tc>
        <w:tc>
          <w:tcPr>
            <w:tcW w:w="2940" w:type="dxa"/>
            <w:vAlign w:val="bottom"/>
            <w:gridSpan w:val="14"/>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Legal Proceedings</w:t>
              </w:r>
            </w:hyperlink>
          </w:p>
        </w:tc>
        <w:tc>
          <w:tcPr>
            <w:tcW w:w="2660" w:type="dxa"/>
            <w:vAlign w:val="bottom"/>
            <w:tcBorders>
              <w:top w:val="single" w:sz="8" w:color="0000FF"/>
            </w:tcBorders>
            <w:gridSpan w:val="3"/>
          </w:tcPr>
          <w:p>
            <w:pPr>
              <w:spacing w:after="0"/>
              <w:rPr>
                <w:sz w:val="24"/>
                <w:szCs w:val="24"/>
                <w:color w:val="auto"/>
              </w:rPr>
            </w:pPr>
          </w:p>
        </w:tc>
        <w:tc>
          <w:tcPr>
            <w:tcW w:w="3420" w:type="dxa"/>
            <w:vAlign w:val="bottom"/>
            <w:gridSpan w:val="10"/>
          </w:tcPr>
          <w:p>
            <w:pPr>
              <w:spacing w:after="0"/>
              <w:rPr>
                <w:sz w:val="24"/>
                <w:szCs w:val="24"/>
                <w:color w:val="auto"/>
              </w:rPr>
            </w:pPr>
          </w:p>
        </w:tc>
        <w:tc>
          <w:tcPr>
            <w:tcW w:w="840" w:type="dxa"/>
            <w:vAlign w:val="bottom"/>
            <w:gridSpan w:val="4"/>
          </w:tcPr>
          <w:p>
            <w:pPr>
              <w:jc w:val="right"/>
              <w:ind w:right="40"/>
              <w:spacing w:after="0"/>
              <w:rPr>
                <w:rFonts w:ascii="Arial" w:cs="Arial" w:eastAsia="Arial" w:hAnsi="Arial"/>
                <w:sz w:val="18"/>
                <w:szCs w:val="18"/>
                <w:color w:val="0000FF"/>
              </w:rPr>
            </w:pPr>
            <w:hyperlink w:anchor="page65">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Item 1A.</w:t>
              </w:r>
            </w:hyperlink>
          </w:p>
        </w:tc>
        <w:tc>
          <w:tcPr>
            <w:tcW w:w="9020" w:type="dxa"/>
            <w:vAlign w:val="bottom"/>
            <w:gridSpan w:val="27"/>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Risk Factors</w:t>
              </w:r>
            </w:hyperlink>
          </w:p>
        </w:tc>
        <w:tc>
          <w:tcPr>
            <w:tcW w:w="840" w:type="dxa"/>
            <w:vAlign w:val="bottom"/>
            <w:gridSpan w:val="4"/>
          </w:tcPr>
          <w:p>
            <w:pPr>
              <w:jc w:val="right"/>
              <w:ind w:right="40"/>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426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gridSpan w:val="2"/>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Item 2.</w:t>
              </w:r>
            </w:hyperlink>
          </w:p>
        </w:tc>
        <w:tc>
          <w:tcPr>
            <w:tcW w:w="700" w:type="dxa"/>
            <w:vAlign w:val="bottom"/>
          </w:tcPr>
          <w:p>
            <w:pPr>
              <w:spacing w:after="0"/>
              <w:rPr>
                <w:sz w:val="17"/>
                <w:szCs w:val="17"/>
                <w:color w:val="auto"/>
              </w:rPr>
            </w:pPr>
          </w:p>
        </w:tc>
        <w:tc>
          <w:tcPr>
            <w:tcW w:w="9020" w:type="dxa"/>
            <w:vAlign w:val="bottom"/>
            <w:gridSpan w:val="27"/>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Unregistered Sales of Equity Securities and Use of Proceeds</w:t>
              </w:r>
            </w:hyperlink>
          </w:p>
        </w:tc>
        <w:tc>
          <w:tcPr>
            <w:tcW w:w="840" w:type="dxa"/>
            <w:vAlign w:val="bottom"/>
            <w:gridSpan w:val="4"/>
          </w:tcPr>
          <w:p>
            <w:pPr>
              <w:jc w:val="right"/>
              <w:ind w:right="40"/>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Item 3.</w:t>
              </w:r>
            </w:hyperlink>
          </w:p>
        </w:tc>
        <w:tc>
          <w:tcPr>
            <w:tcW w:w="9020" w:type="dxa"/>
            <w:vAlign w:val="bottom"/>
            <w:gridSpan w:val="27"/>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Defaults Upon Senior Securities</w:t>
              </w:r>
            </w:hyperlink>
          </w:p>
        </w:tc>
        <w:tc>
          <w:tcPr>
            <w:tcW w:w="840" w:type="dxa"/>
            <w:vAlign w:val="bottom"/>
            <w:gridSpan w:val="4"/>
          </w:tcPr>
          <w:p>
            <w:pPr>
              <w:jc w:val="right"/>
              <w:ind w:right="40"/>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Item 4.</w:t>
              </w:r>
            </w:hyperlink>
          </w:p>
        </w:tc>
        <w:tc>
          <w:tcPr>
            <w:tcW w:w="9020" w:type="dxa"/>
            <w:vAlign w:val="bottom"/>
            <w:gridSpan w:val="27"/>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Mine Safety Disclosures</w:t>
              </w:r>
            </w:hyperlink>
          </w:p>
        </w:tc>
        <w:tc>
          <w:tcPr>
            <w:tcW w:w="840" w:type="dxa"/>
            <w:vAlign w:val="bottom"/>
            <w:gridSpan w:val="4"/>
          </w:tcPr>
          <w:p>
            <w:pPr>
              <w:jc w:val="right"/>
              <w:ind w:right="40"/>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140" w:type="dxa"/>
            <w:vAlign w:val="bottom"/>
            <w:gridSpan w:val="1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Item 5.</w:t>
              </w:r>
            </w:hyperlink>
          </w:p>
        </w:tc>
        <w:tc>
          <w:tcPr>
            <w:tcW w:w="9020" w:type="dxa"/>
            <w:vAlign w:val="bottom"/>
            <w:gridSpan w:val="27"/>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Other Information</w:t>
              </w:r>
            </w:hyperlink>
          </w:p>
        </w:tc>
        <w:tc>
          <w:tcPr>
            <w:tcW w:w="840" w:type="dxa"/>
            <w:vAlign w:val="bottom"/>
            <w:gridSpan w:val="4"/>
          </w:tcPr>
          <w:p>
            <w:pPr>
              <w:jc w:val="right"/>
              <w:ind w:right="40"/>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660" w:type="dxa"/>
            <w:vAlign w:val="bottom"/>
            <w:gridSpan w:val="2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Item 6.</w:t>
              </w:r>
            </w:hyperlink>
          </w:p>
        </w:tc>
        <w:tc>
          <w:tcPr>
            <w:tcW w:w="9020" w:type="dxa"/>
            <w:vAlign w:val="bottom"/>
            <w:gridSpan w:val="27"/>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Exhibits</w:t>
              </w:r>
            </w:hyperlink>
          </w:p>
        </w:tc>
        <w:tc>
          <w:tcPr>
            <w:tcW w:w="840" w:type="dxa"/>
            <w:vAlign w:val="bottom"/>
            <w:gridSpan w:val="4"/>
          </w:tcPr>
          <w:p>
            <w:pPr>
              <w:jc w:val="right"/>
              <w:ind w:right="40"/>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140" w:type="dxa"/>
            <w:vAlign w:val="bottom"/>
            <w:gridSpan w:val="2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20" w:type="dxa"/>
            <w:vAlign w:val="bottom"/>
            <w:gridSpan w:val="27"/>
          </w:tcPr>
          <w:p>
            <w:pPr>
              <w:spacing w:after="0" w:line="205" w:lineRule="exact"/>
              <w:rPr>
                <w:rFonts w:ascii="Arial" w:cs="Arial" w:eastAsia="Arial" w:hAnsi="Arial"/>
                <w:sz w:val="18"/>
                <w:szCs w:val="18"/>
                <w:color w:val="0000FF"/>
              </w:rPr>
            </w:pPr>
            <w:hyperlink w:anchor="page66">
              <w:r>
                <w:rPr>
                  <w:rFonts w:ascii="Arial" w:cs="Arial" w:eastAsia="Arial" w:hAnsi="Arial"/>
                  <w:sz w:val="18"/>
                  <w:szCs w:val="18"/>
                  <w:color w:val="0000FF"/>
                </w:rPr>
                <w:t>Signatures</w:t>
              </w:r>
            </w:hyperlink>
          </w:p>
        </w:tc>
        <w:tc>
          <w:tcPr>
            <w:tcW w:w="840" w:type="dxa"/>
            <w:vAlign w:val="bottom"/>
            <w:gridSpan w:val="4"/>
          </w:tcPr>
          <w:p>
            <w:pPr>
              <w:jc w:val="right"/>
              <w:ind w:right="40"/>
              <w:spacing w:after="0" w:line="205" w:lineRule="exact"/>
              <w:rPr>
                <w:rFonts w:ascii="Arial" w:cs="Arial" w:eastAsia="Arial" w:hAnsi="Arial"/>
                <w:sz w:val="18"/>
                <w:szCs w:val="18"/>
                <w:color w:val="0000FF"/>
              </w:rPr>
            </w:pPr>
            <w:hyperlink w:anchor="page66">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1245"/>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future developments,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“project,” “continue,” “future,” “will,” “would,” “could,” “can,” “may” and similar terms. These forward-looking statements are based on information available to us as of the date of this Form 10-Q and represent management’s current views and assumptions based on past experience and trends, current economic and industry conditions, expected future developments and other relevant factors. Forward-looking statements are not guarantees of future performance, events or results and involve potential known and unknown risks, uncertainties, including the impact of the coronavirus pandemic (COVID-19), and other factors, many of which may be beyond our control and may pose a risk to our operating and financial condition both the near- and long-term. Accordingly, actual performance, events or results could differ materially from those expressed or implied in the forward-looking statements due to a number of factors including, but not limited to:</w:t>
      </w:r>
    </w:p>
    <w:p>
      <w:pPr>
        <w:spacing w:after="0" w:line="204" w:lineRule="exact"/>
        <w:rPr>
          <w:sz w:val="20"/>
          <w:szCs w:val="20"/>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risks related to our ability to operate and control our satellites, operational and environmental risks related to our owned and leased satellites, and risks related to our satellites under construction;</w:t>
      </w:r>
    </w:p>
    <w:p>
      <w:pPr>
        <w:spacing w:after="0" w:line="97"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engage to operate our business as a result of the COVID-19 pandemic, including regulatory and competitive considerations;</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investments and other strategic initiatives;</w:t>
      </w:r>
    </w:p>
    <w:p>
      <w:pPr>
        <w:spacing w:after="0" w:line="8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proceedings relating to the BSS Transaction or other matters that could result in substantial costs and material adverse effects to our business;</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dependency upon third-party providers; and</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human capital resources.</w:t>
      </w:r>
    </w:p>
    <w:p>
      <w:pPr>
        <w:spacing w:after="0" w:line="2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in Part I, Item 2 of this Form 10-Q and in Part II, Item 7 of our Form 10-K and those discussed in other documents we file with the SEC.</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160" w:type="dxa"/>
            <w:vAlign w:val="bottom"/>
            <w:tcBorders>
              <w:bottom w:val="single" w:sz="8" w:color="auto"/>
            </w:tcBorders>
          </w:tcPr>
          <w:p>
            <w:pPr>
              <w:spacing w:after="0"/>
              <w:rPr>
                <w:sz w:val="20"/>
                <w:szCs w:val="20"/>
                <w:color w:val="auto"/>
              </w:rPr>
            </w:pPr>
          </w:p>
        </w:tc>
      </w:tr>
      <w:tr>
        <w:trPr>
          <w:trHeight w:val="219"/>
        </w:trPr>
        <w:tc>
          <w:tcPr>
            <w:tcW w:w="7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2022</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r>
      <w:tr>
        <w:trPr>
          <w:trHeight w:val="219"/>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991,595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535,894</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Marketable investment securities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529,854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1,010,496</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receivable and contract assets,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224,016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182,063</w:t>
            </w:r>
          </w:p>
        </w:tc>
      </w:tr>
      <w:tr>
        <w:trPr>
          <w:trHeight w:val="22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 net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211,877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198,444</w:t>
            </w:r>
          </w:p>
        </w:tc>
      </w:tr>
      <w:tr>
        <w:trPr>
          <w:trHeight w:val="219"/>
        </w:trPr>
        <w:tc>
          <w:tcPr>
            <w:tcW w:w="786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1,957,342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1,926,897</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8"/>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2,312,526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2,338,285</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151,967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149,198</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533,505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511,086</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Regulatory authorizations,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464,523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469,766</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13,984</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Other investments,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352,078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297,747</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 net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329,564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338,241</w:t>
            </w:r>
          </w:p>
        </w:tc>
      </w:tr>
      <w:tr>
        <w:trPr>
          <w:trHeight w:val="218"/>
        </w:trPr>
        <w:tc>
          <w:tcPr>
            <w:tcW w:w="786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non-current assets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4,161,181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4,118,307</w:t>
            </w:r>
          </w:p>
        </w:tc>
      </w:tr>
      <w:tr>
        <w:trPr>
          <w:trHeight w:val="243"/>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6,118,523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6,045,204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109,338</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134,856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141,343</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209,442</w:t>
            </w:r>
          </w:p>
        </w:tc>
      </w:tr>
      <w:tr>
        <w:trPr>
          <w:trHeight w:val="218"/>
        </w:trPr>
        <w:tc>
          <w:tcPr>
            <w:tcW w:w="786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434,363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460,123</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1,496,379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1,495,994</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403,684</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137,446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134,897</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122,179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136,426</w:t>
            </w:r>
          </w:p>
        </w:tc>
      </w:tr>
      <w:tr>
        <w:trPr>
          <w:trHeight w:val="218"/>
        </w:trPr>
        <w:tc>
          <w:tcPr>
            <w:tcW w:w="786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non-current liabilities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2,184,604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2,171,001</w:t>
            </w:r>
          </w:p>
        </w:tc>
      </w:tr>
      <w:tr>
        <w:trPr>
          <w:trHeight w:val="218"/>
        </w:trPr>
        <w:tc>
          <w:tcPr>
            <w:tcW w:w="78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2,618,967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34860" cy="14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85"/>
        </w:trPr>
        <w:tc>
          <w:tcPr>
            <w:tcW w:w="7860" w:type="dxa"/>
            <w:vAlign w:val="bottom"/>
          </w:tcPr>
          <w:p>
            <w:pPr>
              <w:ind w:left="280"/>
              <w:spacing w:after="0" w:line="185" w:lineRule="exact"/>
              <w:rPr>
                <w:sz w:val="20"/>
                <w:szCs w:val="20"/>
                <w:color w:val="auto"/>
              </w:rPr>
            </w:pPr>
            <w:r>
              <w:rPr>
                <w:rFonts w:ascii="Arial" w:cs="Arial" w:eastAsia="Arial" w:hAnsi="Arial"/>
                <w:sz w:val="18"/>
                <w:szCs w:val="18"/>
                <w:color w:val="auto"/>
              </w:rPr>
              <w:t>Preferred stock, $0.001 par value, 20,000,000 shares authorized, none issued and outstanding</w:t>
            </w: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2"/>
        </w:trPr>
        <w:tc>
          <w:tcPr>
            <w:tcW w:w="7860" w:type="dxa"/>
            <w:vAlign w:val="bottom"/>
          </w:tcPr>
          <w:p>
            <w:pPr>
              <w:ind w:left="280"/>
              <w:spacing w:after="0"/>
              <w:rPr>
                <w:sz w:val="20"/>
                <w:szCs w:val="20"/>
                <w:color w:val="auto"/>
              </w:rPr>
            </w:pPr>
            <w:r>
              <w:rPr>
                <w:rFonts w:ascii="Arial" w:cs="Arial" w:eastAsia="Arial" w:hAnsi="Arial"/>
                <w:sz w:val="18"/>
                <w:szCs w:val="18"/>
                <w:color w:val="auto"/>
              </w:rPr>
              <w:t>at both June 30, 2022 and December 31, 2021</w:t>
            </w:r>
          </w:p>
        </w:tc>
        <w:tc>
          <w:tcPr>
            <w:tcW w:w="4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85"/>
        </w:trPr>
        <w:tc>
          <w:tcPr>
            <w:tcW w:w="7860" w:type="dxa"/>
            <w:vAlign w:val="bottom"/>
          </w:tcPr>
          <w:p>
            <w:pPr>
              <w:ind w:left="460"/>
              <w:spacing w:after="0" w:line="185" w:lineRule="exact"/>
              <w:rPr>
                <w:sz w:val="20"/>
                <w:szCs w:val="20"/>
                <w:color w:val="auto"/>
              </w:rPr>
            </w:pPr>
            <w:r>
              <w:rPr>
                <w:rFonts w:ascii="Arial" w:cs="Arial" w:eastAsia="Arial" w:hAnsi="Arial"/>
                <w:sz w:val="18"/>
                <w:szCs w:val="18"/>
                <w:color w:val="auto"/>
              </w:rPr>
              <w:t>Class A common stock, $0.001 par value, 1,600,000,000 shares authorized, 58,604,747</w:t>
            </w: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2"/>
        </w:trPr>
        <w:tc>
          <w:tcPr>
            <w:tcW w:w="7860" w:type="dxa"/>
            <w:vAlign w:val="bottom"/>
          </w:tcPr>
          <w:p>
            <w:pPr>
              <w:ind w:left="460"/>
              <w:spacing w:after="0" w:line="172" w:lineRule="exact"/>
              <w:rPr>
                <w:sz w:val="20"/>
                <w:szCs w:val="20"/>
                <w:color w:val="auto"/>
              </w:rPr>
            </w:pPr>
            <w:r>
              <w:rPr>
                <w:rFonts w:ascii="Arial" w:cs="Arial" w:eastAsia="Arial" w:hAnsi="Arial"/>
                <w:sz w:val="18"/>
                <w:szCs w:val="18"/>
                <w:color w:val="auto"/>
              </w:rPr>
              <w:t>shares issued and 35,885,079 shares outstanding at June 30, 2022 and 58,059,622 shares</w:t>
            </w: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2"/>
        </w:trPr>
        <w:tc>
          <w:tcPr>
            <w:tcW w:w="7860" w:type="dxa"/>
            <w:vAlign w:val="bottom"/>
          </w:tcPr>
          <w:p>
            <w:pPr>
              <w:ind w:left="460"/>
              <w:spacing w:after="0"/>
              <w:rPr>
                <w:sz w:val="20"/>
                <w:szCs w:val="20"/>
                <w:color w:val="auto"/>
              </w:rPr>
            </w:pPr>
            <w:r>
              <w:rPr>
                <w:rFonts w:ascii="Arial" w:cs="Arial" w:eastAsia="Arial" w:hAnsi="Arial"/>
                <w:sz w:val="18"/>
                <w:szCs w:val="18"/>
                <w:color w:val="auto"/>
              </w:rPr>
              <w:t>issued and 38,726,923 shares outstanding at December 31, 2021</w:t>
            </w: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185"/>
        </w:trPr>
        <w:tc>
          <w:tcPr>
            <w:tcW w:w="7860" w:type="dxa"/>
            <w:vAlign w:val="bottom"/>
            <w:shd w:val="clear" w:color="auto" w:fill="CCEEFF"/>
          </w:tcPr>
          <w:p>
            <w:pPr>
              <w:ind w:left="460"/>
              <w:spacing w:after="0" w:line="185" w:lineRule="exact"/>
              <w:rPr>
                <w:sz w:val="20"/>
                <w:szCs w:val="20"/>
                <w:color w:val="auto"/>
              </w:rPr>
            </w:pPr>
            <w:r>
              <w:rPr>
                <w:rFonts w:ascii="Arial" w:cs="Arial" w:eastAsia="Arial" w:hAnsi="Arial"/>
                <w:sz w:val="18"/>
                <w:szCs w:val="18"/>
                <w:color w:val="auto"/>
              </w:rPr>
              <w:t>Class B convertible common stock, $0.001 par value, 800,000,000 shares authorized,</w:t>
            </w: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3"/>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47,687,039 shares issued and outstanding at both June 30, 2022 and December 31, 2021</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185"/>
        </w:trPr>
        <w:tc>
          <w:tcPr>
            <w:tcW w:w="7860" w:type="dxa"/>
            <w:vAlign w:val="bottom"/>
          </w:tcPr>
          <w:p>
            <w:pPr>
              <w:ind w:left="460"/>
              <w:spacing w:after="0" w:line="185" w:lineRule="exact"/>
              <w:rPr>
                <w:sz w:val="20"/>
                <w:szCs w:val="20"/>
                <w:color w:val="auto"/>
              </w:rPr>
            </w:pPr>
            <w:r>
              <w:rPr>
                <w:rFonts w:ascii="Arial" w:cs="Arial" w:eastAsia="Arial" w:hAnsi="Arial"/>
                <w:sz w:val="18"/>
                <w:szCs w:val="18"/>
                <w:color w:val="auto"/>
              </w:rPr>
              <w:t>Class C convertible common stock, $0.001 par value, 800,000,000 shares authorized, none</w:t>
            </w: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2"/>
        </w:trPr>
        <w:tc>
          <w:tcPr>
            <w:tcW w:w="7860" w:type="dxa"/>
            <w:vAlign w:val="bottom"/>
          </w:tcPr>
          <w:p>
            <w:pPr>
              <w:ind w:left="460"/>
              <w:spacing w:after="0"/>
              <w:rPr>
                <w:sz w:val="20"/>
                <w:szCs w:val="20"/>
                <w:color w:val="auto"/>
              </w:rPr>
            </w:pPr>
            <w:r>
              <w:rPr>
                <w:rFonts w:ascii="Arial" w:cs="Arial" w:eastAsia="Arial" w:hAnsi="Arial"/>
                <w:sz w:val="18"/>
                <w:szCs w:val="18"/>
                <w:color w:val="auto"/>
              </w:rPr>
              <w:t>issued and outstanding at both June 30, 2022 and December 31, 2021</w:t>
            </w:r>
          </w:p>
        </w:tc>
        <w:tc>
          <w:tcPr>
            <w:tcW w:w="4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5"/>
        </w:trPr>
        <w:tc>
          <w:tcPr>
            <w:tcW w:w="7860" w:type="dxa"/>
            <w:vAlign w:val="bottom"/>
            <w:shd w:val="clear" w:color="auto" w:fill="CCEEFF"/>
          </w:tcPr>
          <w:p>
            <w:pPr>
              <w:ind w:left="460"/>
              <w:spacing w:after="0" w:line="185" w:lineRule="exact"/>
              <w:rPr>
                <w:sz w:val="20"/>
                <w:szCs w:val="20"/>
                <w:color w:val="auto"/>
              </w:rPr>
            </w:pPr>
            <w:r>
              <w:rPr>
                <w:rFonts w:ascii="Arial" w:cs="Arial" w:eastAsia="Arial" w:hAnsi="Arial"/>
                <w:sz w:val="18"/>
                <w:szCs w:val="18"/>
                <w:color w:val="auto"/>
              </w:rPr>
              <w:t>Class D common stock, $0.001 par value, 800,000,000 shares authorized, none issued and</w:t>
            </w: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3"/>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outstanding at both June 30, 2022 and December 31, 2021</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3,355,238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3,345,878</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(212,102)</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Accumulated earnings (losses)</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761,767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656,466</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shares, at cost</w:t>
            </w: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(514,418)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(436,521)</w:t>
            </w:r>
          </w:p>
        </w:tc>
      </w:tr>
      <w:tr>
        <w:trPr>
          <w:trHeight w:val="218"/>
        </w:trPr>
        <w:tc>
          <w:tcPr>
            <w:tcW w:w="7860" w:type="dxa"/>
            <w:vAlign w:val="bottom"/>
          </w:tcPr>
          <w:p>
            <w:pPr>
              <w:ind w:left="460"/>
              <w:spacing w:after="0" w:line="204" w:lineRule="exact"/>
              <w:rPr>
                <w:sz w:val="20"/>
                <w:szCs w:val="20"/>
                <w:color w:val="auto"/>
              </w:rPr>
            </w:pPr>
            <w:r>
              <w:rPr>
                <w:rFonts w:ascii="Arial" w:cs="Arial" w:eastAsia="Arial" w:hAnsi="Arial"/>
                <w:sz w:val="18"/>
                <w:szCs w:val="18"/>
                <w:color w:val="auto"/>
              </w:rPr>
              <w:t>Total EchoStar Corporation stockholders' equity</w:t>
            </w: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3,398,229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3,353,827</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101,327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60,253</w:t>
            </w:r>
          </w:p>
        </w:tc>
      </w:tr>
      <w:tr>
        <w:trPr>
          <w:trHeight w:val="218"/>
        </w:trPr>
        <w:tc>
          <w:tcPr>
            <w:tcW w:w="7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stockholders' equity</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3,499,556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3,414,080</w:t>
            </w:r>
          </w:p>
        </w:tc>
      </w:tr>
      <w:tr>
        <w:trPr>
          <w:trHeight w:val="243"/>
        </w:trPr>
        <w:tc>
          <w:tcPr>
            <w:tcW w:w="78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 and stockholders' equity</w:t>
            </w: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6,118,523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6,045,204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(Amounts in thousands, except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three months ended</w:t>
            </w:r>
          </w:p>
        </w:tc>
        <w:tc>
          <w:tcPr>
            <w:tcW w:w="180" w:type="dxa"/>
            <w:vAlign w:val="bottom"/>
          </w:tcPr>
          <w:p>
            <w:pPr>
              <w:spacing w:after="0"/>
              <w:rPr>
                <w:sz w:val="17"/>
                <w:szCs w:val="17"/>
                <w:color w:val="auto"/>
              </w:rPr>
            </w:pPr>
          </w:p>
        </w:tc>
        <w:tc>
          <w:tcPr>
            <w:tcW w:w="2420" w:type="dxa"/>
            <w:vAlign w:val="bottom"/>
            <w:gridSpan w:val="4"/>
          </w:tcPr>
          <w:p>
            <w:pPr>
              <w:jc w:val="right"/>
              <w:ind w:right="132"/>
              <w:spacing w:after="0"/>
              <w:rPr>
                <w:sz w:val="20"/>
                <w:szCs w:val="20"/>
                <w:color w:val="auto"/>
              </w:rPr>
            </w:pPr>
            <w:r>
              <w:rPr>
                <w:rFonts w:ascii="Arial" w:cs="Arial" w:eastAsia="Arial" w:hAnsi="Arial"/>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25"/>
        </w:trPr>
        <w:tc>
          <w:tcPr>
            <w:tcW w:w="5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5"/>
        </w:trPr>
        <w:tc>
          <w:tcPr>
            <w:tcW w:w="59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Services and other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414,697</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431,279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833,508</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861,616</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revenue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120,800</w:t>
            </w:r>
          </w:p>
        </w:tc>
        <w:tc>
          <w:tcPr>
            <w:tcW w:w="0" w:type="dxa"/>
            <w:vAlign w:val="bottom"/>
          </w:tcPr>
          <w:p>
            <w:pPr>
              <w:spacing w:after="0"/>
              <w:rPr>
                <w:sz w:val="1"/>
                <w:szCs w:val="1"/>
                <w:color w:val="auto"/>
              </w:rPr>
            </w:pPr>
          </w:p>
        </w:tc>
      </w:tr>
      <w:tr>
        <w:trPr>
          <w:trHeight w:val="218"/>
        </w:trPr>
        <w:tc>
          <w:tcPr>
            <w:tcW w:w="594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499,316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1,000,850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982,416</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940" w:type="dxa"/>
            <w:vAlign w:val="bottom"/>
          </w:tcPr>
          <w:p>
            <w:pPr>
              <w:ind w:left="220"/>
              <w:spacing w:after="0" w:line="185" w:lineRule="exact"/>
              <w:rPr>
                <w:sz w:val="20"/>
                <w:szCs w:val="20"/>
                <w:color w:val="auto"/>
              </w:rPr>
            </w:pPr>
            <w:r>
              <w:rPr>
                <w:rFonts w:ascii="Arial" w:cs="Arial" w:eastAsia="Arial" w:hAnsi="Arial"/>
                <w:sz w:val="18"/>
                <w:szCs w:val="18"/>
                <w:color w:val="auto"/>
              </w:rPr>
              <w:t>Cost of sales - services and other (exclusive of depreciation and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94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144,235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139,547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285,364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272,336</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99,654</w:t>
            </w:r>
          </w:p>
        </w:tc>
        <w:tc>
          <w:tcPr>
            <w:tcW w:w="0" w:type="dxa"/>
            <w:vAlign w:val="bottom"/>
          </w:tcPr>
          <w:p>
            <w:pPr>
              <w:spacing w:after="0"/>
              <w:rPr>
                <w:sz w:val="1"/>
                <w:szCs w:val="1"/>
                <w:color w:val="auto"/>
              </w:rPr>
            </w:pP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113,091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114,038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231,261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228,157</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14,986</w:t>
            </w:r>
          </w:p>
        </w:tc>
        <w:tc>
          <w:tcPr>
            <w:tcW w:w="0" w:type="dxa"/>
            <w:vAlign w:val="bottom"/>
          </w:tcPr>
          <w:p>
            <w:pPr>
              <w:spacing w:after="0"/>
              <w:rPr>
                <w:sz w:val="1"/>
                <w:szCs w:val="1"/>
                <w:color w:val="auto"/>
              </w:rPr>
            </w:pP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116,555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118,982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248,268</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of long-lived assets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8"/>
        </w:trPr>
        <w:tc>
          <w:tcPr>
            <w:tcW w:w="594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453,410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909,876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863,646</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118,770</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0" w:type="dxa"/>
            <w:vAlign w:val="bottom"/>
          </w:tcPr>
          <w:p>
            <w:pPr>
              <w:spacing w:after="0"/>
              <w:rPr>
                <w:sz w:val="1"/>
                <w:szCs w:val="1"/>
                <w:color w:val="auto"/>
              </w:rPr>
            </w:pP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(63,535)</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(losses) on investments, net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109,233</w:t>
            </w:r>
          </w:p>
        </w:tc>
        <w:tc>
          <w:tcPr>
            <w:tcW w:w="0" w:type="dxa"/>
            <w:vAlign w:val="bottom"/>
          </w:tcPr>
          <w:p>
            <w:pPr>
              <w:spacing w:after="0"/>
              <w:rPr>
                <w:sz w:val="1"/>
                <w:szCs w:val="1"/>
                <w:color w:val="auto"/>
              </w:rPr>
            </w:pP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Equity in earnings (losses) of unconsolidated affiliates, net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transaction gains (losses), net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25"/>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(13,697)</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37,116</w:t>
            </w:r>
          </w:p>
        </w:tc>
        <w:tc>
          <w:tcPr>
            <w:tcW w:w="0" w:type="dxa"/>
            <w:vAlign w:val="bottom"/>
          </w:tcPr>
          <w:p>
            <w:pPr>
              <w:spacing w:after="0"/>
              <w:rPr>
                <w:sz w:val="1"/>
                <w:szCs w:val="1"/>
                <w:color w:val="auto"/>
              </w:rPr>
            </w:pPr>
          </w:p>
        </w:tc>
      </w:tr>
      <w:tr>
        <w:trPr>
          <w:trHeight w:val="218"/>
        </w:trPr>
        <w:tc>
          <w:tcPr>
            <w:tcW w:w="5940" w:type="dxa"/>
            <w:vAlign w:val="bottom"/>
          </w:tcPr>
          <w:p>
            <w:pPr>
              <w:ind w:left="20"/>
              <w:spacing w:after="0" w:line="204" w:lineRule="exact"/>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137,590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155,886</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benefit (provision), net</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(43,299)</w:t>
            </w:r>
          </w:p>
        </w:tc>
        <w:tc>
          <w:tcPr>
            <w:tcW w:w="0" w:type="dxa"/>
            <w:vAlign w:val="bottom"/>
          </w:tcPr>
          <w:p>
            <w:pPr>
              <w:spacing w:after="0"/>
              <w:rPr>
                <w:sz w:val="1"/>
                <w:szCs w:val="1"/>
                <w:color w:val="auto"/>
              </w:rPr>
            </w:pPr>
          </w:p>
        </w:tc>
      </w:tr>
      <w:tr>
        <w:trPr>
          <w:trHeight w:val="218"/>
        </w:trPr>
        <w:tc>
          <w:tcPr>
            <w:tcW w:w="5940" w:type="dxa"/>
            <w:vAlign w:val="bottom"/>
          </w:tcPr>
          <w:p>
            <w:pPr>
              <w:ind w:left="20"/>
              <w:spacing w:after="0" w:line="204" w:lineRule="exact"/>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99,418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112,587</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loss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18"/>
        </w:trPr>
        <w:tc>
          <w:tcPr>
            <w:tcW w:w="5940" w:type="dxa"/>
            <w:vAlign w:val="bottom"/>
          </w:tcPr>
          <w:p>
            <w:pPr>
              <w:ind w:left="20"/>
              <w:spacing w:after="0" w:line="204" w:lineRule="exact"/>
              <w:rPr>
                <w:sz w:val="20"/>
                <w:szCs w:val="20"/>
                <w:color w:val="auto"/>
              </w:rPr>
            </w:pPr>
            <w:r>
              <w:rPr>
                <w:rFonts w:ascii="Arial" w:cs="Arial" w:eastAsia="Arial" w:hAnsi="Arial"/>
                <w:sz w:val="18"/>
                <w:szCs w:val="18"/>
                <w:color w:val="auto"/>
              </w:rPr>
              <w:t>Net income (loss) attributable to EchoStar Corporation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105,301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115,814</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Earnings (losses) per share - Class A and B common stock:</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0.16</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0.41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w:t>
            </w:r>
          </w:p>
        </w:tc>
        <w:tc>
          <w:tcPr>
            <w:tcW w:w="180" w:type="dxa"/>
            <w:vAlign w:val="bottom"/>
          </w:tcPr>
          <w:p>
            <w:pPr>
              <w:spacing w:after="0"/>
              <w:rPr>
                <w:sz w:val="17"/>
                <w:szCs w:val="17"/>
                <w:color w:val="auto"/>
              </w:rPr>
            </w:pPr>
          </w:p>
        </w:tc>
        <w:tc>
          <w:tcPr>
            <w:tcW w:w="2420" w:type="dxa"/>
            <w:vAlign w:val="bottom"/>
            <w:gridSpan w:val="4"/>
          </w:tcPr>
          <w:p>
            <w:pPr>
              <w:jc w:val="right"/>
              <w:ind w:right="132"/>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25"/>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18"/>
        </w:trPr>
        <w:tc>
          <w:tcPr>
            <w:tcW w:w="5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112,587</w:t>
            </w:r>
          </w:p>
        </w:tc>
      </w:tr>
      <w:tr>
        <w:trPr>
          <w:trHeight w:val="225"/>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13,278</w:t>
            </w:r>
          </w:p>
        </w:tc>
      </w:tr>
      <w:tr>
        <w:trPr>
          <w:trHeight w:val="225"/>
        </w:trPr>
        <w:tc>
          <w:tcPr>
            <w:tcW w:w="5960" w:type="dxa"/>
            <w:vAlign w:val="bottom"/>
          </w:tcPr>
          <w:p>
            <w:pPr>
              <w:ind w:left="120"/>
              <w:spacing w:after="0"/>
              <w:rPr>
                <w:sz w:val="20"/>
                <w:szCs w:val="20"/>
                <w:color w:val="auto"/>
              </w:rPr>
            </w:pPr>
            <w:r>
              <w:rPr>
                <w:rFonts w:ascii="Arial" w:cs="Arial" w:eastAsia="Arial" w:hAnsi="Arial"/>
                <w:sz w:val="18"/>
                <w:szCs w:val="18"/>
                <w:color w:val="auto"/>
              </w:rPr>
              <w:t>Unrealized gains (losses) on available-for-sale securities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6"/>
        </w:trPr>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r>
      <w:tr>
        <w:trPr>
          <w:trHeight w:val="225"/>
        </w:trPr>
        <w:tc>
          <w:tcPr>
            <w:tcW w:w="5960" w:type="dxa"/>
            <w:vAlign w:val="bottom"/>
          </w:tcPr>
          <w:p>
            <w:pPr>
              <w:ind w:left="120"/>
              <w:spacing w:after="0"/>
              <w:rPr>
                <w:sz w:val="20"/>
                <w:szCs w:val="20"/>
                <w:color w:val="auto"/>
              </w:rPr>
            </w:pPr>
            <w:r>
              <w:rPr>
                <w:rFonts w:ascii="Arial" w:cs="Arial" w:eastAsia="Arial" w:hAnsi="Arial"/>
                <w:sz w:val="18"/>
                <w:szCs w:val="18"/>
                <w:b w:val="1"/>
                <w:bCs w:val="1"/>
                <w:color w:val="auto"/>
              </w:rPr>
              <w:t>Amounts reclassified to net income (loss):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Realized losses (gains) on available-for-sale debt securities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9"/>
        </w:trPr>
        <w:tc>
          <w:tcPr>
            <w:tcW w:w="5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comprehensive income (loss), net of tax</w:t>
            </w: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(38,177)</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41,590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8,380</w:t>
            </w: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120,967</w:t>
            </w:r>
          </w:p>
        </w:tc>
      </w:tr>
      <w:tr>
        <w:trPr>
          <w:trHeight w:val="185"/>
        </w:trPr>
        <w:tc>
          <w:tcPr>
            <w:tcW w:w="5960" w:type="dxa"/>
            <w:vAlign w:val="bottom"/>
          </w:tcPr>
          <w:p>
            <w:pPr>
              <w:ind w:left="120"/>
              <w:spacing w:after="0" w:line="185" w:lineRule="exact"/>
              <w:rPr>
                <w:sz w:val="20"/>
                <w:szCs w:val="20"/>
                <w:color w:val="auto"/>
              </w:rPr>
            </w:pPr>
            <w:r>
              <w:rPr>
                <w:rFonts w:ascii="Arial" w:cs="Arial" w:eastAsia="Arial" w:hAnsi="Arial"/>
                <w:sz w:val="18"/>
                <w:szCs w:val="18"/>
                <w:color w:val="auto"/>
              </w:rPr>
              <w:t>Less: Comprehensive loss (income) attributable to non-controlling</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2"/>
        </w:trPr>
        <w:tc>
          <w:tcPr>
            <w:tcW w:w="5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EchoStar Corporation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121,464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40" w:right="339" w:bottom="1440" w:gutter="0" w:footer="0" w:header="0"/>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2022 AND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6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Shares, at</w:t>
            </w: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1"/>
                <w:szCs w:val="11"/>
                <w:color w:val="auto"/>
              </w:rPr>
            </w:pPr>
          </w:p>
        </w:tc>
        <w:tc>
          <w:tcPr>
            <w:tcW w:w="80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cost</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Interests</w:t>
            </w: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5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 March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3,333,047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(215,476)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662,110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(285,681)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63,759</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3,557,865</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b w:val="1"/>
                <w:bCs w:val="1"/>
                <w:color w:val="auto"/>
              </w:rPr>
              <w:t>Issuances of Class A common stock:</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Stock Purchase Plan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w:t>
            </w:r>
          </w:p>
        </w:tc>
        <w:tc>
          <w:tcPr>
            <w:tcW w:w="0" w:type="dxa"/>
            <w:vAlign w:val="bottom"/>
          </w:tcPr>
          <w:p>
            <w:pPr>
              <w:spacing w:after="0"/>
              <w:rPr>
                <w:sz w:val="1"/>
                <w:szCs w:val="1"/>
                <w:color w:val="auto"/>
              </w:rPr>
            </w:pPr>
          </w:p>
        </w:tc>
      </w:tr>
      <w:tr>
        <w:trPr>
          <w:trHeight w:val="225"/>
        </w:trPr>
        <w:tc>
          <w:tcPr>
            <w:tcW w:w="35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185"/>
        </w:trPr>
        <w:tc>
          <w:tcPr>
            <w:tcW w:w="3580" w:type="dxa"/>
            <w:vAlign w:val="bottom"/>
            <w:shd w:val="clear" w:color="auto" w:fill="CCEEFF"/>
          </w:tcPr>
          <w:p>
            <w:pPr>
              <w:ind w:left="120"/>
              <w:spacing w:after="0" w:line="185" w:lineRule="exact"/>
              <w:rPr>
                <w:sz w:val="20"/>
                <w:szCs w:val="20"/>
                <w:color w:val="auto"/>
              </w:rPr>
            </w:pPr>
            <w:r>
              <w:rPr>
                <w:rFonts w:ascii="Arial" w:cs="Arial" w:eastAsia="Arial" w:hAnsi="Arial"/>
                <w:sz w:val="18"/>
                <w:szCs w:val="18"/>
                <w:color w:val="auto"/>
              </w:rPr>
              <w:t>Contribution by non-controlling interest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holder</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4,480</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33,250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41,590</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35,015</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Treasury share repurchase</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(58,188)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(58,188)</w:t>
            </w:r>
          </w:p>
        </w:tc>
        <w:tc>
          <w:tcPr>
            <w:tcW w:w="0" w:type="dxa"/>
            <w:vAlign w:val="bottom"/>
          </w:tcPr>
          <w:p>
            <w:pPr>
              <w:spacing w:after="0"/>
              <w:rPr>
                <w:sz w:val="1"/>
                <w:szCs w:val="1"/>
                <w:color w:val="auto"/>
              </w:rPr>
            </w:pPr>
          </w:p>
        </w:tc>
      </w:tr>
      <w:tr>
        <w:trPr>
          <w:trHeight w:val="204"/>
        </w:trPr>
        <w:tc>
          <w:tcPr>
            <w:tcW w:w="3580" w:type="dxa"/>
            <w:vAlign w:val="bottom"/>
            <w:tcBorders>
              <w:top w:val="single" w:sz="8" w:color="CCEEFF"/>
              <w:bottom w:val="single" w:sz="8" w:color="CCEEFF"/>
            </w:tcBorders>
            <w:shd w:val="clear" w:color="auto" w:fill="CCEEFF"/>
          </w:tcPr>
          <w:p>
            <w:pPr>
              <w:ind w:left="20"/>
              <w:spacing w:after="0" w:line="179" w:lineRule="exact"/>
              <w:rPr>
                <w:sz w:val="20"/>
                <w:szCs w:val="20"/>
                <w:color w:val="auto"/>
              </w:rPr>
            </w:pPr>
            <w:r>
              <w:rPr>
                <w:rFonts w:ascii="Arial" w:cs="Arial" w:eastAsia="Arial" w:hAnsi="Arial"/>
                <w:sz w:val="18"/>
                <w:szCs w:val="18"/>
                <w:b w:val="1"/>
                <w:bCs w:val="1"/>
                <w:color w:val="auto"/>
              </w:rPr>
              <w:t>Balance, June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3,337,190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(182,226)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699,405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(343,869)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3,584,905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3,343,056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747,899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(471,582)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3,557,913</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b w:val="1"/>
                <w:bCs w:val="1"/>
                <w:color w:val="auto"/>
              </w:rPr>
              <w:t>Issuances of Class A common stock:</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benefits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5"/>
        </w:trPr>
        <w:tc>
          <w:tcPr>
            <w:tcW w:w="358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2,679</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3,187</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(31,185)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(38,177)</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10,473</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Treasury share repurchase</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(42,836)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(42,836)</w:t>
            </w:r>
          </w:p>
        </w:tc>
        <w:tc>
          <w:tcPr>
            <w:tcW w:w="0" w:type="dxa"/>
            <w:vAlign w:val="bottom"/>
          </w:tcPr>
          <w:p>
            <w:pPr>
              <w:spacing w:after="0"/>
              <w:rPr>
                <w:sz w:val="1"/>
                <w:szCs w:val="1"/>
                <w:color w:val="auto"/>
              </w:rPr>
            </w:pPr>
          </w:p>
        </w:tc>
      </w:tr>
      <w:tr>
        <w:trPr>
          <w:trHeight w:val="185"/>
        </w:trPr>
        <w:tc>
          <w:tcPr>
            <w:tcW w:w="3580" w:type="dxa"/>
            <w:vAlign w:val="bottom"/>
            <w:shd w:val="clear" w:color="auto" w:fill="CCEEFF"/>
          </w:tcPr>
          <w:p>
            <w:pPr>
              <w:ind w:left="120"/>
              <w:spacing w:after="0" w:line="185" w:lineRule="exact"/>
              <w:rPr>
                <w:sz w:val="20"/>
                <w:szCs w:val="20"/>
                <w:color w:val="auto"/>
              </w:rPr>
            </w:pPr>
            <w:r>
              <w:rPr>
                <w:rFonts w:ascii="Arial" w:cs="Arial" w:eastAsia="Arial" w:hAnsi="Arial"/>
                <w:sz w:val="18"/>
                <w:szCs w:val="18"/>
                <w:color w:val="auto"/>
              </w:rPr>
              <w:t>Consideration received from DISH</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Network for R&amp;D tax credits utilized</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179"/>
        </w:trPr>
        <w:tc>
          <w:tcPr>
            <w:tcW w:w="3580" w:type="dxa"/>
            <w:vAlign w:val="bottom"/>
          </w:tcPr>
          <w:p>
            <w:pPr>
              <w:ind w:left="20"/>
              <w:spacing w:after="0" w:line="179" w:lineRule="exact"/>
              <w:rPr>
                <w:sz w:val="20"/>
                <w:szCs w:val="20"/>
                <w:color w:val="auto"/>
              </w:rPr>
            </w:pPr>
            <w:r>
              <w:rPr>
                <w:rFonts w:ascii="Arial" w:cs="Arial" w:eastAsia="Arial" w:hAnsi="Arial"/>
                <w:sz w:val="18"/>
                <w:szCs w:val="18"/>
                <w:b w:val="1"/>
                <w:bCs w:val="1"/>
                <w:color w:val="auto"/>
              </w:rPr>
              <w:t>Balance, June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3,355,238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(204,465)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761,767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(514,418)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101,327</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3,499,556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2022 AND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Shares, at</w:t>
            </w: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1"/>
                <w:szCs w:val="11"/>
                <w:color w:val="auto"/>
              </w:rPr>
            </w:pPr>
          </w:p>
        </w:tc>
        <w:tc>
          <w:tcPr>
            <w:tcW w:w="80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cost</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Interests</w:t>
            </w: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5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3,321,426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(187,876)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583,591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(174,912)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64,916</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3,607,250</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b w:val="1"/>
                <w:bCs w:val="1"/>
                <w:color w:val="auto"/>
              </w:rPr>
              <w:t>Issuances of Class A common stock:</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benefits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7,125</w:t>
            </w:r>
          </w:p>
        </w:tc>
        <w:tc>
          <w:tcPr>
            <w:tcW w:w="0" w:type="dxa"/>
            <w:vAlign w:val="bottom"/>
          </w:tcPr>
          <w:p>
            <w:pPr>
              <w:spacing w:after="0"/>
              <w:rPr>
                <w:sz w:val="1"/>
                <w:szCs w:val="1"/>
                <w:color w:val="auto"/>
              </w:rPr>
            </w:pPr>
          </w:p>
        </w:tc>
      </w:tr>
      <w:tr>
        <w:trPr>
          <w:trHeight w:val="225"/>
        </w:trPr>
        <w:tc>
          <w:tcPr>
            <w:tcW w:w="358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4,815</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3,825</w:t>
            </w:r>
          </w:p>
        </w:tc>
        <w:tc>
          <w:tcPr>
            <w:tcW w:w="0" w:type="dxa"/>
            <w:vAlign w:val="bottom"/>
          </w:tcPr>
          <w:p>
            <w:pPr>
              <w:spacing w:after="0"/>
              <w:rPr>
                <w:sz w:val="1"/>
                <w:szCs w:val="1"/>
                <w:color w:val="auto"/>
              </w:rPr>
            </w:pPr>
          </w:p>
        </w:tc>
      </w:tr>
      <w:tr>
        <w:trPr>
          <w:trHeight w:val="185"/>
        </w:trPr>
        <w:tc>
          <w:tcPr>
            <w:tcW w:w="3580" w:type="dxa"/>
            <w:vAlign w:val="bottom"/>
          </w:tcPr>
          <w:p>
            <w:pPr>
              <w:ind w:left="120"/>
              <w:spacing w:after="0" w:line="185" w:lineRule="exact"/>
              <w:rPr>
                <w:sz w:val="20"/>
                <w:szCs w:val="20"/>
                <w:color w:val="auto"/>
              </w:rPr>
            </w:pPr>
            <w:r>
              <w:rPr>
                <w:rFonts w:ascii="Arial" w:cs="Arial" w:eastAsia="Arial" w:hAnsi="Arial"/>
                <w:sz w:val="18"/>
                <w:szCs w:val="18"/>
                <w:color w:val="auto"/>
              </w:rPr>
              <w:t>Contribution by non-controlling interest</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120"/>
              <w:spacing w:after="0"/>
              <w:rPr>
                <w:sz w:val="20"/>
                <w:szCs w:val="20"/>
                <w:color w:val="auto"/>
              </w:rPr>
            </w:pPr>
            <w:r>
              <w:rPr>
                <w:rFonts w:ascii="Arial" w:cs="Arial" w:eastAsia="Arial" w:hAnsi="Arial"/>
                <w:sz w:val="18"/>
                <w:szCs w:val="18"/>
                <w:color w:val="auto"/>
              </w:rPr>
              <w:t>holder</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9,880</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115,814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112,587</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share repurchase</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(168,957)</w:t>
            </w:r>
          </w:p>
        </w:tc>
        <w:tc>
          <w:tcPr>
            <w:tcW w:w="0" w:type="dxa"/>
            <w:vAlign w:val="bottom"/>
          </w:tcPr>
          <w:p>
            <w:pPr>
              <w:spacing w:after="0"/>
              <w:rPr>
                <w:sz w:val="1"/>
                <w:szCs w:val="1"/>
                <w:color w:val="auto"/>
              </w:rPr>
            </w:pPr>
          </w:p>
        </w:tc>
      </w:tr>
      <w:tr>
        <w:trPr>
          <w:trHeight w:val="179"/>
        </w:trPr>
        <w:tc>
          <w:tcPr>
            <w:tcW w:w="3580" w:type="dxa"/>
            <w:vAlign w:val="bottom"/>
          </w:tcPr>
          <w:p>
            <w:pPr>
              <w:ind w:left="20"/>
              <w:spacing w:after="0" w:line="179" w:lineRule="exact"/>
              <w:rPr>
                <w:sz w:val="20"/>
                <w:szCs w:val="20"/>
                <w:color w:val="auto"/>
              </w:rPr>
            </w:pPr>
            <w:r>
              <w:rPr>
                <w:rFonts w:ascii="Arial" w:cs="Arial" w:eastAsia="Arial" w:hAnsi="Arial"/>
                <w:sz w:val="18"/>
                <w:szCs w:val="18"/>
                <w:b w:val="1"/>
                <w:bCs w:val="1"/>
                <w:color w:val="auto"/>
              </w:rPr>
              <w:t>Balance, June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3,337,190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(182,226)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699,405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(343,869)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74,299</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3,584,905</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3,345,878</w:t>
            </w: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(212,102)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656,466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(436,521)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60,253</w:t>
            </w:r>
          </w:p>
        </w:tc>
        <w:tc>
          <w:tcPr>
            <w:tcW w:w="80" w:type="dxa"/>
            <w:vAlign w:val="bottom"/>
          </w:tcPr>
          <w:p>
            <w:pPr>
              <w:spacing w:after="0"/>
              <w:rPr>
                <w:sz w:val="19"/>
                <w:szCs w:val="19"/>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3,414,080</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Issuances of Class A common stock:</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40"/>
              <w:spacing w:after="0"/>
              <w:rPr>
                <w:sz w:val="20"/>
                <w:szCs w:val="20"/>
                <w:color w:val="auto"/>
              </w:rPr>
            </w:pPr>
            <w:r>
              <w:rPr>
                <w:rFonts w:ascii="Arial" w:cs="Arial" w:eastAsia="Arial" w:hAnsi="Arial"/>
                <w:sz w:val="18"/>
                <w:szCs w:val="18"/>
                <w:color w:val="auto"/>
              </w:rPr>
              <w:t>Employee benefits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7,042</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Stock Purchase Plan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5,046</w:t>
            </w:r>
          </w:p>
        </w:tc>
        <w:tc>
          <w:tcPr>
            <w:tcW w:w="0" w:type="dxa"/>
            <w:vAlign w:val="bottom"/>
          </w:tcPr>
          <w:p>
            <w:pPr>
              <w:spacing w:after="0"/>
              <w:rPr>
                <w:sz w:val="1"/>
                <w:szCs w:val="1"/>
                <w:color w:val="auto"/>
              </w:rPr>
            </w:pPr>
          </w:p>
        </w:tc>
      </w:tr>
      <w:tr>
        <w:trPr>
          <w:trHeight w:val="225"/>
        </w:trPr>
        <w:tc>
          <w:tcPr>
            <w:tcW w:w="35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5,047</w:t>
            </w:r>
          </w:p>
        </w:tc>
        <w:tc>
          <w:tcPr>
            <w:tcW w:w="0" w:type="dxa"/>
            <w:vAlign w:val="bottom"/>
          </w:tcPr>
          <w:p>
            <w:pPr>
              <w:spacing w:after="0"/>
              <w:rPr>
                <w:sz w:val="1"/>
                <w:szCs w:val="1"/>
                <w:color w:val="auto"/>
              </w:rPr>
            </w:pPr>
          </w:p>
        </w:tc>
      </w:tr>
      <w:tr>
        <w:trPr>
          <w:trHeight w:val="185"/>
        </w:trPr>
        <w:tc>
          <w:tcPr>
            <w:tcW w:w="3580" w:type="dxa"/>
            <w:vAlign w:val="bottom"/>
            <w:shd w:val="clear" w:color="auto" w:fill="CCEEFF"/>
          </w:tcPr>
          <w:p>
            <w:pPr>
              <w:ind w:left="120"/>
              <w:spacing w:after="0" w:line="185" w:lineRule="exact"/>
              <w:rPr>
                <w:sz w:val="20"/>
                <w:szCs w:val="20"/>
                <w:color w:val="auto"/>
              </w:rPr>
            </w:pPr>
            <w:r>
              <w:rPr>
                <w:rFonts w:ascii="Arial" w:cs="Arial" w:eastAsia="Arial" w:hAnsi="Arial"/>
                <w:sz w:val="18"/>
                <w:szCs w:val="18"/>
                <w:color w:val="auto"/>
              </w:rPr>
              <w:t>Issuance of equity and contribution of</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assets pursuant to the India JV formation</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30,303</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10,201</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99,418</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Treasury share repurchase</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(77,897)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(77,897)</w:t>
            </w:r>
          </w:p>
        </w:tc>
        <w:tc>
          <w:tcPr>
            <w:tcW w:w="0" w:type="dxa"/>
            <w:vAlign w:val="bottom"/>
          </w:tcPr>
          <w:p>
            <w:pPr>
              <w:spacing w:after="0"/>
              <w:rPr>
                <w:sz w:val="1"/>
                <w:szCs w:val="1"/>
                <w:color w:val="auto"/>
              </w:rPr>
            </w:pPr>
          </w:p>
        </w:tc>
      </w:tr>
      <w:tr>
        <w:trPr>
          <w:trHeight w:val="185"/>
        </w:trPr>
        <w:tc>
          <w:tcPr>
            <w:tcW w:w="3580" w:type="dxa"/>
            <w:vAlign w:val="bottom"/>
            <w:shd w:val="clear" w:color="auto" w:fill="CCEEFF"/>
          </w:tcPr>
          <w:p>
            <w:pPr>
              <w:ind w:left="120"/>
              <w:spacing w:after="0" w:line="185" w:lineRule="exact"/>
              <w:rPr>
                <w:sz w:val="20"/>
                <w:szCs w:val="20"/>
                <w:color w:val="auto"/>
              </w:rPr>
            </w:pPr>
            <w:r>
              <w:rPr>
                <w:rFonts w:ascii="Arial" w:cs="Arial" w:eastAsia="Arial" w:hAnsi="Arial"/>
                <w:sz w:val="18"/>
                <w:szCs w:val="18"/>
                <w:color w:val="auto"/>
              </w:rPr>
              <w:t>Consideration received from DISH</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Network for R&amp;D tax credits utilized</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179"/>
        </w:trPr>
        <w:tc>
          <w:tcPr>
            <w:tcW w:w="3580" w:type="dxa"/>
            <w:vAlign w:val="bottom"/>
          </w:tcPr>
          <w:p>
            <w:pPr>
              <w:ind w:left="20"/>
              <w:spacing w:after="0" w:line="179" w:lineRule="exact"/>
              <w:rPr>
                <w:sz w:val="20"/>
                <w:szCs w:val="20"/>
                <w:color w:val="auto"/>
              </w:rPr>
            </w:pPr>
            <w:r>
              <w:rPr>
                <w:rFonts w:ascii="Arial" w:cs="Arial" w:eastAsia="Arial" w:hAnsi="Arial"/>
                <w:sz w:val="18"/>
                <w:szCs w:val="18"/>
                <w:b w:val="1"/>
                <w:bCs w:val="1"/>
                <w:color w:val="auto"/>
              </w:rPr>
              <w:t>Balance, June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3,355,238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(204,465)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761,767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(514,418)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101,327</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3,499,556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593"/>
        </w:trPr>
        <w:tc>
          <w:tcPr>
            <w:tcW w:w="1380" w:type="dxa"/>
            <w:vAlign w:val="bottom"/>
            <w:tcBorders>
              <w:top w:val="single" w:sz="8" w:color="0000FF"/>
            </w:tcBorders>
          </w:tcPr>
          <w:p>
            <w:pPr>
              <w:spacing w:after="0"/>
              <w:rPr>
                <w:sz w:val="24"/>
                <w:szCs w:val="24"/>
                <w:color w:val="auto"/>
              </w:rPr>
            </w:pPr>
          </w:p>
        </w:tc>
        <w:tc>
          <w:tcPr>
            <w:tcW w:w="6480" w:type="dxa"/>
            <w:vAlign w:val="bottom"/>
          </w:tcPr>
          <w:p>
            <w:pPr>
              <w:jc w:val="center"/>
              <w:ind w:left="1932"/>
              <w:spacing w:after="0"/>
              <w:rPr>
                <w:sz w:val="20"/>
                <w:szCs w:val="20"/>
                <w:color w:val="auto"/>
              </w:rPr>
            </w:pPr>
            <w:r>
              <w:rPr>
                <w:rFonts w:ascii="Arial" w:cs="Arial" w:eastAsia="Arial" w:hAnsi="Arial"/>
                <w:sz w:val="18"/>
                <w:szCs w:val="18"/>
                <w:b w:val="1"/>
                <w:bCs w:val="1"/>
                <w:color w:val="auto"/>
                <w:w w:val="97"/>
              </w:rPr>
              <w:t>ECHOSTAR CORPORATION</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1380" w:type="dxa"/>
            <w:vAlign w:val="bottom"/>
          </w:tcPr>
          <w:p>
            <w:pPr>
              <w:spacing w:after="0"/>
              <w:rPr>
                <w:sz w:val="20"/>
                <w:szCs w:val="20"/>
                <w:color w:val="auto"/>
              </w:rPr>
            </w:pPr>
          </w:p>
        </w:tc>
        <w:tc>
          <w:tcPr>
            <w:tcW w:w="6480" w:type="dxa"/>
            <w:vAlign w:val="bottom"/>
          </w:tcPr>
          <w:p>
            <w:pPr>
              <w:jc w:val="center"/>
              <w:ind w:left="1912"/>
              <w:spacing w:after="0"/>
              <w:rPr>
                <w:sz w:val="20"/>
                <w:szCs w:val="20"/>
                <w:color w:val="auto"/>
              </w:rPr>
            </w:pPr>
            <w:r>
              <w:rPr>
                <w:rFonts w:ascii="Arial" w:cs="Arial" w:eastAsia="Arial" w:hAnsi="Arial"/>
                <w:sz w:val="18"/>
                <w:szCs w:val="18"/>
                <w:b w:val="1"/>
                <w:bCs w:val="1"/>
                <w:color w:val="auto"/>
                <w:w w:val="97"/>
              </w:rPr>
              <w:t>CONSOLIDATED STATEMENTS OF CASH FLOWS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2"/>
        </w:trPr>
        <w:tc>
          <w:tcPr>
            <w:tcW w:w="1380" w:type="dxa"/>
            <w:vAlign w:val="bottom"/>
          </w:tcPr>
          <w:p>
            <w:pPr>
              <w:spacing w:after="0"/>
              <w:rPr>
                <w:sz w:val="18"/>
                <w:szCs w:val="18"/>
                <w:color w:val="auto"/>
              </w:rPr>
            </w:pPr>
          </w:p>
        </w:tc>
        <w:tc>
          <w:tcPr>
            <w:tcW w:w="6480" w:type="dxa"/>
            <w:vAlign w:val="bottom"/>
          </w:tcPr>
          <w:p>
            <w:pPr>
              <w:jc w:val="center"/>
              <w:ind w:left="1932"/>
              <w:spacing w:after="0"/>
              <w:rPr>
                <w:sz w:val="20"/>
                <w:szCs w:val="20"/>
                <w:color w:val="auto"/>
              </w:rPr>
            </w:pPr>
            <w:r>
              <w:rPr>
                <w:rFonts w:ascii="Arial" w:cs="Arial" w:eastAsia="Arial" w:hAnsi="Arial"/>
                <w:sz w:val="18"/>
                <w:szCs w:val="18"/>
                <w:color w:val="auto"/>
                <w:w w:val="97"/>
              </w:rPr>
              <w:t>(Amounts in thousands)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2"/>
        </w:trPr>
        <w:tc>
          <w:tcPr>
            <w:tcW w:w="1380" w:type="dxa"/>
            <w:vAlign w:val="bottom"/>
          </w:tcPr>
          <w:p>
            <w:pPr>
              <w:spacing w:after="0"/>
              <w:rPr>
                <w:sz w:val="18"/>
                <w:szCs w:val="18"/>
                <w:color w:val="auto"/>
              </w:rPr>
            </w:pPr>
          </w:p>
        </w:tc>
        <w:tc>
          <w:tcPr>
            <w:tcW w:w="6480" w:type="dxa"/>
            <w:vAlign w:val="bottom"/>
          </w:tcPr>
          <w:p>
            <w:pPr>
              <w:jc w:val="center"/>
              <w:ind w:left="1912"/>
              <w:spacing w:after="0"/>
              <w:rPr>
                <w:sz w:val="20"/>
                <w:szCs w:val="20"/>
                <w:color w:val="auto"/>
              </w:rPr>
            </w:pPr>
            <w:r>
              <w:rPr>
                <w:rFonts w:ascii="Arial" w:cs="Arial" w:eastAsia="Arial" w:hAnsi="Arial"/>
                <w:sz w:val="18"/>
                <w:szCs w:val="18"/>
                <w:color w:val="auto"/>
                <w:w w:val="97"/>
              </w:rPr>
              <w:t>(Unaudited)</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45"/>
        </w:trPr>
        <w:tc>
          <w:tcPr>
            <w:tcW w:w="13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9"/>
              </w:rPr>
              <w:t>For the six months ended June 30,</w:t>
            </w:r>
          </w:p>
        </w:tc>
      </w:tr>
      <w:tr>
        <w:trPr>
          <w:trHeight w:val="219"/>
        </w:trPr>
        <w:tc>
          <w:tcPr>
            <w:tcW w:w="138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4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40"/>
              <w:spacing w:after="0"/>
              <w:rPr>
                <w:sz w:val="20"/>
                <w:szCs w:val="20"/>
                <w:color w:val="auto"/>
              </w:rPr>
            </w:pPr>
            <w:r>
              <w:rPr>
                <w:rFonts w:ascii="Arial" w:cs="Arial" w:eastAsia="Arial" w:hAnsi="Arial"/>
                <w:sz w:val="18"/>
                <w:szCs w:val="18"/>
                <w:b w:val="1"/>
                <w:bCs w:val="1"/>
                <w:color w:val="auto"/>
              </w:rPr>
              <w:t>2021</w:t>
            </w:r>
          </w:p>
        </w:tc>
      </w:tr>
      <w:tr>
        <w:trPr>
          <w:trHeight w:val="19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0"/>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99,418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112,587</w:t>
            </w:r>
          </w:p>
        </w:tc>
      </w:tr>
      <w:tr>
        <w:trPr>
          <w:trHeight w:val="161"/>
        </w:trPr>
        <w:tc>
          <w:tcPr>
            <w:tcW w:w="7860" w:type="dxa"/>
            <w:vAlign w:val="bottom"/>
            <w:gridSpan w:val="2"/>
            <w:shd w:val="clear" w:color="auto" w:fill="CCEEFF"/>
          </w:tcPr>
          <w:p>
            <w:pPr>
              <w:ind w:left="240"/>
              <w:spacing w:after="0" w:line="161" w:lineRule="exact"/>
              <w:rPr>
                <w:sz w:val="20"/>
                <w:szCs w:val="20"/>
                <w:color w:val="auto"/>
              </w:rPr>
            </w:pPr>
            <w:r>
              <w:rPr>
                <w:rFonts w:ascii="Arial" w:cs="Arial" w:eastAsia="Arial" w:hAnsi="Arial"/>
                <w:sz w:val="16"/>
                <w:szCs w:val="16"/>
                <w:b w:val="1"/>
                <w:bCs w:val="1"/>
                <w:color w:val="auto"/>
              </w:rPr>
              <w:t>Adjustments to reconcile net income (loss) to cash flows provided by (used for) operating</w:t>
            </w: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2"/>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activities: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7860" w:type="dxa"/>
            <w:vAlign w:val="bottom"/>
            <w:gridSpan w:val="2"/>
          </w:tcPr>
          <w:p>
            <w:pPr>
              <w:ind w:left="4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236,991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248,268</w:t>
            </w:r>
          </w:p>
        </w:tc>
      </w:tr>
      <w:tr>
        <w:trPr>
          <w:trHeight w:val="214"/>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Impairment of long-lived 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09"/>
        </w:trPr>
        <w:tc>
          <w:tcPr>
            <w:tcW w:w="7860" w:type="dxa"/>
            <w:vAlign w:val="bottom"/>
            <w:gridSpan w:val="2"/>
          </w:tcPr>
          <w:p>
            <w:pPr>
              <w:ind w:left="440"/>
              <w:spacing w:after="0"/>
              <w:rPr>
                <w:sz w:val="20"/>
                <w:szCs w:val="20"/>
                <w:color w:val="auto"/>
              </w:rPr>
            </w:pPr>
            <w:r>
              <w:rPr>
                <w:rFonts w:ascii="Arial" w:cs="Arial" w:eastAsia="Arial" w:hAnsi="Arial"/>
                <w:sz w:val="16"/>
                <w:szCs w:val="16"/>
                <w:color w:val="auto"/>
              </w:rPr>
              <w:t>Losses (gains) on investments, net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(58,148)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(109,233)</w:t>
            </w:r>
          </w:p>
        </w:tc>
      </w:tr>
      <w:tr>
        <w:trPr>
          <w:trHeight w:val="214"/>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Equity in losses (earnings) of unconsolidated affiliates,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w:t>
            </w:r>
          </w:p>
        </w:tc>
      </w:tr>
      <w:tr>
        <w:trPr>
          <w:trHeight w:val="210"/>
        </w:trPr>
        <w:tc>
          <w:tcPr>
            <w:tcW w:w="7860" w:type="dxa"/>
            <w:vAlign w:val="bottom"/>
            <w:gridSpan w:val="2"/>
          </w:tcPr>
          <w:p>
            <w:pPr>
              <w:ind w:left="440"/>
              <w:spacing w:after="0"/>
              <w:rPr>
                <w:sz w:val="20"/>
                <w:szCs w:val="20"/>
                <w:color w:val="auto"/>
              </w:rPr>
            </w:pPr>
            <w:r>
              <w:rPr>
                <w:rFonts w:ascii="Arial" w:cs="Arial" w:eastAsia="Arial" w:hAnsi="Arial"/>
                <w:sz w:val="16"/>
                <w:szCs w:val="16"/>
                <w:color w:val="auto"/>
              </w:rPr>
              <w:t>Foreign currency transaction losses (gains), net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3,404</w:t>
            </w:r>
          </w:p>
        </w:tc>
      </w:tr>
      <w:tr>
        <w:trPr>
          <w:trHeight w:val="214"/>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Deferred tax provision (benefit),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34,024</w:t>
            </w:r>
          </w:p>
        </w:tc>
      </w:tr>
      <w:tr>
        <w:trPr>
          <w:trHeight w:val="210"/>
        </w:trPr>
        <w:tc>
          <w:tcPr>
            <w:tcW w:w="7860" w:type="dxa"/>
            <w:vAlign w:val="bottom"/>
            <w:gridSpan w:val="2"/>
          </w:tcPr>
          <w:p>
            <w:pPr>
              <w:ind w:left="44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3,825</w:t>
            </w:r>
          </w:p>
        </w:tc>
      </w:tr>
      <w:tr>
        <w:trPr>
          <w:trHeight w:val="214"/>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w:t>
            </w:r>
          </w:p>
        </w:tc>
      </w:tr>
      <w:tr>
        <w:trPr>
          <w:trHeight w:val="209"/>
        </w:trPr>
        <w:tc>
          <w:tcPr>
            <w:tcW w:w="7860" w:type="dxa"/>
            <w:vAlign w:val="bottom"/>
            <w:gridSpan w:val="2"/>
          </w:tcPr>
          <w:p>
            <w:pPr>
              <w:ind w:left="4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27,397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6,198</w:t>
            </w:r>
          </w:p>
        </w:tc>
      </w:tr>
      <w:tr>
        <w:trPr>
          <w:trHeight w:val="215"/>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Changes in assets and liabilities,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9"/>
        </w:trPr>
        <w:tc>
          <w:tcPr>
            <w:tcW w:w="7860" w:type="dxa"/>
            <w:vAlign w:val="bottom"/>
            <w:gridSpan w:val="2"/>
          </w:tcPr>
          <w:p>
            <w:pPr>
              <w:ind w:left="660"/>
              <w:spacing w:after="0"/>
              <w:rPr>
                <w:sz w:val="20"/>
                <w:szCs w:val="20"/>
                <w:color w:val="auto"/>
              </w:rPr>
            </w:pPr>
            <w:r>
              <w:rPr>
                <w:rFonts w:ascii="Arial" w:cs="Arial" w:eastAsia="Arial" w:hAnsi="Arial"/>
                <w:sz w:val="16"/>
                <w:szCs w:val="16"/>
                <w:color w:val="auto"/>
              </w:rPr>
              <w:t>Trade accounts receivable and contract assets, net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(39,271)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(3,363)</w:t>
            </w:r>
          </w:p>
        </w:tc>
      </w:tr>
      <w:tr>
        <w:trPr>
          <w:trHeight w:val="214"/>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Other current assets,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r>
      <w:tr>
        <w:trPr>
          <w:trHeight w:val="210"/>
        </w:trPr>
        <w:tc>
          <w:tcPr>
            <w:tcW w:w="7860" w:type="dxa"/>
            <w:vAlign w:val="bottom"/>
            <w:gridSpan w:val="2"/>
          </w:tcPr>
          <w:p>
            <w:pPr>
              <w:ind w:left="660"/>
              <w:spacing w:after="0"/>
              <w:rPr>
                <w:sz w:val="20"/>
                <w:szCs w:val="20"/>
                <w:color w:val="auto"/>
              </w:rPr>
            </w:pPr>
            <w:r>
              <w:rPr>
                <w:rFonts w:ascii="Arial" w:cs="Arial" w:eastAsia="Arial" w:hAnsi="Arial"/>
                <w:sz w:val="16"/>
                <w:szCs w:val="16"/>
                <w:color w:val="auto"/>
              </w:rPr>
              <w:t>Trade accounts payable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(9,631)</w:t>
            </w:r>
          </w:p>
        </w:tc>
      </w:tr>
      <w:tr>
        <w:trPr>
          <w:trHeight w:val="214"/>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Contract liabilities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23,251</w:t>
            </w:r>
          </w:p>
        </w:tc>
      </w:tr>
      <w:tr>
        <w:trPr>
          <w:trHeight w:val="210"/>
        </w:trPr>
        <w:tc>
          <w:tcPr>
            <w:tcW w:w="7860" w:type="dxa"/>
            <w:vAlign w:val="bottom"/>
            <w:gridSpan w:val="2"/>
          </w:tcPr>
          <w:p>
            <w:pPr>
              <w:ind w:left="66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(10,119)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621</w:t>
            </w:r>
          </w:p>
        </w:tc>
      </w:tr>
      <w:tr>
        <w:trPr>
          <w:trHeight w:val="214"/>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Non-current assets and non-current liabilities, net</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(24,648)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(5,114)</w:t>
            </w:r>
          </w:p>
        </w:tc>
      </w:tr>
      <w:tr>
        <w:trPr>
          <w:trHeight w:val="203"/>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251,632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308,640</w:t>
            </w:r>
          </w:p>
        </w:tc>
      </w:tr>
      <w:tr>
        <w:trPr>
          <w:trHeight w:val="234"/>
        </w:trPr>
        <w:tc>
          <w:tcPr>
            <w:tcW w:w="1380" w:type="dxa"/>
            <w:vAlign w:val="bottom"/>
            <w:shd w:val="clear" w:color="auto" w:fill="CCEEFF"/>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2"/>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2"/>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Purchases of marketable investment securities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(939,255)</w:t>
            </w:r>
          </w:p>
        </w:tc>
      </w:tr>
      <w:tr>
        <w:trPr>
          <w:trHeight w:val="210"/>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Sales and maturities of marketable investment securities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669,600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1,824,332</w:t>
            </w:r>
          </w:p>
        </w:tc>
      </w:tr>
      <w:tr>
        <w:trPr>
          <w:trHeight w:val="215"/>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Expenditures for property and equipment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(262,466)</w:t>
            </w:r>
          </w:p>
        </w:tc>
      </w:tr>
      <w:tr>
        <w:trPr>
          <w:trHeight w:val="209"/>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Expenditures for externally marketed software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(11,967)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(16,835)</w:t>
            </w:r>
          </w:p>
        </w:tc>
      </w:tr>
      <w:tr>
        <w:trPr>
          <w:trHeight w:val="215"/>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India JV formation</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Dividend received from unconsolidated affiliate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Purchase of other investments</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10"/>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Sales of other investments</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10,516</w:t>
            </w:r>
          </w:p>
        </w:tc>
      </w:tr>
      <w:tr>
        <w:trPr>
          <w:trHeight w:val="205"/>
        </w:trPr>
        <w:tc>
          <w:tcPr>
            <w:tcW w:w="7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280,295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566,292</w:t>
            </w:r>
          </w:p>
        </w:tc>
      </w:tr>
      <w:tr>
        <w:trPr>
          <w:trHeight w:val="195"/>
        </w:trPr>
        <w:tc>
          <w:tcPr>
            <w:tcW w:w="138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9"/>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Repurchase and maturity of the 2021 Senior Unsecured Notes</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(901,818)</w:t>
            </w:r>
          </w:p>
        </w:tc>
      </w:tr>
      <w:tr>
        <w:trPr>
          <w:trHeight w:val="215"/>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Payment of finance lease obligations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10"/>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Payment of in-orbit incentive obligations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(1,431)</w:t>
            </w:r>
          </w:p>
        </w:tc>
      </w:tr>
      <w:tr>
        <w:trPr>
          <w:trHeight w:val="215"/>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Proceeds from Class A common stock issued under the Employee Stock Purchase Plan</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4,815</w:t>
            </w:r>
          </w:p>
        </w:tc>
      </w:tr>
      <w:tr>
        <w:trPr>
          <w:trHeight w:val="209"/>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Treasury share repurchase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(77,095)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(163,822)</w:t>
            </w:r>
          </w:p>
        </w:tc>
      </w:tr>
      <w:tr>
        <w:trPr>
          <w:trHeight w:val="215"/>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Contribution by non-controlling interest holder</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w:t>
            </w:r>
          </w:p>
        </w:tc>
      </w:tr>
      <w:tr>
        <w:trPr>
          <w:trHeight w:val="210"/>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(966)</w:t>
            </w:r>
          </w:p>
        </w:tc>
      </w:tr>
      <w:tr>
        <w:trPr>
          <w:trHeight w:val="205"/>
        </w:trPr>
        <w:tc>
          <w:tcPr>
            <w:tcW w:w="7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(74,071)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(1,053,818)</w:t>
            </w:r>
          </w:p>
        </w:tc>
      </w:tr>
      <w:tr>
        <w:trPr>
          <w:trHeight w:val="194"/>
        </w:trPr>
        <w:tc>
          <w:tcPr>
            <w:tcW w:w="138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r>
      <w:tr>
        <w:trPr>
          <w:trHeight w:val="20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457,128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(179,329)</w:t>
            </w: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including restricted amounts,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536,874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896,812</w:t>
            </w:r>
          </w:p>
        </w:tc>
      </w:tr>
      <w:tr>
        <w:trPr>
          <w:trHeight w:val="208"/>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 including restricted amounts, end of period</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994,002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717,483</w:t>
            </w:r>
          </w:p>
        </w:tc>
      </w:tr>
      <w:tr>
        <w:trPr>
          <w:trHeight w:val="20"/>
        </w:trPr>
        <w:tc>
          <w:tcPr>
            <w:tcW w:w="13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 “our”) is a holding company that was organized in October 2007 as a corporation under the laws of the State of Nevada and has operated as a separately traded public company from DISH Network Corporation (“DISH”) since 2008. Our Class A common stock is publicly traded on the NASDAQ Global Select Market (“NASDAQ”) under the symbol “SATS.”</w:t>
      </w:r>
    </w:p>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an industry leader in both networking technologies and services, innovating to deliver the global solutions that power a connected future for people, enterprises and things everywhere. We provide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 We operate in the following two business segments:</w:t>
      </w:r>
    </w:p>
    <w:p>
      <w:pPr>
        <w:spacing w:after="0" w:line="185" w:lineRule="exact"/>
        <w:rPr>
          <w:sz w:val="20"/>
          <w:szCs w:val="20"/>
          <w:color w:val="auto"/>
        </w:rPr>
      </w:pPr>
    </w:p>
    <w:p>
      <w:pPr>
        <w:jc w:val="both"/>
        <w:ind w:left="640" w:hanging="316"/>
        <w:spacing w:after="0" w:line="252" w:lineRule="auto"/>
        <w:tabs>
          <w:tab w:leader="none" w:pos="63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segment </w:t>
      </w:r>
      <w:r>
        <w:rPr>
          <w:rFonts w:ascii="Arial" w:cs="Arial" w:eastAsia="Arial" w:hAnsi="Arial"/>
          <w:sz w:val="18"/>
          <w:szCs w:val="18"/>
          <w:color w:val="auto"/>
        </w:rPr>
        <w:t>— which provides broadband satellite technologies and broadband internet services to domestic and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customers and broadband network technologies, managed services, equipment, hardware, satellite services and communication solutions to service providers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7" w:lineRule="exact"/>
        <w:rPr>
          <w:rFonts w:ascii="Arial" w:cs="Arial" w:eastAsia="Arial" w:hAnsi="Arial"/>
          <w:sz w:val="18"/>
          <w:szCs w:val="18"/>
          <w:b w:val="1"/>
          <w:bCs w:val="1"/>
          <w:i w:val="1"/>
          <w:iCs w:val="1"/>
          <w:color w:val="auto"/>
        </w:rPr>
      </w:pPr>
    </w:p>
    <w:p>
      <w:pPr>
        <w:jc w:val="both"/>
        <w:ind w:left="640" w:hanging="316"/>
        <w:spacing w:after="0" w:line="261" w:lineRule="auto"/>
        <w:tabs>
          <w:tab w:leader="none" w:pos="63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segment (“ESS segment”) </w:t>
      </w:r>
      <w:r>
        <w:rPr>
          <w:rFonts w:ascii="Arial" w:cs="Arial" w:eastAsia="Arial" w:hAnsi="Arial"/>
          <w:sz w:val="18"/>
          <w:szCs w:val="18"/>
          <w:color w:val="auto"/>
        </w:rPr>
        <w:t>— which uses certain of our owned and leased in-orbit satellites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licenses to provide satellite services on a full-time and/or occasional-use basis to U.S. government service providers, internet service providers, broadcast news organizations, content providers and private enterprise customers.</w:t>
      </w:r>
    </w:p>
    <w:p>
      <w:pPr>
        <w:spacing w:after="0" w:line="3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Our operations also include various corporate functions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segment in our segment reporting. We also divide our operations by primary geographic market as follows: (i) North America (the U.S. and its territories, Mexico, and Canada); (ii) South and Central America and (iii) Other (Asia, Africa, Australia, Europe, India, and the Middle East). Refer to </w:t>
      </w:r>
      <w:r>
        <w:rPr>
          <w:rFonts w:ascii="Arial" w:cs="Arial" w:eastAsia="Arial" w:hAnsi="Arial"/>
          <w:sz w:val="18"/>
          <w:szCs w:val="18"/>
          <w:i w:val="1"/>
          <w:iCs w:val="1"/>
          <w:color w:val="auto"/>
        </w:rPr>
        <w:t>Note 15. Segment Reporting</w:t>
      </w:r>
      <w:r>
        <w:rPr>
          <w:rFonts w:ascii="Arial" w:cs="Arial" w:eastAsia="Arial" w:hAnsi="Arial"/>
          <w:sz w:val="18"/>
          <w:szCs w:val="18"/>
          <w:color w:val="auto"/>
        </w:rPr>
        <w:t xml:space="preserve"> for further detail.</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These unaudited Consolidated Financial Statements and the accompanying notes (collectively, the “Consolidated Financial Statements”) are prepared in conformity with U.S. generally accepted accounting principles (“U.S. GAAP”) and the instructions to Form 10-Q and Article 10 of Regulation S-X for interim financial information. Accordingly, they do not include all of the information and notes required for complete financial statements prepared in conformity with U.S.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amounts presented in these Consolidated Financial Statements are expressed in thousands of U.S. dollars, except share and per share amounts and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to the Consolidated Financial Statements in our Form 10-K for a summary and discussion of our significant accounting policies, except as updated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(ii) allowances for doubtful accounts; (iii) deferred taxes and related valuation allowances, including uncertain tax positions; (iv) loss contingencies; (v) fair value of financial instruments; (vi) fair value of assets and liabilities acquired in business combinations; and (vii) asset impairment testing.</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January 1, 2021, we adopted Accounting Standard Update (“ASU”) No. 2019-12 - Income Taxes (Topic 740): Simplifying the Accounting for Income Taxes (“ASU 2019-12”). ASU 2019-12 is part of the Financial Accounting Standards Board (“FASB”) overall simplification initiative and seeks to simplify the accounting for income taxes by updating certain guidance and removing certain exceptions. Our adoption of this ASU did not have a material impact on our Consolidated Financial Statements.</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w:t>
      </w:r>
      <w:r>
        <w:rPr>
          <w:rFonts w:ascii="Arial" w:cs="Arial" w:eastAsia="Arial" w:hAnsi="Arial"/>
          <w:sz w:val="18"/>
          <w:szCs w:val="18"/>
          <w:color w:val="auto"/>
        </w:rPr>
        <w:t>: Disclosures by Business Entities about Government Assistance, which requires business entities (except for not-for-profit entities and employee benefit plans) to disclose information about certain government assistance they receive. The Topic 832 disclosure requirements include: (i) the nature of the transactions and the related accounting policy used; (ii) the line items on the balance sheet and income statement that are affected and the amounts applicable to each financial statement line item; and (iii) significant terms and conditions of the transactions. Our adoption of this ASU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March 2020, the FASB issued ASU No. 2020-04 - Reference Rate Reform (Topic 848),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2022. We expect to utilize the optional expedients provided by the guidance for contracts amended solely to use an alternative reference rate. We have evaluated the impact of adopting this new guidance and do not expect it to have a material impact on our Consolidated Financial Statements.</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Accounting for Contract Assets and Contract Liabilities from Contracts with Customers, which provides an exception to fair value measurement for contract assets and contract liabilities related to revenue contracts acquired in a business combination. The ASU requires an entity (acquirer) to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ASU is effective for the Company for annual and interim periods in fiscal years beginning after December 15, 2022. Early adoption is permitted. The ASU is applied to business combinations occurring on or after the effective date.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In March 2022, the FASB issued ASU 2022-02,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Troubled Debt Restructurings and Vintage Disclosures. The amendments in this update eliminate the accounting guidance for troubled debt restructurings by creditors while enhancing disclosure requirements for certain loan refinancing and restructurings by creditors made to borrowers experiencing financial difficulty. The amendments also require disclosure of current-period gross write-offs by year of origination for financing receivables. The amendments in this update are effective for fiscal years beginning after December 15, 2023, including interim periods within those fiscal years. Early adoption is permitted. We are evaluating the impact of adopting this new guidance and we do not expect it to have a material impact on our Consolidated Financial Statements.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NOTE 3.   REVENUE RECOGNITION</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0"/>
        </w:trPr>
        <w:tc>
          <w:tcPr>
            <w:tcW w:w="786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0"/>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our contract balances: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5"/>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080" w:type="dxa"/>
            <w:vAlign w:val="bottom"/>
            <w:tcBorders>
              <w:bottom w:val="single" w:sz="8" w:color="auto"/>
            </w:tcBorders>
          </w:tcPr>
          <w:p>
            <w:pPr>
              <w:spacing w:after="0"/>
              <w:rPr>
                <w:sz w:val="24"/>
                <w:szCs w:val="24"/>
                <w:color w:val="auto"/>
              </w:rPr>
            </w:pPr>
          </w:p>
        </w:tc>
      </w:tr>
      <w:tr>
        <w:trPr>
          <w:trHeight w:val="219"/>
        </w:trPr>
        <w:tc>
          <w:tcPr>
            <w:tcW w:w="7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2022</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r>
      <w:tr>
        <w:trPr>
          <w:trHeight w:val="205"/>
        </w:trPr>
        <w:tc>
          <w:tcPr>
            <w:tcW w:w="78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Trade accounts receivable and contract assets, net:</w:t>
            </w: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Sales and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178,114</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154,676</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Leasing</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r>
      <w:tr>
        <w:trPr>
          <w:trHeight w:val="218"/>
        </w:trPr>
        <w:tc>
          <w:tcPr>
            <w:tcW w:w="7860" w:type="dxa"/>
            <w:vAlign w:val="bottom"/>
          </w:tcPr>
          <w:p>
            <w:pPr>
              <w:ind w:left="460"/>
              <w:spacing w:after="0" w:line="204" w:lineRule="exact"/>
              <w:rPr>
                <w:sz w:val="20"/>
                <w:szCs w:val="20"/>
                <w:color w:val="auto"/>
              </w:rPr>
            </w:pPr>
            <w:r>
              <w:rPr>
                <w:rFonts w:ascii="Arial" w:cs="Arial" w:eastAsia="Arial" w:hAnsi="Arial"/>
                <w:sz w:val="18"/>
                <w:szCs w:val="18"/>
                <w:color w:val="auto"/>
              </w:rPr>
              <w:t>Total trade accounts receivable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183,707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160,344</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36,307</w:t>
            </w:r>
          </w:p>
        </w:tc>
      </w:tr>
      <w:tr>
        <w:trPr>
          <w:trHeight w:val="22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(14,588)</w:t>
            </w:r>
          </w:p>
        </w:tc>
      </w:tr>
      <w:tr>
        <w:trPr>
          <w:trHeight w:val="244"/>
        </w:trPr>
        <w:tc>
          <w:tcPr>
            <w:tcW w:w="7860" w:type="dxa"/>
            <w:vAlign w:val="bottom"/>
            <w:tcBorders>
              <w:bottom w:val="single" w:sz="8" w:color="CCEEFF"/>
            </w:tcBorders>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trade accounts receivable and contract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224,016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182,063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134,856</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141,343</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10,669</w:t>
            </w:r>
          </w:p>
        </w:tc>
      </w:tr>
      <w:tr>
        <w:trPr>
          <w:trHeight w:val="218"/>
        </w:trPr>
        <w:tc>
          <w:tcPr>
            <w:tcW w:w="7860" w:type="dxa"/>
            <w:vAlign w:val="bottom"/>
          </w:tcPr>
          <w:p>
            <w:pPr>
              <w:ind w:left="460"/>
              <w:spacing w:after="0" w:line="204" w:lineRule="exact"/>
              <w:rPr>
                <w:sz w:val="20"/>
                <w:szCs w:val="20"/>
                <w:color w:val="auto"/>
              </w:rPr>
            </w:pPr>
            <w:r>
              <w:rPr>
                <w:rFonts w:ascii="Arial" w:cs="Arial" w:eastAsia="Arial" w:hAnsi="Arial"/>
                <w:sz w:val="18"/>
                <w:szCs w:val="18"/>
                <w:color w:val="auto"/>
              </w:rPr>
              <w:t>Total contract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144,778</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152,012</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presents the revenue recognized in the Consolidated Statements of Operations that was previously included within contract liabilities: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8"/>
              </w:rPr>
              <w:t>For the three months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6"/>
          </w:tcPr>
          <w:p>
            <w:pPr>
              <w:jc w:val="right"/>
              <w:ind w:right="132"/>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5"/>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672"/>
              <w:spacing w:after="0"/>
              <w:rPr>
                <w:sz w:val="20"/>
                <w:szCs w:val="20"/>
                <w:color w:val="auto"/>
              </w:rPr>
            </w:pPr>
            <w:r>
              <w:rPr>
                <w:rFonts w:ascii="Arial" w:cs="Arial" w:eastAsia="Arial" w:hAnsi="Arial"/>
                <w:sz w:val="18"/>
                <w:szCs w:val="18"/>
                <w:b w:val="1"/>
                <w:bCs w:val="1"/>
                <w:color w:val="auto"/>
                <w:w w:val="97"/>
              </w:rPr>
              <w:t>June 30,</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5"/>
          </w:tcPr>
          <w:p>
            <w:pPr>
              <w:jc w:val="right"/>
              <w:ind w:right="852"/>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9"/>
        </w:trPr>
        <w:tc>
          <w:tcPr>
            <w:tcW w:w="5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center"/>
              <w:ind w:right="192"/>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8"/>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109,799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Contract Acquisition Costs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080" w:type="dxa"/>
            <w:vAlign w:val="bottom"/>
            <w:gridSpan w:val="2"/>
          </w:tcPr>
          <w:p>
            <w:pPr>
              <w:spacing w:after="0"/>
              <w:rPr>
                <w:sz w:val="20"/>
                <w:szCs w:val="20"/>
                <w:color w:val="auto"/>
              </w:rPr>
            </w:pPr>
            <w:r>
              <w:rPr>
                <w:rFonts w:ascii="Arial" w:cs="Arial" w:eastAsia="Arial" w:hAnsi="Arial"/>
                <w:sz w:val="18"/>
                <w:szCs w:val="18"/>
                <w:color w:val="auto"/>
                <w:w w:val="99"/>
              </w:rPr>
              <w:t>The following table presents the activity in our contract acquisition costs, net:</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tcBorders>
              <w:bottom w:val="single" w:sz="8" w:color="auto"/>
            </w:tcBorders>
            <w:gridSpan w:val="10"/>
          </w:tcPr>
          <w:p>
            <w:pPr>
              <w:jc w:val="right"/>
              <w:ind w:right="152"/>
              <w:spacing w:after="0"/>
              <w:rPr>
                <w:sz w:val="20"/>
                <w:szCs w:val="20"/>
                <w:color w:val="auto"/>
              </w:rPr>
            </w:pPr>
            <w:r>
              <w:rPr>
                <w:rFonts w:ascii="Arial" w:cs="Arial" w:eastAsia="Arial" w:hAnsi="Arial"/>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19"/>
        </w:trPr>
        <w:tc>
          <w:tcPr>
            <w:tcW w:w="5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21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99,837</w:t>
            </w:r>
          </w:p>
        </w:tc>
        <w:tc>
          <w:tcPr>
            <w:tcW w:w="0" w:type="dxa"/>
            <w:vAlign w:val="bottom"/>
          </w:tcPr>
          <w:p>
            <w:pPr>
              <w:spacing w:after="0"/>
              <w:rPr>
                <w:sz w:val="1"/>
                <w:szCs w:val="1"/>
                <w:color w:val="auto"/>
              </w:rPr>
            </w:pPr>
          </w:p>
        </w:tc>
      </w:tr>
      <w:tr>
        <w:trPr>
          <w:trHeight w:val="225"/>
        </w:trPr>
        <w:tc>
          <w:tcPr>
            <w:tcW w:w="596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37,408</w:t>
            </w: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(39,653)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(45,200)</w:t>
            </w:r>
          </w:p>
        </w:tc>
        <w:tc>
          <w:tcPr>
            <w:tcW w:w="0" w:type="dxa"/>
            <w:vAlign w:val="bottom"/>
          </w:tcPr>
          <w:p>
            <w:pPr>
              <w:spacing w:after="0"/>
              <w:rPr>
                <w:sz w:val="1"/>
                <w:szCs w:val="1"/>
                <w:color w:val="auto"/>
              </w:rPr>
            </w:pPr>
          </w:p>
        </w:tc>
      </w:tr>
      <w:tr>
        <w:trPr>
          <w:trHeight w:val="225"/>
        </w:trPr>
        <w:tc>
          <w:tcPr>
            <w:tcW w:w="5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center"/>
              <w:ind w:right="21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92,723</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recognized amortization expenses related to contract acquisition costs of $19.5 million and $22.4 million for the three months ended June 30, 2022 and 2021,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June 30, 2022, the remaining performance obligations for our customer contracts with original expected durations of more than one year was $1.1 billion. Performance obligations expected to be satisfied within one year and greater than one year are 40.0% and 60.0%, respectively. This amount and percentages exclude agreements with consumer customers in our Hughes segment, our leasing arrangements and agreements with certain customers under which collectability of all amounts due through the term of contracts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revenue from customer contracts disaggregated by primary geographic market and by segment: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Pr>
          <w:p>
            <w:pPr>
              <w:spacing w:after="0"/>
              <w:rPr>
                <w:sz w:val="17"/>
                <w:szCs w:val="17"/>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Corporate and</w:t>
            </w:r>
          </w:p>
        </w:tc>
        <w:tc>
          <w:tcPr>
            <w:tcW w:w="16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25"/>
        </w:trPr>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5"/>
        </w:trPr>
        <w:tc>
          <w:tcPr>
            <w:tcW w:w="48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For the three months ended June 30, 2022</w:t>
            </w: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398,698</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406,173</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42,094</w:t>
            </w:r>
          </w:p>
        </w:tc>
        <w:tc>
          <w:tcPr>
            <w:tcW w:w="0" w:type="dxa"/>
            <w:vAlign w:val="bottom"/>
          </w:tcPr>
          <w:p>
            <w:pPr>
              <w:spacing w:after="0"/>
              <w:rPr>
                <w:sz w:val="1"/>
                <w:szCs w:val="1"/>
                <w:color w:val="auto"/>
              </w:rPr>
            </w:pPr>
          </w:p>
        </w:tc>
      </w:tr>
      <w:tr>
        <w:trPr>
          <w:trHeight w:val="225"/>
        </w:trPr>
        <w:tc>
          <w:tcPr>
            <w:tcW w:w="482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51,049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51,049</w:t>
            </w:r>
          </w:p>
        </w:tc>
        <w:tc>
          <w:tcPr>
            <w:tcW w:w="0" w:type="dxa"/>
            <w:vAlign w:val="bottom"/>
          </w:tcPr>
          <w:p>
            <w:pPr>
              <w:spacing w:after="0"/>
              <w:rPr>
                <w:sz w:val="1"/>
                <w:szCs w:val="1"/>
                <w:color w:val="auto"/>
              </w:rPr>
            </w:pPr>
          </w:p>
        </w:tc>
      </w:tr>
      <w:tr>
        <w:trPr>
          <w:trHeight w:val="244"/>
        </w:trPr>
        <w:tc>
          <w:tcPr>
            <w:tcW w:w="482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499,316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2021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405,101</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412,657</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46,996</w:t>
            </w:r>
          </w:p>
        </w:tc>
        <w:tc>
          <w:tcPr>
            <w:tcW w:w="0" w:type="dxa"/>
            <w:vAlign w:val="bottom"/>
          </w:tcPr>
          <w:p>
            <w:pPr>
              <w:spacing w:after="0"/>
              <w:rPr>
                <w:sz w:val="1"/>
                <w:szCs w:val="1"/>
                <w:color w:val="auto"/>
              </w:rPr>
            </w:pPr>
          </w:p>
        </w:tc>
      </w:tr>
      <w:tr>
        <w:trPr>
          <w:trHeight w:val="225"/>
        </w:trPr>
        <w:tc>
          <w:tcPr>
            <w:tcW w:w="482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40,179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40,181</w:t>
            </w:r>
          </w:p>
        </w:tc>
        <w:tc>
          <w:tcPr>
            <w:tcW w:w="0" w:type="dxa"/>
            <w:vAlign w:val="bottom"/>
          </w:tcPr>
          <w:p>
            <w:pPr>
              <w:spacing w:after="0"/>
              <w:rPr>
                <w:sz w:val="1"/>
                <w:szCs w:val="1"/>
                <w:color w:val="auto"/>
              </w:rPr>
            </w:pPr>
          </w:p>
        </w:tc>
      </w:tr>
      <w:tr>
        <w:trPr>
          <w:trHeight w:val="243"/>
        </w:trPr>
        <w:tc>
          <w:tcPr>
            <w:tcW w:w="482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499,834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798,120</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813,016</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84,966</w:t>
            </w:r>
          </w:p>
        </w:tc>
        <w:tc>
          <w:tcPr>
            <w:tcW w:w="0" w:type="dxa"/>
            <w:vAlign w:val="bottom"/>
          </w:tcPr>
          <w:p>
            <w:pPr>
              <w:spacing w:after="0"/>
              <w:rPr>
                <w:sz w:val="1"/>
                <w:szCs w:val="1"/>
                <w:color w:val="auto"/>
              </w:rPr>
            </w:pPr>
          </w:p>
        </w:tc>
      </w:tr>
      <w:tr>
        <w:trPr>
          <w:trHeight w:val="225"/>
        </w:trPr>
        <w:tc>
          <w:tcPr>
            <w:tcW w:w="482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102,868</w:t>
            </w:r>
          </w:p>
        </w:tc>
        <w:tc>
          <w:tcPr>
            <w:tcW w:w="0" w:type="dxa"/>
            <w:vAlign w:val="bottom"/>
          </w:tcPr>
          <w:p>
            <w:pPr>
              <w:spacing w:after="0"/>
              <w:rPr>
                <w:sz w:val="1"/>
                <w:szCs w:val="1"/>
                <w:color w:val="auto"/>
              </w:rPr>
            </w:pPr>
          </w:p>
        </w:tc>
      </w:tr>
      <w:tr>
        <w:trPr>
          <w:trHeight w:val="243"/>
        </w:trPr>
        <w:tc>
          <w:tcPr>
            <w:tcW w:w="482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985,947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1,000,850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803,860</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5,885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818,117</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90,026</w:t>
            </w:r>
          </w:p>
        </w:tc>
        <w:tc>
          <w:tcPr>
            <w:tcW w:w="0" w:type="dxa"/>
            <w:vAlign w:val="bottom"/>
          </w:tcPr>
          <w:p>
            <w:pPr>
              <w:spacing w:after="0"/>
              <w:rPr>
                <w:sz w:val="1"/>
                <w:szCs w:val="1"/>
                <w:color w:val="auto"/>
              </w:rPr>
            </w:pPr>
          </w:p>
        </w:tc>
      </w:tr>
      <w:tr>
        <w:trPr>
          <w:trHeight w:val="225"/>
        </w:trPr>
        <w:tc>
          <w:tcPr>
            <w:tcW w:w="482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74,273</w:t>
            </w:r>
          </w:p>
        </w:tc>
        <w:tc>
          <w:tcPr>
            <w:tcW w:w="0" w:type="dxa"/>
            <w:vAlign w:val="bottom"/>
          </w:tcPr>
          <w:p>
            <w:pPr>
              <w:spacing w:after="0"/>
              <w:rPr>
                <w:sz w:val="1"/>
                <w:szCs w:val="1"/>
                <w:color w:val="auto"/>
              </w:rPr>
            </w:pPr>
          </w:p>
        </w:tc>
      </w:tr>
      <w:tr>
        <w:trPr>
          <w:trHeight w:val="244"/>
        </w:trPr>
        <w:tc>
          <w:tcPr>
            <w:tcW w:w="482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982,416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revenue disaggregated by the nature of products and services and by segment: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17"/>
                <w:szCs w:val="17"/>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Corporate and</w:t>
            </w:r>
          </w:p>
        </w:tc>
        <w:tc>
          <w:tcPr>
            <w:tcW w:w="16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5"/>
        </w:trPr>
        <w:tc>
          <w:tcPr>
            <w:tcW w:w="48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For the three months ended June 30, 2022</w:t>
            </w: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401,830</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12,867</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680"/>
              <w:spacing w:after="0" w:line="205" w:lineRule="exact"/>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414,697</w:t>
            </w:r>
          </w:p>
        </w:tc>
        <w:tc>
          <w:tcPr>
            <w:tcW w:w="0" w:type="dxa"/>
            <w:vAlign w:val="bottom"/>
          </w:tcPr>
          <w:p>
            <w:pPr>
              <w:spacing w:after="0"/>
              <w:rPr>
                <w:sz w:val="1"/>
                <w:szCs w:val="1"/>
                <w:color w:val="auto"/>
              </w:rPr>
            </w:pPr>
          </w:p>
        </w:tc>
      </w:tr>
      <w:tr>
        <w:trPr>
          <w:trHeight w:val="205"/>
        </w:trPr>
        <w:tc>
          <w:tcPr>
            <w:tcW w:w="4800" w:type="dxa"/>
            <w:vAlign w:val="bottom"/>
          </w:tcPr>
          <w:p>
            <w:pPr>
              <w:ind w:left="240"/>
              <w:spacing w:after="0" w:line="205" w:lineRule="exact"/>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27,408</w:t>
            </w:r>
          </w:p>
        </w:tc>
        <w:tc>
          <w:tcPr>
            <w:tcW w:w="0" w:type="dxa"/>
            <w:vAlign w:val="bottom"/>
          </w:tcPr>
          <w:p>
            <w:pPr>
              <w:spacing w:after="0"/>
              <w:rPr>
                <w:sz w:val="1"/>
                <w:szCs w:val="1"/>
                <w:color w:val="auto"/>
              </w:rPr>
            </w:pPr>
          </w:p>
        </w:tc>
      </w:tr>
      <w:tr>
        <w:trPr>
          <w:trHeight w:val="225"/>
        </w:trPr>
        <w:tc>
          <w:tcPr>
            <w:tcW w:w="480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56,311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56,311</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8"/>
        </w:trPr>
        <w:tc>
          <w:tcPr>
            <w:tcW w:w="4800" w:type="dxa"/>
            <w:vAlign w:val="bottom"/>
          </w:tcPr>
          <w:p>
            <w:pPr>
              <w:ind w:left="680"/>
              <w:spacing w:after="0" w:line="204" w:lineRule="exact"/>
              <w:rPr>
                <w:sz w:val="20"/>
                <w:szCs w:val="20"/>
                <w:color w:val="auto"/>
              </w:rPr>
            </w:pPr>
            <w:r>
              <w:rPr>
                <w:rFonts w:ascii="Arial" w:cs="Arial" w:eastAsia="Arial" w:hAnsi="Arial"/>
                <w:sz w:val="18"/>
                <w:szCs w:val="18"/>
                <w:color w:val="auto"/>
              </w:rPr>
              <w:t>Total equipment revenue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84,619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84,619</w:t>
            </w:r>
          </w:p>
        </w:tc>
        <w:tc>
          <w:tcPr>
            <w:tcW w:w="0" w:type="dxa"/>
            <w:vAlign w:val="bottom"/>
          </w:tcPr>
          <w:p>
            <w:pPr>
              <w:spacing w:after="0"/>
              <w:rPr>
                <w:sz w:val="1"/>
                <w:szCs w:val="1"/>
                <w:color w:val="auto"/>
              </w:rPr>
            </w:pPr>
          </w:p>
        </w:tc>
      </w:tr>
      <w:tr>
        <w:trPr>
          <w:trHeight w:val="243"/>
        </w:trPr>
        <w:tc>
          <w:tcPr>
            <w:tcW w:w="4800" w:type="dxa"/>
            <w:vAlign w:val="bottom"/>
            <w:tcBorders>
              <w:top w:val="single" w:sz="8" w:color="CCEEFF"/>
              <w:bottom w:val="single" w:sz="8" w:color="CCEEFF"/>
            </w:tcBorders>
            <w:shd w:val="clear" w:color="auto" w:fill="CCEEFF"/>
          </w:tcPr>
          <w:p>
            <w:pPr>
              <w:ind w:left="88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499,316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2021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418,547</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680"/>
              <w:spacing w:after="0" w:line="205" w:lineRule="exact"/>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431,279</w:t>
            </w:r>
          </w:p>
        </w:tc>
        <w:tc>
          <w:tcPr>
            <w:tcW w:w="0" w:type="dxa"/>
            <w:vAlign w:val="bottom"/>
          </w:tcPr>
          <w:p>
            <w:pPr>
              <w:spacing w:after="0"/>
              <w:rPr>
                <w:sz w:val="1"/>
                <w:szCs w:val="1"/>
                <w:color w:val="auto"/>
              </w:rPr>
            </w:pPr>
          </w:p>
        </w:tc>
      </w:tr>
      <w:tr>
        <w:trPr>
          <w:trHeight w:val="205"/>
        </w:trPr>
        <w:tc>
          <w:tcPr>
            <w:tcW w:w="4800" w:type="dxa"/>
            <w:vAlign w:val="bottom"/>
          </w:tcPr>
          <w:p>
            <w:pPr>
              <w:ind w:left="240"/>
              <w:spacing w:after="0" w:line="205" w:lineRule="exact"/>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31,101</w:t>
            </w:r>
          </w:p>
        </w:tc>
        <w:tc>
          <w:tcPr>
            <w:tcW w:w="0" w:type="dxa"/>
            <w:vAlign w:val="bottom"/>
          </w:tcPr>
          <w:p>
            <w:pPr>
              <w:spacing w:after="0"/>
              <w:rPr>
                <w:sz w:val="1"/>
                <w:szCs w:val="1"/>
                <w:color w:val="auto"/>
              </w:rPr>
            </w:pPr>
          </w:p>
        </w:tc>
      </w:tr>
      <w:tr>
        <w:trPr>
          <w:trHeight w:val="225"/>
        </w:trPr>
        <w:tc>
          <w:tcPr>
            <w:tcW w:w="480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35,057</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8"/>
        </w:trPr>
        <w:tc>
          <w:tcPr>
            <w:tcW w:w="4800" w:type="dxa"/>
            <w:vAlign w:val="bottom"/>
          </w:tcPr>
          <w:p>
            <w:pPr>
              <w:ind w:left="680"/>
              <w:spacing w:after="0" w:line="204" w:lineRule="exact"/>
              <w:rPr>
                <w:sz w:val="20"/>
                <w:szCs w:val="20"/>
                <w:color w:val="auto"/>
              </w:rPr>
            </w:pPr>
            <w:r>
              <w:rPr>
                <w:rFonts w:ascii="Arial" w:cs="Arial" w:eastAsia="Arial" w:hAnsi="Arial"/>
                <w:sz w:val="18"/>
                <w:szCs w:val="18"/>
                <w:color w:val="auto"/>
              </w:rPr>
              <w:t>Total equipment revenue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68,555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68,555</w:t>
            </w:r>
          </w:p>
        </w:tc>
        <w:tc>
          <w:tcPr>
            <w:tcW w:w="0" w:type="dxa"/>
            <w:vAlign w:val="bottom"/>
          </w:tcPr>
          <w:p>
            <w:pPr>
              <w:spacing w:after="0"/>
              <w:rPr>
                <w:sz w:val="1"/>
                <w:szCs w:val="1"/>
                <w:color w:val="auto"/>
              </w:rPr>
            </w:pPr>
          </w:p>
        </w:tc>
      </w:tr>
      <w:tr>
        <w:trPr>
          <w:trHeight w:val="244"/>
        </w:trPr>
        <w:tc>
          <w:tcPr>
            <w:tcW w:w="4800" w:type="dxa"/>
            <w:vAlign w:val="bottom"/>
            <w:tcBorders>
              <w:top w:val="single" w:sz="8" w:color="CCEEFF"/>
              <w:bottom w:val="single" w:sz="8" w:color="CCEEFF"/>
            </w:tcBorders>
            <w:shd w:val="clear" w:color="auto" w:fill="CCEEFF"/>
          </w:tcPr>
          <w:p>
            <w:pPr>
              <w:ind w:left="88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499,834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5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8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17"/>
                <w:szCs w:val="17"/>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Corporate and</w:t>
            </w:r>
          </w:p>
        </w:tc>
        <w:tc>
          <w:tcPr>
            <w:tcW w:w="16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5"/>
        </w:trPr>
        <w:tc>
          <w:tcPr>
            <w:tcW w:w="48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For the six months ended June 30, 2022</w:t>
            </w: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806,686</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26,822</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680"/>
              <w:spacing w:after="0" w:line="205" w:lineRule="exact"/>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818,611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833,508</w:t>
            </w:r>
          </w:p>
        </w:tc>
        <w:tc>
          <w:tcPr>
            <w:tcW w:w="0" w:type="dxa"/>
            <w:vAlign w:val="bottom"/>
          </w:tcPr>
          <w:p>
            <w:pPr>
              <w:spacing w:after="0"/>
              <w:rPr>
                <w:sz w:val="1"/>
                <w:szCs w:val="1"/>
                <w:color w:val="auto"/>
              </w:rPr>
            </w:pPr>
          </w:p>
        </w:tc>
      </w:tr>
      <w:tr>
        <w:trPr>
          <w:trHeight w:val="205"/>
        </w:trPr>
        <w:tc>
          <w:tcPr>
            <w:tcW w:w="4800" w:type="dxa"/>
            <w:vAlign w:val="bottom"/>
          </w:tcPr>
          <w:p>
            <w:pPr>
              <w:ind w:left="240"/>
              <w:spacing w:after="0" w:line="205" w:lineRule="exact"/>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53,299</w:t>
            </w:r>
          </w:p>
        </w:tc>
        <w:tc>
          <w:tcPr>
            <w:tcW w:w="0" w:type="dxa"/>
            <w:vAlign w:val="bottom"/>
          </w:tcPr>
          <w:p>
            <w:pPr>
              <w:spacing w:after="0"/>
              <w:rPr>
                <w:sz w:val="1"/>
                <w:szCs w:val="1"/>
                <w:color w:val="auto"/>
              </w:rPr>
            </w:pPr>
          </w:p>
        </w:tc>
      </w:tr>
      <w:tr>
        <w:trPr>
          <w:trHeight w:val="225"/>
        </w:trPr>
        <w:tc>
          <w:tcPr>
            <w:tcW w:w="480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112,216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112,216</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8"/>
        </w:trPr>
        <w:tc>
          <w:tcPr>
            <w:tcW w:w="4800" w:type="dxa"/>
            <w:vAlign w:val="bottom"/>
          </w:tcPr>
          <w:p>
            <w:pPr>
              <w:ind w:left="680"/>
              <w:spacing w:after="0" w:line="204" w:lineRule="exact"/>
              <w:rPr>
                <w:sz w:val="20"/>
                <w:szCs w:val="20"/>
                <w:color w:val="auto"/>
              </w:rPr>
            </w:pPr>
            <w:r>
              <w:rPr>
                <w:rFonts w:ascii="Arial" w:cs="Arial" w:eastAsia="Arial" w:hAnsi="Arial"/>
                <w:sz w:val="18"/>
                <w:szCs w:val="18"/>
                <w:color w:val="auto"/>
              </w:rPr>
              <w:t>Total equipment revenue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167,336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167,342</w:t>
            </w:r>
          </w:p>
        </w:tc>
        <w:tc>
          <w:tcPr>
            <w:tcW w:w="0" w:type="dxa"/>
            <w:vAlign w:val="bottom"/>
          </w:tcPr>
          <w:p>
            <w:pPr>
              <w:spacing w:after="0"/>
              <w:rPr>
                <w:sz w:val="1"/>
                <w:szCs w:val="1"/>
                <w:color w:val="auto"/>
              </w:rPr>
            </w:pPr>
          </w:p>
        </w:tc>
      </w:tr>
      <w:tr>
        <w:trPr>
          <w:trHeight w:val="243"/>
        </w:trPr>
        <w:tc>
          <w:tcPr>
            <w:tcW w:w="4800" w:type="dxa"/>
            <w:vAlign w:val="bottom"/>
            <w:tcBorders>
              <w:top w:val="single" w:sz="8" w:color="CCEEFF"/>
              <w:bottom w:val="single" w:sz="8" w:color="CCEEFF"/>
            </w:tcBorders>
            <w:shd w:val="clear" w:color="auto" w:fill="CCEEFF"/>
          </w:tcPr>
          <w:p>
            <w:pPr>
              <w:ind w:left="88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985,947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1,000,850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835,920</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25,696</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680"/>
              <w:spacing w:after="0" w:line="205" w:lineRule="exact"/>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847,341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861,616</w:t>
            </w:r>
          </w:p>
        </w:tc>
        <w:tc>
          <w:tcPr>
            <w:tcW w:w="0" w:type="dxa"/>
            <w:vAlign w:val="bottom"/>
          </w:tcPr>
          <w:p>
            <w:pPr>
              <w:spacing w:after="0"/>
              <w:rPr>
                <w:sz w:val="1"/>
                <w:szCs w:val="1"/>
                <w:color w:val="auto"/>
              </w:rPr>
            </w:pPr>
          </w:p>
        </w:tc>
      </w:tr>
      <w:tr>
        <w:trPr>
          <w:trHeight w:val="205"/>
        </w:trPr>
        <w:tc>
          <w:tcPr>
            <w:tcW w:w="4800" w:type="dxa"/>
            <w:vAlign w:val="bottom"/>
          </w:tcPr>
          <w:p>
            <w:pPr>
              <w:ind w:left="240"/>
              <w:spacing w:after="0" w:line="205" w:lineRule="exact"/>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59,555</w:t>
            </w:r>
          </w:p>
        </w:tc>
        <w:tc>
          <w:tcPr>
            <w:tcW w:w="0" w:type="dxa"/>
            <w:vAlign w:val="bottom"/>
          </w:tcPr>
          <w:p>
            <w:pPr>
              <w:spacing w:after="0"/>
              <w:rPr>
                <w:sz w:val="1"/>
                <w:szCs w:val="1"/>
                <w:color w:val="auto"/>
              </w:rPr>
            </w:pPr>
          </w:p>
        </w:tc>
      </w:tr>
      <w:tr>
        <w:trPr>
          <w:trHeight w:val="225"/>
        </w:trPr>
        <w:tc>
          <w:tcPr>
            <w:tcW w:w="480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56,693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56,693</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18"/>
        </w:trPr>
        <w:tc>
          <w:tcPr>
            <w:tcW w:w="4800" w:type="dxa"/>
            <w:vAlign w:val="bottom"/>
          </w:tcPr>
          <w:p>
            <w:pPr>
              <w:ind w:left="680"/>
              <w:spacing w:after="0" w:line="204" w:lineRule="exact"/>
              <w:rPr>
                <w:sz w:val="20"/>
                <w:szCs w:val="20"/>
                <w:color w:val="auto"/>
              </w:rPr>
            </w:pPr>
            <w:r>
              <w:rPr>
                <w:rFonts w:ascii="Arial" w:cs="Arial" w:eastAsia="Arial" w:hAnsi="Arial"/>
                <w:sz w:val="18"/>
                <w:szCs w:val="18"/>
                <w:color w:val="auto"/>
              </w:rPr>
              <w:t>Total equipment revenue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120,795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120,800</w:t>
            </w:r>
          </w:p>
        </w:tc>
        <w:tc>
          <w:tcPr>
            <w:tcW w:w="0" w:type="dxa"/>
            <w:vAlign w:val="bottom"/>
          </w:tcPr>
          <w:p>
            <w:pPr>
              <w:spacing w:after="0"/>
              <w:rPr>
                <w:sz w:val="1"/>
                <w:szCs w:val="1"/>
                <w:color w:val="auto"/>
              </w:rPr>
            </w:pPr>
          </w:p>
        </w:tc>
      </w:tr>
      <w:tr>
        <w:trPr>
          <w:trHeight w:val="243"/>
        </w:trPr>
        <w:tc>
          <w:tcPr>
            <w:tcW w:w="4800" w:type="dxa"/>
            <w:vAlign w:val="bottom"/>
            <w:tcBorders>
              <w:top w:val="single" w:sz="8" w:color="CCEEFF"/>
              <w:bottom w:val="single" w:sz="8" w:color="CCEEFF"/>
            </w:tcBorders>
            <w:shd w:val="clear" w:color="auto" w:fill="CCEEFF"/>
          </w:tcPr>
          <w:p>
            <w:pPr>
              <w:ind w:left="88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982,416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Lease Revenue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0"/>
        </w:trPr>
        <w:tc>
          <w:tcPr>
            <w:tcW w:w="5960" w:type="dxa"/>
            <w:vAlign w:val="bottom"/>
          </w:tcPr>
          <w:p>
            <w:pPr>
              <w:spacing w:after="0"/>
              <w:rPr>
                <w:sz w:val="20"/>
                <w:szCs w:val="20"/>
                <w:color w:val="auto"/>
              </w:rPr>
            </w:pPr>
            <w:r>
              <w:rPr>
                <w:rFonts w:ascii="Arial" w:cs="Arial" w:eastAsia="Arial" w:hAnsi="Arial"/>
                <w:sz w:val="18"/>
                <w:szCs w:val="18"/>
                <w:color w:val="auto"/>
              </w:rPr>
              <w:t>The following table presents our lease revenue by type of lease:</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2"/>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w:t>
            </w:r>
          </w:p>
        </w:tc>
        <w:tc>
          <w:tcPr>
            <w:tcW w:w="180" w:type="dxa"/>
            <w:vAlign w:val="bottom"/>
          </w:tcPr>
          <w:p>
            <w:pPr>
              <w:spacing w:after="0"/>
              <w:rPr>
                <w:sz w:val="24"/>
                <w:szCs w:val="24"/>
                <w:color w:val="auto"/>
              </w:rPr>
            </w:pPr>
          </w:p>
        </w:tc>
        <w:tc>
          <w:tcPr>
            <w:tcW w:w="2420" w:type="dxa"/>
            <w:vAlign w:val="bottom"/>
            <w:gridSpan w:val="4"/>
          </w:tcPr>
          <w:p>
            <w:pPr>
              <w:jc w:val="right"/>
              <w:ind w:right="132"/>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25"/>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18"/>
        </w:trPr>
        <w:tc>
          <w:tcPr>
            <w:tcW w:w="5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05"/>
        </w:trPr>
        <w:tc>
          <w:tcPr>
            <w:tcW w:w="59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Sales-type lease revenue: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5"/>
        </w:trPr>
        <w:tc>
          <w:tcPr>
            <w:tcW w:w="5960" w:type="dxa"/>
            <w:vAlign w:val="bottom"/>
          </w:tcPr>
          <w:p>
            <w:pPr>
              <w:ind w:left="220"/>
              <w:spacing w:after="0"/>
              <w:rPr>
                <w:sz w:val="20"/>
                <w:szCs w:val="20"/>
                <w:color w:val="auto"/>
              </w:rPr>
            </w:pPr>
            <w:r>
              <w:rPr>
                <w:rFonts w:ascii="Arial" w:cs="Arial" w:eastAsia="Arial" w:hAnsi="Arial"/>
                <w:sz w:val="18"/>
                <w:szCs w:val="18"/>
                <w:color w:val="auto"/>
              </w:rPr>
              <w:t>Revenue at lease commencement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4,377</w:t>
            </w:r>
          </w:p>
        </w:tc>
      </w:tr>
      <w:tr>
        <w:trPr>
          <w:trHeight w:val="225"/>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8"/>
        </w:trPr>
        <w:tc>
          <w:tcPr>
            <w:tcW w:w="5960" w:type="dxa"/>
            <w:vAlign w:val="bottom"/>
          </w:tcPr>
          <w:p>
            <w:pPr>
              <w:ind w:left="440"/>
              <w:spacing w:after="0"/>
              <w:rPr>
                <w:sz w:val="20"/>
                <w:szCs w:val="20"/>
                <w:color w:val="auto"/>
              </w:rPr>
            </w:pPr>
            <w:r>
              <w:rPr>
                <w:rFonts w:ascii="Arial" w:cs="Arial" w:eastAsia="Arial" w:hAnsi="Arial"/>
                <w:sz w:val="18"/>
                <w:szCs w:val="18"/>
                <w:color w:val="auto"/>
              </w:rPr>
              <w:t>Total sales-type lease revenue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4,552</w:t>
            </w:r>
          </w:p>
        </w:tc>
      </w:tr>
      <w:tr>
        <w:trPr>
          <w:trHeight w:val="225"/>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25,696</w:t>
            </w:r>
          </w:p>
        </w:tc>
      </w:tr>
      <w:tr>
        <w:trPr>
          <w:trHeight w:val="219"/>
        </w:trPr>
        <w:tc>
          <w:tcPr>
            <w:tcW w:w="5960" w:type="dxa"/>
            <w:vAlign w:val="bottom"/>
          </w:tcPr>
          <w:p>
            <w:pPr>
              <w:ind w:left="360"/>
              <w:spacing w:after="0"/>
              <w:rPr>
                <w:sz w:val="20"/>
                <w:szCs w:val="20"/>
                <w:color w:val="auto"/>
              </w:rPr>
            </w:pPr>
            <w:r>
              <w:rPr>
                <w:rFonts w:ascii="Arial" w:cs="Arial" w:eastAsia="Arial" w:hAnsi="Arial"/>
                <w:sz w:val="18"/>
                <w:szCs w:val="18"/>
                <w:color w:val="auto"/>
              </w:rPr>
              <w:t>Total lease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30,248</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BUSINESS COMBINATIONS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May 2019, we entered into an agreement with Bharti Airtel Limited (“BAL”) and its subsidiary, Bharti Airtel Services Limited (together with BAL, “Bharti”), pursuant to which Bharti agreed to contribute its very small aperture terminal (“VSAT”) telecommunications services and hardware business in India to Hughes Communications India Private Limited (“HCIPL”) and its subsidiaries, our less than wholly owned Indian subsidiaries, that conduct our VSAT services and hardware business in India. On January 4, 2022, this joint venture was formed (the “India JV”) and subsequent to the formation of the India JV, we hold a 67% ownership interest and Bharti holds a 33% ownership interest in HCIPL. The India JV combines the VSAT businesses of both companies to offer flexible and scalable enterprise networking solutions using satellite connectivity for primary transport, back-up and hybrid implementation in India. The results of operations related to the India JV have been included in these Consolidated Financial Statements from the date of formation. The costs associated with the closing of the India JV were not material and were expensed as incurred.</w:t>
      </w:r>
    </w:p>
    <w:p>
      <w:pPr>
        <w:spacing w:after="0" w:line="237"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fair value of the consideration transferred was $38.2 million. Net cash paid was $7.9 million, inclusive of amounts paid for the acquisition of, or of HCIPL shares from, entities that were shareholders of HCIPL prior to closing the India JV.</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assets and liabilities acquired in the India JV formation have been recorded at fair value. The following table presents our preliminary allocation of the purchase price:</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9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06"/>
        </w:trPr>
        <w:tc>
          <w:tcPr>
            <w:tcW w:w="898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5"/>
        </w:trPr>
        <w:tc>
          <w:tcPr>
            <w:tcW w:w="8980" w:type="dxa"/>
            <w:vAlign w:val="bottom"/>
          </w:tcPr>
          <w:p>
            <w:pPr>
              <w:ind w:left="220"/>
              <w:spacing w:after="0"/>
              <w:rPr>
                <w:sz w:val="20"/>
                <w:szCs w:val="20"/>
                <w:color w:val="auto"/>
              </w:rPr>
            </w:pPr>
            <w:r>
              <w:rPr>
                <w:rFonts w:ascii="Arial" w:cs="Arial" w:eastAsia="Arial" w:hAnsi="Arial"/>
                <w:sz w:val="18"/>
                <w:szCs w:val="18"/>
                <w:color w:val="auto"/>
              </w:rPr>
              <w:t>Trade accounts receivable and contract assets, net</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6,160</w:t>
            </w:r>
          </w:p>
        </w:tc>
      </w:tr>
      <w:tr>
        <w:trPr>
          <w:trHeight w:val="22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r>
      <w:tr>
        <w:trPr>
          <w:trHeight w:val="225"/>
        </w:trPr>
        <w:tc>
          <w:tcPr>
            <w:tcW w:w="8980" w:type="dxa"/>
            <w:vAlign w:val="bottom"/>
          </w:tcPr>
          <w:p>
            <w:pPr>
              <w:ind w:left="22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4,669</w:t>
            </w:r>
          </w:p>
        </w:tc>
      </w:tr>
      <w:tr>
        <w:trPr>
          <w:trHeight w:val="22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23,086</w:t>
            </w:r>
          </w:p>
        </w:tc>
      </w:tr>
      <w:tr>
        <w:trPr>
          <w:trHeight w:val="225"/>
        </w:trPr>
        <w:tc>
          <w:tcPr>
            <w:tcW w:w="8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intangible assets</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w:t>
            </w:r>
          </w:p>
        </w:tc>
      </w:tr>
      <w:tr>
        <w:trPr>
          <w:trHeight w:val="244"/>
        </w:trPr>
        <w:tc>
          <w:tcPr>
            <w:tcW w:w="8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40,428</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5"/>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5"/>
        </w:trPr>
        <w:tc>
          <w:tcPr>
            <w:tcW w:w="898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25"/>
        </w:trPr>
        <w:tc>
          <w:tcPr>
            <w:tcW w:w="8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r>
      <w:tr>
        <w:trPr>
          <w:trHeight w:val="244"/>
        </w:trPr>
        <w:tc>
          <w:tcPr>
            <w:tcW w:w="8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50"/>
        </w:trPr>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38,195</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preliminary valuation of assets acquired and liabilities assumed in the India JV were derived using primarily unobservable Level 3 inputs, which require significant management judgment and estimation, and resulted in a customer relationship intangible of $4.4 million with an estimated life of 5 years and is reported in Other intangible assets, net.</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Goodwill associated with the India JV is attributable to expected synergies, the projected long-term business growth in current and new markets and an assembled workforce. Goodwill has been allocated entirely to our Hughes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EARNINGS PER SHARE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EPS for our Class A and B common stock:</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264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three months ended</w:t>
            </w:r>
          </w:p>
        </w:tc>
        <w:tc>
          <w:tcPr>
            <w:tcW w:w="180" w:type="dxa"/>
            <w:vAlign w:val="bottom"/>
          </w:tcPr>
          <w:p>
            <w:pPr>
              <w:spacing w:after="0"/>
              <w:rPr>
                <w:sz w:val="17"/>
                <w:szCs w:val="17"/>
                <w:color w:val="auto"/>
              </w:rPr>
            </w:pPr>
          </w:p>
        </w:tc>
        <w:tc>
          <w:tcPr>
            <w:tcW w:w="2420" w:type="dxa"/>
            <w:vAlign w:val="bottom"/>
            <w:gridSpan w:val="4"/>
          </w:tcPr>
          <w:p>
            <w:pPr>
              <w:jc w:val="right"/>
              <w:ind w:right="132"/>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25"/>
        </w:trPr>
        <w:tc>
          <w:tcPr>
            <w:tcW w:w="6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18"/>
        </w:trPr>
        <w:tc>
          <w:tcPr>
            <w:tcW w:w="60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43"/>
        </w:trPr>
        <w:tc>
          <w:tcPr>
            <w:tcW w:w="600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Net income (loss) attributable to EchoStar Corporation common stock</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115,814</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6000" w:type="dxa"/>
            <w:vAlign w:val="bottom"/>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84,317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90,689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92,271</w:t>
            </w:r>
          </w:p>
        </w:tc>
      </w:tr>
      <w:tr>
        <w:trPr>
          <w:trHeight w:val="22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Dilutive impact of stock awards outstanding</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8"/>
        </w:trPr>
        <w:tc>
          <w:tcPr>
            <w:tcW w:w="6000" w:type="dxa"/>
            <w:vAlign w:val="bottom"/>
          </w:tcPr>
          <w:p>
            <w:pPr>
              <w:ind w:left="240"/>
              <w:spacing w:after="0" w:line="204" w:lineRule="exact"/>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84,317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90,714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85,077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92,296</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2"/>
        </w:trPr>
        <w:tc>
          <w:tcPr>
            <w:tcW w:w="6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Earnings (losses) per share: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0"/>
        </w:trPr>
        <w:tc>
          <w:tcPr>
            <w:tcW w:w="6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000" w:type="dxa"/>
            <w:vAlign w:val="bottom"/>
          </w:tcPr>
          <w:p>
            <w:pPr>
              <w:ind w:left="120"/>
              <w:spacing w:after="0" w:line="198"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2"/>
              <w:spacing w:after="0" w:line="198"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0.16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0.41</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1.25</w:t>
            </w: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presents the number of anti-dilutive options to purchase shares of our Class A common stock which have been excluded from the calculation of our weighted-average common shares outstanding: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6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7"/>
              </w:rPr>
              <w:t>For the three months ended</w:t>
            </w:r>
          </w:p>
        </w:tc>
        <w:tc>
          <w:tcPr>
            <w:tcW w:w="25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8"/>
              </w:rPr>
              <w:t>For the six months ended</w:t>
            </w:r>
          </w:p>
        </w:tc>
        <w:tc>
          <w:tcPr>
            <w:tcW w:w="0" w:type="dxa"/>
            <w:vAlign w:val="bottom"/>
          </w:tcPr>
          <w:p>
            <w:pPr>
              <w:spacing w:after="0"/>
              <w:rPr>
                <w:sz w:val="1"/>
                <w:szCs w:val="1"/>
                <w:color w:val="auto"/>
              </w:rPr>
            </w:pPr>
          </w:p>
        </w:tc>
      </w:tr>
      <w:tr>
        <w:trPr>
          <w:trHeight w:val="225"/>
        </w:trPr>
        <w:tc>
          <w:tcPr>
            <w:tcW w:w="6020" w:type="dxa"/>
            <w:vAlign w:val="bottom"/>
          </w:tcPr>
          <w:p>
            <w:pPr>
              <w:spacing w:after="0"/>
              <w:rPr>
                <w:sz w:val="19"/>
                <w:szCs w:val="19"/>
                <w:color w:val="auto"/>
              </w:rPr>
            </w:pPr>
          </w:p>
        </w:tc>
        <w:tc>
          <w:tcPr>
            <w:tcW w:w="1680" w:type="dxa"/>
            <w:vAlign w:val="bottom"/>
            <w:tcBorders>
              <w:bottom w:val="single" w:sz="8" w:color="auto"/>
            </w:tcBorders>
            <w:gridSpan w:val="3"/>
          </w:tcPr>
          <w:p>
            <w:pPr>
              <w:jc w:val="center"/>
              <w:ind w:left="792"/>
              <w:spacing w:after="0"/>
              <w:rPr>
                <w:sz w:val="20"/>
                <w:szCs w:val="20"/>
                <w:color w:val="auto"/>
              </w:rPr>
            </w:pPr>
            <w:r>
              <w:rPr>
                <w:rFonts w:ascii="Arial" w:cs="Arial" w:eastAsia="Arial" w:hAnsi="Arial"/>
                <w:sz w:val="18"/>
                <w:szCs w:val="18"/>
                <w:b w:val="1"/>
                <w:bCs w:val="1"/>
                <w:color w:val="auto"/>
                <w:w w:val="99"/>
              </w:rPr>
              <w:t>June 30,</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June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shares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gridSpan w:val="3"/>
            <w:shd w:val="clear" w:color="auto" w:fill="CCEEFF"/>
          </w:tcPr>
          <w:p>
            <w:pPr>
              <w:jc w:val="center"/>
              <w:ind w:left="652"/>
              <w:spacing w:after="0"/>
              <w:rPr>
                <w:sz w:val="20"/>
                <w:szCs w:val="20"/>
                <w:color w:val="auto"/>
              </w:rPr>
            </w:pPr>
            <w:r>
              <w:rPr>
                <w:rFonts w:ascii="Arial" w:cs="Arial" w:eastAsia="Arial" w:hAnsi="Arial"/>
                <w:sz w:val="18"/>
                <w:szCs w:val="18"/>
                <w:color w:val="auto"/>
                <w:w w:val="97"/>
              </w:rPr>
              <w:t>6,791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MARKETABLE INVESTMENT SECURITIES</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60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020" w:type="dxa"/>
            <w:vAlign w:val="bottom"/>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Marketable investment securities</w:t>
            </w: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b w:val="1"/>
                <w:bCs w:val="1"/>
                <w:color w:val="auto"/>
              </w:rPr>
              <w:t>As of</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0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05"/>
        </w:trPr>
        <w:tc>
          <w:tcPr>
            <w:tcW w:w="6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Marketable investment securities:</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20" w:type="dxa"/>
            <w:vAlign w:val="bottom"/>
          </w:tcPr>
          <w:p>
            <w:pPr>
              <w:ind w:left="240"/>
              <w:spacing w:after="0"/>
              <w:rPr>
                <w:sz w:val="20"/>
                <w:szCs w:val="20"/>
                <w:color w:val="auto"/>
              </w:rPr>
            </w:pPr>
            <w:r>
              <w:rPr>
                <w:rFonts w:ascii="Arial" w:cs="Arial" w:eastAsia="Arial" w:hAnsi="Arial"/>
                <w:sz w:val="18"/>
                <w:szCs w:val="18"/>
                <w:b w:val="1"/>
                <w:bCs w:val="1"/>
                <w:color w:val="auto"/>
              </w:rPr>
              <w:t>Available-for-sale debt securities:</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167,917</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289,784</w:t>
            </w:r>
          </w:p>
        </w:tc>
        <w:tc>
          <w:tcPr>
            <w:tcW w:w="0" w:type="dxa"/>
            <w:vAlign w:val="bottom"/>
          </w:tcPr>
          <w:p>
            <w:pPr>
              <w:spacing w:after="0"/>
              <w:rPr>
                <w:sz w:val="1"/>
                <w:szCs w:val="1"/>
                <w:color w:val="auto"/>
              </w:rPr>
            </w:pPr>
          </w:p>
        </w:tc>
      </w:tr>
      <w:tr>
        <w:trPr>
          <w:trHeight w:val="225"/>
        </w:trPr>
        <w:tc>
          <w:tcPr>
            <w:tcW w:w="602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153,023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498,358</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securities</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92,673</w:t>
            </w:r>
          </w:p>
        </w:tc>
        <w:tc>
          <w:tcPr>
            <w:tcW w:w="0" w:type="dxa"/>
            <w:vAlign w:val="bottom"/>
          </w:tcPr>
          <w:p>
            <w:pPr>
              <w:spacing w:after="0"/>
              <w:rPr>
                <w:sz w:val="1"/>
                <w:szCs w:val="1"/>
                <w:color w:val="auto"/>
              </w:rPr>
            </w:pPr>
          </w:p>
        </w:tc>
      </w:tr>
      <w:tr>
        <w:trPr>
          <w:trHeight w:val="218"/>
        </w:trPr>
        <w:tc>
          <w:tcPr>
            <w:tcW w:w="6020" w:type="dxa"/>
            <w:vAlign w:val="bottom"/>
          </w:tcPr>
          <w:p>
            <w:pPr>
              <w:ind w:left="660"/>
              <w:spacing w:after="0" w:line="204" w:lineRule="exact"/>
              <w:rPr>
                <w:sz w:val="20"/>
                <w:szCs w:val="20"/>
                <w:color w:val="auto"/>
              </w:rPr>
            </w:pPr>
            <w:r>
              <w:rPr>
                <w:rFonts w:ascii="Arial" w:cs="Arial" w:eastAsia="Arial" w:hAnsi="Arial"/>
                <w:sz w:val="18"/>
                <w:szCs w:val="18"/>
                <w:color w:val="auto"/>
              </w:rPr>
              <w:t>Total available-for-sale debt securities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379,842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880,815</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142,943</w:t>
            </w:r>
          </w:p>
        </w:tc>
        <w:tc>
          <w:tcPr>
            <w:tcW w:w="0" w:type="dxa"/>
            <w:vAlign w:val="bottom"/>
          </w:tcPr>
          <w:p>
            <w:pPr>
              <w:spacing w:after="0"/>
              <w:rPr>
                <w:sz w:val="1"/>
                <w:szCs w:val="1"/>
                <w:color w:val="auto"/>
              </w:rPr>
            </w:pPr>
          </w:p>
        </w:tc>
      </w:tr>
      <w:tr>
        <w:trPr>
          <w:trHeight w:val="218"/>
        </w:trPr>
        <w:tc>
          <w:tcPr>
            <w:tcW w:w="6020" w:type="dxa"/>
            <w:vAlign w:val="bottom"/>
          </w:tcPr>
          <w:p>
            <w:pPr>
              <w:ind w:left="440"/>
              <w:spacing w:after="0" w:line="204" w:lineRule="exact"/>
              <w:rPr>
                <w:sz w:val="20"/>
                <w:szCs w:val="20"/>
                <w:color w:val="auto"/>
              </w:rPr>
            </w:pPr>
            <w:r>
              <w:rPr>
                <w:rFonts w:ascii="Arial" w:cs="Arial" w:eastAsia="Arial" w:hAnsi="Arial"/>
                <w:sz w:val="18"/>
                <w:szCs w:val="18"/>
                <w:color w:val="auto"/>
              </w:rPr>
              <w:t>Total marketable investment securities, including restricted amounts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543,319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1,023,758</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Restricted marketable investment securities</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0" w:type="dxa"/>
            <w:vAlign w:val="bottom"/>
          </w:tcPr>
          <w:p>
            <w:pPr>
              <w:spacing w:after="0"/>
              <w:rPr>
                <w:sz w:val="1"/>
                <w:szCs w:val="1"/>
                <w:color w:val="auto"/>
              </w:rPr>
            </w:pPr>
          </w:p>
        </w:tc>
      </w:tr>
      <w:tr>
        <w:trPr>
          <w:trHeight w:val="218"/>
        </w:trPr>
        <w:tc>
          <w:tcPr>
            <w:tcW w:w="6020" w:type="dxa"/>
            <w:vAlign w:val="bottom"/>
          </w:tcPr>
          <w:p>
            <w:pPr>
              <w:ind w:left="440"/>
              <w:spacing w:after="0" w:line="204" w:lineRule="exact"/>
              <w:rPr>
                <w:sz w:val="20"/>
                <w:szCs w:val="20"/>
                <w:color w:val="auto"/>
              </w:rPr>
            </w:pPr>
            <w:r>
              <w:rPr>
                <w:rFonts w:ascii="Arial" w:cs="Arial" w:eastAsia="Arial" w:hAnsi="Arial"/>
                <w:sz w:val="18"/>
                <w:szCs w:val="18"/>
                <w:color w:val="auto"/>
              </w:rPr>
              <w:t>Total marketable investment securities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529,854</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1,010,496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available-for-sale debt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Amortized</w:t>
            </w: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20"/>
        </w:trPr>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Cost</w:t>
            </w:r>
          </w:p>
        </w:tc>
        <w:tc>
          <w:tcPr>
            <w:tcW w:w="32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420" w:type="dxa"/>
            <w:vAlign w:val="bottom"/>
          </w:tcPr>
          <w:p>
            <w:pPr>
              <w:spacing w:after="0"/>
              <w:rPr>
                <w:sz w:val="19"/>
                <w:szCs w:val="19"/>
                <w:color w:val="auto"/>
              </w:rPr>
            </w:pPr>
          </w:p>
        </w:tc>
        <w:tc>
          <w:tcPr>
            <w:tcW w:w="1100" w:type="dxa"/>
            <w:vAlign w:val="bottom"/>
          </w:tcPr>
          <w:p>
            <w:pPr>
              <w:jc w:val="right"/>
              <w:ind w:right="372"/>
              <w:spacing w:after="0"/>
              <w:rPr>
                <w:sz w:val="20"/>
                <w:szCs w:val="20"/>
                <w:color w:val="auto"/>
              </w:rPr>
            </w:pPr>
            <w:r>
              <w:rPr>
                <w:rFonts w:ascii="Arial" w:cs="Arial" w:eastAsia="Arial" w:hAnsi="Arial"/>
                <w:sz w:val="18"/>
                <w:szCs w:val="18"/>
                <w:b w:val="1"/>
                <w:bCs w:val="1"/>
                <w:color w:val="auto"/>
                <w:w w:val="99"/>
              </w:rPr>
              <w:t>Losses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8"/>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2022</w:t>
            </w: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168,830</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167,917</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153,023</w:t>
            </w:r>
          </w:p>
        </w:tc>
        <w:tc>
          <w:tcPr>
            <w:tcW w:w="0" w:type="dxa"/>
            <w:vAlign w:val="bottom"/>
          </w:tcPr>
          <w:p>
            <w:pPr>
              <w:spacing w:after="0"/>
              <w:rPr>
                <w:sz w:val="1"/>
                <w:szCs w:val="1"/>
                <w:color w:val="auto"/>
              </w:rPr>
            </w:pPr>
          </w:p>
        </w:tc>
      </w:tr>
      <w:tr>
        <w:trPr>
          <w:trHeight w:val="225"/>
        </w:trPr>
        <w:tc>
          <w:tcPr>
            <w:tcW w:w="4820" w:type="dxa"/>
            <w:vAlign w:val="bottom"/>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59,074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58,902</w:t>
            </w:r>
          </w:p>
        </w:tc>
        <w:tc>
          <w:tcPr>
            <w:tcW w:w="0" w:type="dxa"/>
            <w:vAlign w:val="bottom"/>
          </w:tcPr>
          <w:p>
            <w:pPr>
              <w:spacing w:after="0"/>
              <w:rPr>
                <w:sz w:val="1"/>
                <w:szCs w:val="1"/>
                <w:color w:val="auto"/>
              </w:rPr>
            </w:pPr>
          </w:p>
        </w:tc>
      </w:tr>
      <w:tr>
        <w:trPr>
          <w:trHeight w:val="243"/>
        </w:trPr>
        <w:tc>
          <w:tcPr>
            <w:tcW w:w="4820" w:type="dxa"/>
            <w:vAlign w:val="bottom"/>
            <w:tcBorders>
              <w:top w:val="single" w:sz="8" w:color="CCEEFF"/>
              <w:bottom w:val="single" w:sz="8" w:color="CCEEFF"/>
            </w:tcBorders>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available-for-sale debt securities</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379,842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289,784</w:t>
            </w:r>
          </w:p>
        </w:tc>
        <w:tc>
          <w:tcPr>
            <w:tcW w:w="0" w:type="dxa"/>
            <w:vAlign w:val="bottom"/>
          </w:tcPr>
          <w:p>
            <w:pPr>
              <w:spacing w:after="0"/>
              <w:rPr>
                <w:sz w:val="1"/>
                <w:szCs w:val="1"/>
                <w:color w:val="auto"/>
              </w:rPr>
            </w:pPr>
          </w:p>
        </w:tc>
      </w:tr>
      <w:tr>
        <w:trPr>
          <w:trHeight w:val="225"/>
        </w:trPr>
        <w:tc>
          <w:tcPr>
            <w:tcW w:w="482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498,358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498,358</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92,673</w:t>
            </w:r>
          </w:p>
        </w:tc>
        <w:tc>
          <w:tcPr>
            <w:tcW w:w="0" w:type="dxa"/>
            <w:vAlign w:val="bottom"/>
          </w:tcPr>
          <w:p>
            <w:pPr>
              <w:spacing w:after="0"/>
              <w:rPr>
                <w:sz w:val="1"/>
                <w:szCs w:val="1"/>
                <w:color w:val="auto"/>
              </w:rPr>
            </w:pPr>
          </w:p>
        </w:tc>
      </w:tr>
      <w:tr>
        <w:trPr>
          <w:trHeight w:val="218"/>
        </w:trPr>
        <w:tc>
          <w:tcPr>
            <w:tcW w:w="4820" w:type="dxa"/>
            <w:vAlign w:val="bottom"/>
          </w:tcPr>
          <w:p>
            <w:pPr>
              <w:ind w:left="460"/>
              <w:spacing w:after="0" w:line="204" w:lineRule="exact"/>
              <w:rPr>
                <w:sz w:val="20"/>
                <w:szCs w:val="20"/>
                <w:color w:val="auto"/>
              </w:rPr>
            </w:pPr>
            <w:r>
              <w:rPr>
                <w:rFonts w:ascii="Arial" w:cs="Arial" w:eastAsia="Arial" w:hAnsi="Arial"/>
                <w:sz w:val="18"/>
                <w:szCs w:val="18"/>
                <w:color w:val="auto"/>
              </w:rPr>
              <w:t>Total available-for-sale debt securities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881,269</w:t>
            </w:r>
          </w:p>
        </w:tc>
        <w:tc>
          <w:tcPr>
            <w:tcW w:w="10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880,815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available-for-sale debt securities: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8"/>
              </w:rPr>
              <w:t>For the three months ended</w:t>
            </w:r>
          </w:p>
        </w:tc>
        <w:tc>
          <w:tcPr>
            <w:tcW w:w="180" w:type="dxa"/>
            <w:vAlign w:val="bottom"/>
          </w:tcPr>
          <w:p>
            <w:pPr>
              <w:spacing w:after="0"/>
              <w:rPr>
                <w:sz w:val="17"/>
                <w:szCs w:val="17"/>
                <w:color w:val="auto"/>
              </w:rPr>
            </w:pPr>
          </w:p>
        </w:tc>
        <w:tc>
          <w:tcPr>
            <w:tcW w:w="2420" w:type="dxa"/>
            <w:vAlign w:val="bottom"/>
            <w:gridSpan w:val="4"/>
          </w:tcPr>
          <w:p>
            <w:pPr>
              <w:jc w:val="center"/>
              <w:ind w:right="92"/>
              <w:spacing w:after="0"/>
              <w:rPr>
                <w:sz w:val="20"/>
                <w:szCs w:val="20"/>
                <w:color w:val="auto"/>
              </w:rPr>
            </w:pPr>
            <w:r>
              <w:rPr>
                <w:rFonts w:ascii="Arial" w:cs="Arial" w:eastAsia="Arial" w:hAnsi="Arial"/>
                <w:sz w:val="18"/>
                <w:szCs w:val="18"/>
                <w:b w:val="1"/>
                <w:bCs w:val="1"/>
                <w:color w:val="auto"/>
                <w:w w:val="98"/>
              </w:rPr>
              <w:t>For the six months ended</w:t>
            </w:r>
          </w:p>
        </w:tc>
      </w:tr>
      <w:tr>
        <w:trPr>
          <w:trHeight w:val="225"/>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672"/>
              <w:spacing w:after="0"/>
              <w:rPr>
                <w:sz w:val="20"/>
                <w:szCs w:val="20"/>
                <w:color w:val="auto"/>
              </w:rPr>
            </w:pPr>
            <w:r>
              <w:rPr>
                <w:rFonts w:ascii="Arial" w:cs="Arial" w:eastAsia="Arial" w:hAnsi="Arial"/>
                <w:sz w:val="18"/>
                <w:szCs w:val="18"/>
                <w:b w:val="1"/>
                <w:bCs w:val="1"/>
                <w:color w:val="auto"/>
                <w:w w:val="97"/>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32"/>
              <w:spacing w:after="0"/>
              <w:rPr>
                <w:sz w:val="20"/>
                <w:szCs w:val="20"/>
                <w:color w:val="auto"/>
              </w:rPr>
            </w:pPr>
            <w:r>
              <w:rPr>
                <w:rFonts w:ascii="Arial" w:cs="Arial" w:eastAsia="Arial" w:hAnsi="Arial"/>
                <w:sz w:val="18"/>
                <w:szCs w:val="18"/>
                <w:b w:val="1"/>
                <w:bCs w:val="1"/>
                <w:color w:val="auto"/>
                <w:w w:val="97"/>
              </w:rPr>
              <w:t>June 30,</w:t>
            </w:r>
          </w:p>
        </w:tc>
        <w:tc>
          <w:tcPr>
            <w:tcW w:w="880" w:type="dxa"/>
            <w:vAlign w:val="bottom"/>
            <w:tcBorders>
              <w:bottom w:val="single" w:sz="8" w:color="auto"/>
            </w:tcBorders>
          </w:tcPr>
          <w:p>
            <w:pPr>
              <w:spacing w:after="0"/>
              <w:rPr>
                <w:sz w:val="19"/>
                <w:szCs w:val="19"/>
                <w:color w:val="auto"/>
              </w:rPr>
            </w:pPr>
          </w:p>
        </w:tc>
      </w:tr>
      <w:tr>
        <w:trPr>
          <w:trHeight w:val="219"/>
        </w:trPr>
        <w:tc>
          <w:tcPr>
            <w:tcW w:w="5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4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262,495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June 30, 2022, we have $379.8 million of available-for-sale debt securities with contractual maturities of one year or less and zero with contractual maturities greater than one year.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0"/>
        </w:trPr>
        <w:tc>
          <w:tcPr>
            <w:tcW w:w="5960" w:type="dxa"/>
            <w:vAlign w:val="bottom"/>
          </w:tcPr>
          <w:p>
            <w:pPr>
              <w:spacing w:after="0"/>
              <w:rPr>
                <w:sz w:val="20"/>
                <w:szCs w:val="20"/>
                <w:color w:val="auto"/>
              </w:rPr>
            </w:pPr>
            <w:r>
              <w:rPr>
                <w:rFonts w:ascii="Arial" w:cs="Arial" w:eastAsia="Arial" w:hAnsi="Arial"/>
                <w:sz w:val="18"/>
                <w:szCs w:val="18"/>
                <w:color w:val="auto"/>
              </w:rPr>
              <w:t>The following table presents the activity of our equity securities: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8"/>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8"/>
              </w:rPr>
              <w:t>For the three months ended</w:t>
            </w:r>
          </w:p>
        </w:tc>
        <w:tc>
          <w:tcPr>
            <w:tcW w:w="160" w:type="dxa"/>
            <w:vAlign w:val="bottom"/>
          </w:tcPr>
          <w:p>
            <w:pPr>
              <w:spacing w:after="0"/>
              <w:rPr>
                <w:sz w:val="24"/>
                <w:szCs w:val="24"/>
                <w:color w:val="auto"/>
              </w:rPr>
            </w:pPr>
          </w:p>
        </w:tc>
        <w:tc>
          <w:tcPr>
            <w:tcW w:w="2420" w:type="dxa"/>
            <w:vAlign w:val="bottom"/>
            <w:gridSpan w:val="4"/>
          </w:tcPr>
          <w:p>
            <w:pPr>
              <w:jc w:val="center"/>
              <w:ind w:right="72"/>
              <w:spacing w:after="0"/>
              <w:rPr>
                <w:sz w:val="20"/>
                <w:szCs w:val="20"/>
                <w:color w:val="auto"/>
              </w:rPr>
            </w:pPr>
            <w:r>
              <w:rPr>
                <w:rFonts w:ascii="Arial" w:cs="Arial" w:eastAsia="Arial" w:hAnsi="Arial"/>
                <w:sz w:val="18"/>
                <w:szCs w:val="18"/>
                <w:b w:val="1"/>
                <w:bCs w:val="1"/>
                <w:color w:val="auto"/>
                <w:w w:val="97"/>
              </w:rPr>
              <w:t>For the six months ended</w:t>
            </w:r>
          </w:p>
        </w:tc>
      </w:tr>
      <w:tr>
        <w:trPr>
          <w:trHeight w:val="225"/>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8"/>
                <w:szCs w:val="18"/>
                <w:b w:val="1"/>
                <w:bCs w:val="1"/>
                <w:color w:val="auto"/>
                <w:w w:val="97"/>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32"/>
              <w:spacing w:after="0"/>
              <w:rPr>
                <w:sz w:val="20"/>
                <w:szCs w:val="20"/>
                <w:color w:val="auto"/>
              </w:rPr>
            </w:pPr>
            <w:r>
              <w:rPr>
                <w:rFonts w:ascii="Arial" w:cs="Arial" w:eastAsia="Arial" w:hAnsi="Arial"/>
                <w:sz w:val="18"/>
                <w:szCs w:val="18"/>
                <w:b w:val="1"/>
                <w:bCs w:val="1"/>
                <w:color w:val="auto"/>
                <w:w w:val="97"/>
              </w:rPr>
              <w:t>June 30,</w:t>
            </w:r>
          </w:p>
        </w:tc>
        <w:tc>
          <w:tcPr>
            <w:tcW w:w="880" w:type="dxa"/>
            <w:vAlign w:val="bottom"/>
            <w:tcBorders>
              <w:bottom w:val="single" w:sz="8" w:color="auto"/>
            </w:tcBorders>
          </w:tcPr>
          <w:p>
            <w:pPr>
              <w:spacing w:after="0"/>
              <w:rPr>
                <w:sz w:val="19"/>
                <w:szCs w:val="19"/>
                <w:color w:val="auto"/>
              </w:rPr>
            </w:pPr>
          </w:p>
        </w:tc>
      </w:tr>
      <w:tr>
        <w:trPr>
          <w:trHeight w:val="219"/>
        </w:trPr>
        <w:tc>
          <w:tcPr>
            <w:tcW w:w="5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38"/>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on investments,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(22,752)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 presents our marketable investment securities categorized by the fair value hierarchy, certain of which have historically experienced volatility: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240" w:type="dxa"/>
            <w:vAlign w:val="bottom"/>
          </w:tcPr>
          <w:p>
            <w:pPr>
              <w:jc w:val="right"/>
              <w:ind w:right="492"/>
              <w:spacing w:after="0"/>
              <w:rPr>
                <w:sz w:val="20"/>
                <w:szCs w:val="20"/>
                <w:color w:val="auto"/>
              </w:rPr>
            </w:pPr>
            <w:r>
              <w:rPr>
                <w:rFonts w:ascii="Arial" w:cs="Arial" w:eastAsia="Arial" w:hAnsi="Arial"/>
                <w:sz w:val="18"/>
                <w:szCs w:val="18"/>
                <w:b w:val="1"/>
                <w:bCs w:val="1"/>
                <w:color w:val="auto"/>
              </w:rPr>
              <w:t>Total</w:t>
            </w:r>
          </w:p>
        </w:tc>
      </w:tr>
      <w:tr>
        <w:trPr>
          <w:trHeight w:val="206"/>
        </w:trPr>
        <w:tc>
          <w:tcPr>
            <w:tcW w:w="62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 of June 30, 2022</w:t>
            </w:r>
          </w:p>
        </w:tc>
        <w:tc>
          <w:tcPr>
            <w:tcW w:w="3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902,037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902,780</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2"/>
        </w:trPr>
        <w:tc>
          <w:tcPr>
            <w:tcW w:w="62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5"/>
        </w:trPr>
        <w:tc>
          <w:tcPr>
            <w:tcW w:w="62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167,917</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167,917</w:t>
            </w:r>
          </w:p>
        </w:tc>
      </w:tr>
      <w:tr>
        <w:trPr>
          <w:trHeight w:val="22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153,023</w:t>
            </w:r>
          </w:p>
        </w:tc>
      </w:tr>
      <w:tr>
        <w:trPr>
          <w:trHeight w:val="225"/>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58,902</w:t>
            </w:r>
          </w:p>
        </w:tc>
      </w:tr>
      <w:tr>
        <w:trPr>
          <w:trHeight w:val="219"/>
        </w:trPr>
        <w:tc>
          <w:tcPr>
            <w:tcW w:w="628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379,842</w:t>
            </w:r>
          </w:p>
        </w:tc>
      </w:tr>
      <w:tr>
        <w:trPr>
          <w:trHeight w:val="22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163,477</w:t>
            </w:r>
          </w:p>
        </w:tc>
      </w:tr>
      <w:tr>
        <w:trPr>
          <w:trHeight w:val="219"/>
        </w:trPr>
        <w:tc>
          <w:tcPr>
            <w:tcW w:w="628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543,319</w:t>
            </w:r>
          </w:p>
        </w:tc>
      </w:tr>
      <w:tr>
        <w:trPr>
          <w:trHeight w:val="225"/>
        </w:trPr>
        <w:tc>
          <w:tcPr>
            <w:tcW w:w="628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(13,465)</w:t>
            </w:r>
          </w:p>
        </w:tc>
      </w:tr>
      <w:tr>
        <w:trPr>
          <w:trHeight w:val="243"/>
        </w:trPr>
        <w:tc>
          <w:tcPr>
            <w:tcW w:w="6280" w:type="dxa"/>
            <w:vAlign w:val="bottom"/>
            <w:tcBorders>
              <w:top w:val="single" w:sz="8" w:color="CCEEFF"/>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529,854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423,123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430,995</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2"/>
        </w:trPr>
        <w:tc>
          <w:tcPr>
            <w:tcW w:w="62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5"/>
        </w:trPr>
        <w:tc>
          <w:tcPr>
            <w:tcW w:w="62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289,784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289,784</w:t>
            </w:r>
          </w:p>
        </w:tc>
      </w:tr>
      <w:tr>
        <w:trPr>
          <w:trHeight w:val="22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498,358</w:t>
            </w:r>
          </w:p>
        </w:tc>
      </w:tr>
      <w:tr>
        <w:trPr>
          <w:trHeight w:val="225"/>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92,673</w:t>
            </w:r>
          </w:p>
        </w:tc>
      </w:tr>
      <w:tr>
        <w:trPr>
          <w:trHeight w:val="219"/>
        </w:trPr>
        <w:tc>
          <w:tcPr>
            <w:tcW w:w="628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880,815</w:t>
            </w:r>
          </w:p>
        </w:tc>
      </w:tr>
      <w:tr>
        <w:trPr>
          <w:trHeight w:val="22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142,943</w:t>
            </w:r>
          </w:p>
        </w:tc>
      </w:tr>
      <w:tr>
        <w:trPr>
          <w:trHeight w:val="219"/>
        </w:trPr>
        <w:tc>
          <w:tcPr>
            <w:tcW w:w="628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1,023,758</w:t>
            </w:r>
          </w:p>
        </w:tc>
      </w:tr>
      <w:tr>
        <w:trPr>
          <w:trHeight w:val="225"/>
        </w:trPr>
        <w:tc>
          <w:tcPr>
            <w:tcW w:w="628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(13,262)</w:t>
            </w:r>
          </w:p>
        </w:tc>
      </w:tr>
      <w:tr>
        <w:trPr>
          <w:trHeight w:val="243"/>
        </w:trPr>
        <w:tc>
          <w:tcPr>
            <w:tcW w:w="6280" w:type="dxa"/>
            <w:vAlign w:val="bottom"/>
            <w:tcBorders>
              <w:top w:val="single" w:sz="8" w:color="CCEEFF"/>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1,010,496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2022 and December 31, 2021, we did not have any investments that were categorized within Level 3 of the fair value hierarchy.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NOTE 7.  PROPERTY AND EQUIPMENT</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0"/>
        </w:trPr>
        <w:tc>
          <w:tcPr>
            <w:tcW w:w="7860" w:type="dxa"/>
            <w:vAlign w:val="bottom"/>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5"/>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160" w:type="dxa"/>
            <w:vAlign w:val="bottom"/>
            <w:tcBorders>
              <w:bottom w:val="single" w:sz="8" w:color="auto"/>
            </w:tcBorders>
          </w:tcPr>
          <w:p>
            <w:pPr>
              <w:spacing w:after="0"/>
              <w:rPr>
                <w:sz w:val="24"/>
                <w:szCs w:val="24"/>
                <w:color w:val="auto"/>
              </w:rPr>
            </w:pPr>
          </w:p>
        </w:tc>
      </w:tr>
      <w:tr>
        <w:trPr>
          <w:trHeight w:val="219"/>
        </w:trPr>
        <w:tc>
          <w:tcPr>
            <w:tcW w:w="7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2022</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r>
      <w:tr>
        <w:trPr>
          <w:trHeight w:val="205"/>
        </w:trPr>
        <w:tc>
          <w:tcPr>
            <w:tcW w:w="78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Property and equipment, net:</w:t>
            </w: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Satellites,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1,612,464</w:t>
            </w:r>
          </w:p>
        </w:tc>
        <w:tc>
          <w:tcPr>
            <w:tcW w:w="1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1,610,623</w:t>
            </w:r>
          </w:p>
        </w:tc>
      </w:tr>
      <w:tr>
        <w:trPr>
          <w:trHeight w:val="225"/>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property and equipment, net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700,062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727,662</w:t>
            </w:r>
          </w:p>
        </w:tc>
      </w:tr>
      <w:tr>
        <w:trPr>
          <w:trHeight w:val="219"/>
        </w:trPr>
        <w:tc>
          <w:tcPr>
            <w:tcW w:w="7860" w:type="dxa"/>
            <w:vAlign w:val="bottom"/>
          </w:tcPr>
          <w:p>
            <w:pPr>
              <w:ind w:left="46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2,312,526</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2,338,285</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June 30, 2022, our satellite fleet consisted of ten geosynchronous (“GEO”) satellites, seven of which are owned and three of which are leased. They are all in geosynchronous orbit, approximately 22,300 miles above the equator. Our owned S-band low-earth orbit (“LEO”) nano-satellites are not included in the table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GEO satellite fleet as of June 30, 2022: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Nominal Degree</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Depreciable Life</w:t>
            </w:r>
          </w:p>
        </w:tc>
        <w:tc>
          <w:tcPr>
            <w:tcW w:w="0" w:type="dxa"/>
            <w:vAlign w:val="bottom"/>
          </w:tcPr>
          <w:p>
            <w:pPr>
              <w:spacing w:after="0"/>
              <w:rPr>
                <w:sz w:val="1"/>
                <w:szCs w:val="1"/>
                <w:color w:val="auto"/>
              </w:rPr>
            </w:pPr>
          </w:p>
        </w:tc>
      </w:tr>
      <w:tr>
        <w:trPr>
          <w:trHeight w:val="172"/>
        </w:trPr>
        <w:tc>
          <w:tcPr>
            <w:tcW w:w="3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GEO Satellite</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7"/>
              </w:rPr>
              <w:t>Segment</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8"/>
              </w:rPr>
              <w:t>Launch Date</w:t>
            </w:r>
          </w:p>
        </w:tc>
        <w:tc>
          <w:tcPr>
            <w:tcW w:w="1920" w:type="dxa"/>
            <w:vAlign w:val="bottom"/>
            <w:gridSpan w:val="2"/>
          </w:tcPr>
          <w:p>
            <w:pPr>
              <w:jc w:val="center"/>
              <w:ind w:right="120"/>
              <w:spacing w:after="0" w:line="172" w:lineRule="exact"/>
              <w:rPr>
                <w:sz w:val="20"/>
                <w:szCs w:val="20"/>
                <w:color w:val="auto"/>
              </w:rPr>
            </w:pPr>
            <w:r>
              <w:rPr>
                <w:rFonts w:ascii="Arial" w:cs="Arial" w:eastAsia="Arial" w:hAnsi="Arial"/>
                <w:sz w:val="18"/>
                <w:szCs w:val="18"/>
                <w:b w:val="1"/>
                <w:bCs w:val="1"/>
                <w:color w:val="auto"/>
                <w:w w:val="98"/>
              </w:rPr>
              <w:t>Orbital Location</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740" w:type="dxa"/>
            <w:vAlign w:val="bottom"/>
            <w:gridSpan w:val="2"/>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(Longitude)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5"/>
              </w:rPr>
              <w:t>(In Years)</w:t>
            </w:r>
          </w:p>
        </w:tc>
        <w:tc>
          <w:tcPr>
            <w:tcW w:w="0" w:type="dxa"/>
            <w:vAlign w:val="bottom"/>
          </w:tcPr>
          <w:p>
            <w:pPr>
              <w:spacing w:after="0"/>
              <w:rPr>
                <w:sz w:val="1"/>
                <w:szCs w:val="1"/>
                <w:color w:val="auto"/>
              </w:rPr>
            </w:pPr>
          </w:p>
        </w:tc>
      </w:tr>
      <w:tr>
        <w:trPr>
          <w:trHeight w:val="218"/>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2"/>
                <w:szCs w:val="22"/>
                <w:color w:val="auto"/>
                <w:vertAlign w:val="superscript"/>
              </w:rPr>
              <w:t>(1)</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2007</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95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5"/>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XVII</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July 2012</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107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XIX</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December 2016</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97.1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6"/>
        </w:trPr>
        <w:tc>
          <w:tcPr>
            <w:tcW w:w="3740" w:type="dxa"/>
            <w:vAlign w:val="bottom"/>
            <w:gridSpan w:val="2"/>
            <w:shd w:val="clear" w:color="auto" w:fill="CCEEFF"/>
          </w:tcPr>
          <w:p>
            <w:pPr>
              <w:ind w:left="240"/>
              <w:spacing w:after="0" w:line="226" w:lineRule="exact"/>
              <w:rPr>
                <w:sz w:val="20"/>
                <w:szCs w:val="20"/>
                <w:color w:val="auto"/>
              </w:rPr>
            </w:pPr>
            <w:r>
              <w:rPr>
                <w:rFonts w:ascii="Arial" w:cs="Arial" w:eastAsia="Arial" w:hAnsi="Arial"/>
                <w:sz w:val="18"/>
                <w:szCs w:val="18"/>
                <w:color w:val="auto"/>
              </w:rPr>
              <w:t xml:space="preserve">Al Yah 3 </w:t>
            </w:r>
            <w:r>
              <w:rPr>
                <w:rFonts w:ascii="Arial" w:cs="Arial" w:eastAsia="Arial" w:hAnsi="Arial"/>
                <w:sz w:val="22"/>
                <w:szCs w:val="22"/>
                <w:color w:val="auto"/>
                <w:vertAlign w:val="superscript"/>
              </w:rPr>
              <w:t>(2)</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January 2018</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20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2"/>
                <w:szCs w:val="22"/>
                <w:color w:val="auto"/>
                <w:vertAlign w:val="superscript"/>
              </w:rPr>
              <w:t>(3) (4)</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ESS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2003</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121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25"/>
        </w:trPr>
        <w:tc>
          <w:tcPr>
            <w:tcW w:w="3740" w:type="dxa"/>
            <w:vAlign w:val="bottom"/>
            <w:gridSpan w:val="2"/>
            <w:shd w:val="clear" w:color="auto" w:fill="CCEEFF"/>
          </w:tcPr>
          <w:p>
            <w:pPr>
              <w:ind w:left="240"/>
              <w:spacing w:after="0" w:line="225" w:lineRule="exact"/>
              <w:rPr>
                <w:sz w:val="20"/>
                <w:szCs w:val="20"/>
                <w:color w:val="auto"/>
              </w:rPr>
            </w:pPr>
            <w:r>
              <w:rPr>
                <w:rFonts w:ascii="Arial" w:cs="Arial" w:eastAsia="Arial" w:hAnsi="Arial"/>
                <w:sz w:val="18"/>
                <w:szCs w:val="18"/>
                <w:color w:val="auto"/>
              </w:rPr>
              <w:t xml:space="preserve">EUTELSAT 10A (“W2A”) </w:t>
            </w:r>
            <w:r>
              <w:rPr>
                <w:rFonts w:ascii="Arial" w:cs="Arial" w:eastAsia="Arial" w:hAnsi="Arial"/>
                <w:sz w:val="22"/>
                <w:szCs w:val="22"/>
                <w:color w:val="auto"/>
                <w:vertAlign w:val="superscript"/>
              </w:rPr>
              <w:t>(5)</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Corporate and Other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April 2009</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 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XXI</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Corporate and Other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June 2017</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10.25 E</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Eutelsat 65 West A</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March 2016</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65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Telesat T19V</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2018</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63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6"/>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105/SES-11</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ESS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October 2017</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20" w:hanging="314"/>
        <w:spacing w:after="0" w:line="237" w:lineRule="auto"/>
        <w:tabs>
          <w:tab w:leader="none" w:pos="478" w:val="left"/>
        </w:tabs>
        <w:numPr>
          <w:ilvl w:val="0"/>
          <w:numId w:val="5"/>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the acquisition of Hughes Communications, Inc. (“Hughes Communications”) and its subsidiaries (the “Hughes Acquisition”).</w:t>
      </w:r>
    </w:p>
    <w:p>
      <w:pPr>
        <w:ind w:left="320" w:hanging="314"/>
        <w:spacing w:after="0" w:line="237" w:lineRule="auto"/>
        <w:tabs>
          <w:tab w:leader="none" w:pos="227" w:val="left"/>
        </w:tabs>
        <w:numPr>
          <w:ilvl w:val="0"/>
          <w:numId w:val="5"/>
        </w:numPr>
        <w:rPr>
          <w:rFonts w:ascii="Arial" w:cs="Arial" w:eastAsia="Arial" w:hAnsi="Arial"/>
          <w:sz w:val="14"/>
          <w:szCs w:val="14"/>
          <w:color w:val="auto"/>
        </w:rPr>
      </w:pPr>
      <w:r>
        <w:rPr>
          <w:rFonts w:ascii="Arial" w:cs="Arial" w:eastAsia="Arial" w:hAnsi="Arial"/>
          <w:sz w:val="14"/>
          <w:szCs w:val="14"/>
          <w:color w:val="auto"/>
        </w:rPr>
        <w:t>Upon consummation of our joint venture with Al Yah Satellite Communications Company PrJSC (“Yahsat”) in Brazil in November 2019, we acquired the Brazilian Ka-band payload on this satellite. Depreciable life represents the remaining useful life as of November 2019.</w:t>
      </w:r>
    </w:p>
    <w:p>
      <w:pPr>
        <w:ind w:left="340" w:hanging="334"/>
        <w:spacing w:after="0" w:line="237"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own the Ka-band and Ku-band payloads on this satellite.</w:t>
      </w:r>
    </w:p>
    <w:p>
      <w:pPr>
        <w:ind w:left="320" w:hanging="314"/>
        <w:spacing w:after="0" w:line="237" w:lineRule="auto"/>
        <w:tabs>
          <w:tab w:leader="none" w:pos="348" w:val="left"/>
        </w:tabs>
        <w:numPr>
          <w:ilvl w:val="0"/>
          <w:numId w:val="5"/>
        </w:numPr>
        <w:rPr>
          <w:rFonts w:ascii="Arial" w:cs="Arial" w:eastAsia="Arial" w:hAnsi="Arial"/>
          <w:sz w:val="14"/>
          <w:szCs w:val="14"/>
          <w:color w:val="auto"/>
        </w:rPr>
      </w:pPr>
      <w:r>
        <w:rPr>
          <w:rFonts w:ascii="Arial" w:cs="Arial" w:eastAsia="Arial" w:hAnsi="Arial"/>
          <w:sz w:val="14"/>
          <w:szCs w:val="14"/>
          <w:color w:val="auto"/>
        </w:rPr>
        <w:t>EchoStar IX is approaching its end of station-kept life. The Company expects to place the satellite in an inclined-orbit in the fourth quarter of 2022 or first quarter of 2023, but this ability is dependent upon events beyond our control and may not occur on schedule if at all. Inclined-orbit will extend its life but impact revenue generating capabilities.</w:t>
      </w:r>
    </w:p>
    <w:p>
      <w:pPr>
        <w:ind w:left="320" w:hanging="314"/>
        <w:spacing w:after="0" w:line="250"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acquired the S-band payload on this satellite in December 2013. Prior to acquisition, the S-band payload experienced an anomaly at the time of launch and, as a result, is not fully operational.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80" w:type="dxa"/>
            <w:vAlign w:val="bottom"/>
          </w:tcPr>
          <w:p>
            <w:pPr>
              <w:spacing w:after="0"/>
              <w:rPr>
                <w:sz w:val="20"/>
                <w:szCs w:val="20"/>
                <w:color w:val="auto"/>
              </w:rPr>
            </w:pPr>
            <w:r>
              <w:rPr>
                <w:rFonts w:ascii="Arial" w:cs="Arial" w:eastAsia="Arial" w:hAnsi="Arial"/>
                <w:sz w:val="18"/>
                <w:szCs w:val="18"/>
                <w:color w:val="auto"/>
              </w:rPr>
              <w:t>The following table presents the components of our satellites,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180" w:type="dxa"/>
            <w:vAlign w:val="bottom"/>
          </w:tcPr>
          <w:p>
            <w:pPr>
              <w:spacing w:after="0"/>
              <w:rPr>
                <w:sz w:val="15"/>
                <w:szCs w:val="15"/>
                <w:color w:val="auto"/>
              </w:rPr>
            </w:pPr>
          </w:p>
        </w:tc>
        <w:tc>
          <w:tcPr>
            <w:tcW w:w="1680" w:type="dxa"/>
            <w:vAlign w:val="bottom"/>
            <w:gridSpan w:val="2"/>
          </w:tcPr>
          <w:p>
            <w:pPr>
              <w:jc w:val="center"/>
              <w:ind w:right="100"/>
              <w:spacing w:after="0" w:line="180" w:lineRule="exact"/>
              <w:rPr>
                <w:sz w:val="20"/>
                <w:szCs w:val="20"/>
                <w:color w:val="auto"/>
              </w:rPr>
            </w:pPr>
            <w:r>
              <w:rPr>
                <w:rFonts w:ascii="Arial" w:cs="Arial" w:eastAsia="Arial" w:hAnsi="Arial"/>
                <w:sz w:val="18"/>
                <w:szCs w:val="18"/>
                <w:b w:val="1"/>
                <w:bCs w:val="1"/>
                <w:color w:val="auto"/>
                <w:w w:val="99"/>
              </w:rPr>
              <w:t>Depreciable Life</w:t>
            </w:r>
          </w:p>
        </w:tc>
        <w:tc>
          <w:tcPr>
            <w:tcW w:w="180" w:type="dxa"/>
            <w:vAlign w:val="bottom"/>
          </w:tcPr>
          <w:p>
            <w:pPr>
              <w:spacing w:after="0"/>
              <w:rPr>
                <w:sz w:val="15"/>
                <w:szCs w:val="15"/>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June 30, 2022</w:t>
            </w:r>
          </w:p>
        </w:tc>
        <w:tc>
          <w:tcPr>
            <w:tcW w:w="1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25"/>
        </w:trPr>
        <w:tc>
          <w:tcPr>
            <w:tcW w:w="6180" w:type="dxa"/>
            <w:vAlign w:val="bottom"/>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 Years)</w:t>
            </w: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1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Satellites, net:</w:t>
            </w: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18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7 to 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1,808,826</w:t>
            </w:r>
          </w:p>
        </w:tc>
        <w:tc>
          <w:tcPr>
            <w:tcW w:w="1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1,806,664</w:t>
            </w:r>
          </w:p>
        </w:tc>
        <w:tc>
          <w:tcPr>
            <w:tcW w:w="0" w:type="dxa"/>
            <w:vAlign w:val="bottom"/>
          </w:tcPr>
          <w:p>
            <w:pPr>
              <w:spacing w:after="0"/>
              <w:rPr>
                <w:sz w:val="1"/>
                <w:szCs w:val="1"/>
                <w:color w:val="auto"/>
              </w:rPr>
            </w:pPr>
          </w:p>
        </w:tc>
      </w:tr>
      <w:tr>
        <w:trPr>
          <w:trHeight w:val="226"/>
        </w:trPr>
        <w:tc>
          <w:tcPr>
            <w:tcW w:w="6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354,170</w:t>
            </w:r>
          </w:p>
        </w:tc>
        <w:tc>
          <w:tcPr>
            <w:tcW w:w="0" w:type="dxa"/>
            <w:vAlign w:val="bottom"/>
          </w:tcPr>
          <w:p>
            <w:pPr>
              <w:spacing w:after="0"/>
              <w:rPr>
                <w:sz w:val="1"/>
                <w:szCs w:val="1"/>
                <w:color w:val="auto"/>
              </w:rPr>
            </w:pPr>
          </w:p>
        </w:tc>
      </w:tr>
      <w:tr>
        <w:trPr>
          <w:trHeight w:val="225"/>
        </w:trPr>
        <w:tc>
          <w:tcPr>
            <w:tcW w:w="6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Construction in progress</w:t>
            </w:r>
          </w:p>
        </w:tc>
        <w:tc>
          <w:tcPr>
            <w:tcW w:w="16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598,115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541,422</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satellites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2,767,198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2,702,256</w:t>
            </w:r>
          </w:p>
        </w:tc>
        <w:tc>
          <w:tcPr>
            <w:tcW w:w="0" w:type="dxa"/>
            <w:vAlign w:val="bottom"/>
          </w:tcPr>
          <w:p>
            <w:pPr>
              <w:spacing w:after="0"/>
              <w:rPr>
                <w:sz w:val="1"/>
                <w:szCs w:val="1"/>
                <w:color w:val="auto"/>
              </w:rPr>
            </w:pPr>
          </w:p>
        </w:tc>
      </w:tr>
      <w:tr>
        <w:trPr>
          <w:trHeight w:val="225"/>
        </w:trPr>
        <w:tc>
          <w:tcPr>
            <w:tcW w:w="6180" w:type="dxa"/>
            <w:vAlign w:val="bottom"/>
          </w:tcPr>
          <w:p>
            <w:pPr>
              <w:ind w:left="240"/>
              <w:spacing w:after="0"/>
              <w:rPr>
                <w:sz w:val="20"/>
                <w:szCs w:val="20"/>
                <w:color w:val="auto"/>
              </w:rPr>
            </w:pPr>
            <w:r>
              <w:rPr>
                <w:rFonts w:ascii="Arial" w:cs="Arial" w:eastAsia="Arial" w:hAnsi="Arial"/>
                <w:sz w:val="18"/>
                <w:szCs w:val="18"/>
                <w:b w:val="1"/>
                <w:bCs w:val="1"/>
                <w:color w:val="auto"/>
              </w:rPr>
              <w:t>Accumulated depreciation:</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Satellites - owned</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(995,962)</w:t>
            </w:r>
          </w:p>
        </w:tc>
        <w:tc>
          <w:tcPr>
            <w:tcW w:w="0" w:type="dxa"/>
            <w:vAlign w:val="bottom"/>
          </w:tcPr>
          <w:p>
            <w:pPr>
              <w:spacing w:after="0"/>
              <w:rPr>
                <w:sz w:val="1"/>
                <w:szCs w:val="1"/>
                <w:color w:val="auto"/>
              </w:rPr>
            </w:pPr>
          </w:p>
        </w:tc>
      </w:tr>
      <w:tr>
        <w:trPr>
          <w:trHeight w:val="225"/>
        </w:trPr>
        <w:tc>
          <w:tcPr>
            <w:tcW w:w="61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(109,728)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(95,671)</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560"/>
              <w:spacing w:after="0" w:line="205" w:lineRule="exact"/>
              <w:rPr>
                <w:sz w:val="20"/>
                <w:szCs w:val="20"/>
                <w:color w:val="auto"/>
              </w:rPr>
            </w:pPr>
            <w:r>
              <w:rPr>
                <w:rFonts w:ascii="Arial" w:cs="Arial" w:eastAsia="Arial" w:hAnsi="Arial"/>
                <w:sz w:val="18"/>
                <w:szCs w:val="18"/>
                <w:color w:val="auto"/>
              </w:rPr>
              <w:t>Total accumulated depreciation</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(1,154,734)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(1,091,633)</w:t>
            </w:r>
          </w:p>
        </w:tc>
        <w:tc>
          <w:tcPr>
            <w:tcW w:w="0" w:type="dxa"/>
            <w:vAlign w:val="bottom"/>
          </w:tcPr>
          <w:p>
            <w:pPr>
              <w:spacing w:after="0"/>
              <w:rPr>
                <w:sz w:val="1"/>
                <w:szCs w:val="1"/>
                <w:color w:val="auto"/>
              </w:rPr>
            </w:pPr>
          </w:p>
        </w:tc>
      </w:tr>
      <w:tr>
        <w:trPr>
          <w:trHeight w:val="218"/>
        </w:trPr>
        <w:tc>
          <w:tcPr>
            <w:tcW w:w="6180" w:type="dxa"/>
            <w:vAlign w:val="bottom"/>
          </w:tcPr>
          <w:p>
            <w:pPr>
              <w:ind w:left="780"/>
              <w:spacing w:after="0" w:line="204" w:lineRule="exact"/>
              <w:rPr>
                <w:sz w:val="20"/>
                <w:szCs w:val="20"/>
                <w:color w:val="auto"/>
              </w:rPr>
            </w:pPr>
            <w:r>
              <w:rPr>
                <w:rFonts w:ascii="Arial" w:cs="Arial" w:eastAsia="Arial" w:hAnsi="Arial"/>
                <w:sz w:val="18"/>
                <w:szCs w:val="18"/>
                <w:color w:val="auto"/>
              </w:rPr>
              <w:t>Total satellites,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1,612,464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1,610,623</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expense associated with our satellites, net: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w:t>
            </w:r>
          </w:p>
        </w:tc>
        <w:tc>
          <w:tcPr>
            <w:tcW w:w="180" w:type="dxa"/>
            <w:vAlign w:val="bottom"/>
          </w:tcPr>
          <w:p>
            <w:pPr>
              <w:spacing w:after="0"/>
              <w:rPr>
                <w:sz w:val="17"/>
                <w:szCs w:val="17"/>
                <w:color w:val="auto"/>
              </w:rPr>
            </w:pPr>
          </w:p>
        </w:tc>
        <w:tc>
          <w:tcPr>
            <w:tcW w:w="2420" w:type="dxa"/>
            <w:vAlign w:val="bottom"/>
            <w:gridSpan w:val="4"/>
          </w:tcPr>
          <w:p>
            <w:pPr>
              <w:jc w:val="right"/>
              <w:ind w:right="132"/>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25"/>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18"/>
        </w:trPr>
        <w:tc>
          <w:tcPr>
            <w:tcW w:w="5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05"/>
        </w:trPr>
        <w:tc>
          <w:tcPr>
            <w:tcW w:w="59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Depreciation expense:</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5"/>
        </w:trPr>
        <w:tc>
          <w:tcPr>
            <w:tcW w:w="596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24,282</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22,581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48,478</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54,742</w:t>
            </w:r>
          </w:p>
        </w:tc>
      </w:tr>
      <w:tr>
        <w:trPr>
          <w:trHeight w:val="225"/>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14,597</w:t>
            </w:r>
          </w:p>
        </w:tc>
      </w:tr>
      <w:tr>
        <w:trPr>
          <w:trHeight w:val="219"/>
        </w:trPr>
        <w:tc>
          <w:tcPr>
            <w:tcW w:w="5960" w:type="dxa"/>
            <w:vAlign w:val="bottom"/>
          </w:tcPr>
          <w:p>
            <w:pPr>
              <w:ind w:left="440"/>
              <w:spacing w:after="0"/>
              <w:rPr>
                <w:sz w:val="20"/>
                <w:szCs w:val="20"/>
                <w:color w:val="auto"/>
              </w:rPr>
            </w:pPr>
            <w:r>
              <w:rPr>
                <w:rFonts w:ascii="Arial" w:cs="Arial" w:eastAsia="Arial" w:hAnsi="Arial"/>
                <w:sz w:val="18"/>
                <w:szCs w:val="18"/>
                <w:color w:val="auto"/>
              </w:rPr>
              <w:t>Total depreciation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69,339</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capitalized interest associated with our satellites and satellite-related ground infrastructure: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8"/>
              </w:rPr>
              <w:t>For the three months ended</w:t>
            </w:r>
          </w:p>
        </w:tc>
        <w:tc>
          <w:tcPr>
            <w:tcW w:w="180" w:type="dxa"/>
            <w:vAlign w:val="bottom"/>
          </w:tcPr>
          <w:p>
            <w:pPr>
              <w:spacing w:after="0"/>
              <w:rPr>
                <w:sz w:val="17"/>
                <w:szCs w:val="17"/>
                <w:color w:val="auto"/>
              </w:rPr>
            </w:pPr>
          </w:p>
        </w:tc>
        <w:tc>
          <w:tcPr>
            <w:tcW w:w="2420" w:type="dxa"/>
            <w:vAlign w:val="bottom"/>
            <w:gridSpan w:val="4"/>
          </w:tcPr>
          <w:p>
            <w:pPr>
              <w:jc w:val="center"/>
              <w:ind w:right="92"/>
              <w:spacing w:after="0"/>
              <w:rPr>
                <w:sz w:val="20"/>
                <w:szCs w:val="20"/>
                <w:color w:val="auto"/>
              </w:rPr>
            </w:pPr>
            <w:r>
              <w:rPr>
                <w:rFonts w:ascii="Arial" w:cs="Arial" w:eastAsia="Arial" w:hAnsi="Arial"/>
                <w:sz w:val="18"/>
                <w:szCs w:val="18"/>
                <w:b w:val="1"/>
                <w:bCs w:val="1"/>
                <w:color w:val="auto"/>
                <w:w w:val="98"/>
              </w:rPr>
              <w:t>For the six months ended</w:t>
            </w:r>
          </w:p>
        </w:tc>
      </w:tr>
      <w:tr>
        <w:trPr>
          <w:trHeight w:val="225"/>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672"/>
              <w:spacing w:after="0"/>
              <w:rPr>
                <w:sz w:val="20"/>
                <w:szCs w:val="20"/>
                <w:color w:val="auto"/>
              </w:rPr>
            </w:pPr>
            <w:r>
              <w:rPr>
                <w:rFonts w:ascii="Arial" w:cs="Arial" w:eastAsia="Arial" w:hAnsi="Arial"/>
                <w:sz w:val="18"/>
                <w:szCs w:val="18"/>
                <w:b w:val="1"/>
                <w:bCs w:val="1"/>
                <w:color w:val="auto"/>
                <w:w w:val="97"/>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32"/>
              <w:spacing w:after="0"/>
              <w:rPr>
                <w:sz w:val="20"/>
                <w:szCs w:val="20"/>
                <w:color w:val="auto"/>
              </w:rPr>
            </w:pPr>
            <w:r>
              <w:rPr>
                <w:rFonts w:ascii="Arial" w:cs="Arial" w:eastAsia="Arial" w:hAnsi="Arial"/>
                <w:sz w:val="18"/>
                <w:szCs w:val="18"/>
                <w:b w:val="1"/>
                <w:bCs w:val="1"/>
                <w:color w:val="auto"/>
                <w:w w:val="97"/>
              </w:rPr>
              <w:t>June 30,</w:t>
            </w:r>
          </w:p>
        </w:tc>
        <w:tc>
          <w:tcPr>
            <w:tcW w:w="880" w:type="dxa"/>
            <w:vAlign w:val="bottom"/>
            <w:tcBorders>
              <w:bottom w:val="single" w:sz="8" w:color="auto"/>
            </w:tcBorders>
          </w:tcPr>
          <w:p>
            <w:pPr>
              <w:spacing w:after="0"/>
              <w:rPr>
                <w:sz w:val="19"/>
                <w:szCs w:val="19"/>
                <w:color w:val="auto"/>
              </w:rPr>
            </w:pPr>
          </w:p>
        </w:tc>
      </w:tr>
      <w:tr>
        <w:trPr>
          <w:trHeight w:val="219"/>
        </w:trPr>
        <w:tc>
          <w:tcPr>
            <w:tcW w:w="5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4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in Progress</w:t>
      </w:r>
    </w:p>
    <w:p>
      <w:pPr>
        <w:spacing w:after="0" w:line="2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August 2017, we entered into a contract for the design and construction of the EchoStar XXIV satellite, a new, next-generation, high throughput geostationary satellite. The EchoStar XXIV satellite is primarily intended to provide additional capacity for our HughesNet satellite internet service (the “HughesNet service”) in North, Central and South America as well as enterprise broadband services. Capital expenditures associated with the construction and launch of the EchoStar XXIV satellite are included in Corporate and Other segment in our segment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Satellite-Related Commitments</w:t>
      </w:r>
    </w:p>
    <w:p>
      <w:pPr>
        <w:spacing w:after="0" w:line="2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June 30, 2022 and December 31, 2021 our satellite-related commitments were $276.2 million and $342.2 million, respectively. These include payments pursuant to: i) agreements for the construction of the EchoStar XXIV satellite, ii) the EchoStar XXIV launch contract, iii) regulatory authorizations and non-lease costs associated with our finance lease satellites, in-orbit incentives relating to certain satellites and commitments for satellite service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three and six months ended June 30,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In-Orbit Incentives</w:t>
      </w:r>
    </w:p>
    <w:p>
      <w:pPr>
        <w:spacing w:after="0" w:line="26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June 30, 2022 and December 31, 2021, the fair values of our in-orbit incentive obligations approximated their carrying amounts of $51.3 million and $53.2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REGULATORY AUTHORIZATIONS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gridSpan w:val="4"/>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Regulatory authorizations, net: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3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7"/>
              </w:rPr>
              <w:t>Finite lived</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Cost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2"/>
              <w:spacing w:after="0" w:line="166" w:lineRule="exact"/>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jc w:val="right"/>
              <w:ind w:right="392"/>
              <w:spacing w:after="0"/>
              <w:rPr>
                <w:sz w:val="20"/>
                <w:szCs w:val="20"/>
                <w:color w:val="auto"/>
              </w:rPr>
            </w:pPr>
            <w:r>
              <w:rPr>
                <w:rFonts w:ascii="Arial" w:cs="Arial" w:eastAsia="Arial" w:hAnsi="Arial"/>
                <w:sz w:val="18"/>
                <w:szCs w:val="18"/>
                <w:b w:val="1"/>
                <w:bCs w:val="1"/>
                <w:color w:val="auto"/>
              </w:rPr>
              <w:t>Total</w:t>
            </w:r>
          </w:p>
        </w:tc>
        <w:tc>
          <w:tcPr>
            <w:tcW w:w="120" w:type="dxa"/>
            <w:vAlign w:val="bottom"/>
            <w:vMerge w:val="restart"/>
          </w:tcPr>
          <w:p>
            <w:pPr>
              <w:spacing w:after="0"/>
              <w:rPr>
                <w:sz w:val="14"/>
                <w:szCs w:val="14"/>
                <w:color w:val="auto"/>
              </w:rPr>
            </w:pPr>
          </w:p>
        </w:tc>
        <w:tc>
          <w:tcPr>
            <w:tcW w:w="13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Indefinite lived</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8"/>
              </w:rPr>
              <w:t>Amortization</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gridSpan w:val="4"/>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98"/>
              </w:rPr>
              <w:t>34,742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444,020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478,762</w:t>
            </w:r>
          </w:p>
        </w:tc>
        <w:tc>
          <w:tcPr>
            <w:tcW w:w="0" w:type="dxa"/>
            <w:vAlign w:val="bottom"/>
          </w:tcPr>
          <w:p>
            <w:pPr>
              <w:spacing w:after="0"/>
              <w:rPr>
                <w:sz w:val="1"/>
                <w:szCs w:val="1"/>
                <w:color w:val="auto"/>
              </w:rPr>
            </w:pPr>
          </w:p>
        </w:tc>
      </w:tr>
      <w:tr>
        <w:trPr>
          <w:trHeight w:val="225"/>
        </w:trPr>
        <w:tc>
          <w:tcPr>
            <w:tcW w:w="382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 June 30, 2021</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59,768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(28,122)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332"/>
              <w:spacing w:after="0"/>
              <w:rPr>
                <w:sz w:val="20"/>
                <w:szCs w:val="20"/>
                <w:color w:val="auto"/>
              </w:rPr>
            </w:pPr>
            <w:r>
              <w:rPr>
                <w:rFonts w:ascii="Arial" w:cs="Arial" w:eastAsia="Arial" w:hAnsi="Arial"/>
                <w:sz w:val="18"/>
                <w:szCs w:val="18"/>
                <w:color w:val="auto"/>
                <w:w w:val="98"/>
              </w:rPr>
              <w:t>31,646</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443,124</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474,770</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57,137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(29,088)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332"/>
              <w:spacing w:after="0"/>
              <w:rPr>
                <w:sz w:val="20"/>
                <w:szCs w:val="20"/>
                <w:color w:val="auto"/>
              </w:rPr>
            </w:pPr>
            <w:r>
              <w:rPr>
                <w:rFonts w:ascii="Arial" w:cs="Arial" w:eastAsia="Arial" w:hAnsi="Arial"/>
                <w:sz w:val="18"/>
                <w:szCs w:val="18"/>
                <w:color w:val="auto"/>
                <w:w w:val="98"/>
              </w:rPr>
              <w:t>28,049</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441,717</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469,766</w:t>
            </w: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3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2022</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98"/>
              </w:rPr>
              <w:t>24,932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439,591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464,523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useful life (in years)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9"/>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OTHER INVESTMENTS</w:t>
            </w: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300" w:type="dxa"/>
            <w:vAlign w:val="bottom"/>
            <w:gridSpan w:val="4"/>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Other investments, net</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rPr>
              <w:t>As of</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05"/>
        </w:trPr>
        <w:tc>
          <w:tcPr>
            <w:tcW w:w="38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Other investments, net: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240"/>
              <w:spacing w:after="0"/>
              <w:rPr>
                <w:sz w:val="20"/>
                <w:szCs w:val="20"/>
                <w:color w:val="auto"/>
              </w:rPr>
            </w:pPr>
            <w:r>
              <w:rPr>
                <w:rFonts w:ascii="Arial" w:cs="Arial" w:eastAsia="Arial" w:hAnsi="Arial"/>
                <w:sz w:val="18"/>
                <w:szCs w:val="18"/>
                <w:color w:val="auto"/>
              </w:rPr>
              <w:t>Equity method investments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86,210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91,226</w:t>
            </w:r>
          </w:p>
        </w:tc>
        <w:tc>
          <w:tcPr>
            <w:tcW w:w="0" w:type="dxa"/>
            <w:vAlign w:val="bottom"/>
          </w:tcPr>
          <w:p>
            <w:pPr>
              <w:spacing w:after="0"/>
              <w:rPr>
                <w:sz w:val="1"/>
                <w:szCs w:val="1"/>
                <w:color w:val="auto"/>
              </w:rPr>
            </w:pPr>
          </w:p>
        </w:tc>
      </w:tr>
      <w:tr>
        <w:trPr>
          <w:trHeight w:val="226"/>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equity investments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91,636</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investments, net</w:t>
            </w: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114,885</w:t>
            </w:r>
          </w:p>
        </w:tc>
        <w:tc>
          <w:tcPr>
            <w:tcW w:w="0" w:type="dxa"/>
            <w:vAlign w:val="bottom"/>
          </w:tcPr>
          <w:p>
            <w:pPr>
              <w:spacing w:after="0"/>
              <w:rPr>
                <w:sz w:val="1"/>
                <w:szCs w:val="1"/>
                <w:color w:val="auto"/>
              </w:rPr>
            </w:pPr>
          </w:p>
        </w:tc>
      </w:tr>
      <w:tr>
        <w:trPr>
          <w:trHeight w:val="239"/>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investments, net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297,747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Dish Mexico</w:t>
      </w:r>
    </w:p>
    <w:p>
      <w:pPr>
        <w:spacing w:after="0" w:line="2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own 49% of DISH Mexico, S. de R.L. de C.V. and its subsidiaries (“Dish Mexico”), a joint venture with an unrelated Mexican entity that we entered into in 2008 to provide direct-to-home satellite services in Mexico. During the fourth quarter of 2021, we concluded that our investment in Dish Mexico was not recoverable.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Deluxe/EchoStar LLC</w:t>
      </w:r>
    </w:p>
    <w:p>
      <w:pPr>
        <w:spacing w:after="0" w:line="262"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Information for Our Equity Method Investments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recognized: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gridSpan w:val="10"/>
          </w:tcPr>
          <w:p>
            <w:pPr>
              <w:jc w:val="center"/>
              <w:ind w:right="20"/>
              <w:spacing w:after="0"/>
              <w:rPr>
                <w:sz w:val="20"/>
                <w:szCs w:val="20"/>
                <w:color w:val="auto"/>
              </w:rPr>
            </w:pPr>
            <w:r>
              <w:rPr>
                <w:rFonts w:ascii="Arial" w:cs="Arial" w:eastAsia="Arial" w:hAnsi="Arial"/>
                <w:sz w:val="18"/>
                <w:szCs w:val="18"/>
                <w:b w:val="1"/>
                <w:bCs w:val="1"/>
                <w:color w:val="auto"/>
                <w:w w:val="98"/>
              </w:rPr>
              <w:t>For the three months ended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9"/>
          </w:tcPr>
          <w:p>
            <w:pPr>
              <w:ind w:left="6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5"/>
        </w:trPr>
        <w:tc>
          <w:tcPr>
            <w:tcW w:w="4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9"/>
          </w:tcPr>
          <w:p>
            <w:pPr>
              <w:jc w:val="center"/>
              <w:ind w:right="120"/>
              <w:spacing w:after="0"/>
              <w:rPr>
                <w:sz w:val="20"/>
                <w:szCs w:val="20"/>
                <w:color w:val="auto"/>
              </w:rPr>
            </w:pPr>
            <w:r>
              <w:rPr>
                <w:rFonts w:ascii="Arial" w:cs="Arial" w:eastAsia="Arial" w:hAnsi="Arial"/>
                <w:sz w:val="18"/>
                <w:szCs w:val="18"/>
                <w:b w:val="1"/>
                <w:bCs w:val="1"/>
                <w:color w:val="auto"/>
                <w:w w:val="97"/>
              </w:rPr>
              <w:t>June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7"/>
              </w:rPr>
              <w:t>June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3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40" w:type="dxa"/>
            <w:vAlign w:val="bottom"/>
          </w:tcPr>
          <w:p>
            <w:pPr>
              <w:ind w:left="20"/>
              <w:spacing w:after="0" w:line="198" w:lineRule="exact"/>
              <w:rPr>
                <w:sz w:val="20"/>
                <w:szCs w:val="20"/>
                <w:color w:val="auto"/>
              </w:rPr>
            </w:pPr>
            <w:r>
              <w:rPr>
                <w:rFonts w:ascii="Arial" w:cs="Arial" w:eastAsia="Arial" w:hAnsi="Arial"/>
                <w:sz w:val="18"/>
                <w:szCs w:val="18"/>
                <w:color w:val="auto"/>
              </w:rPr>
              <w:t>BCS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1,950</w:t>
            </w:r>
          </w:p>
        </w:tc>
        <w:tc>
          <w:tcPr>
            <w:tcW w:w="320" w:type="dxa"/>
            <w:vAlign w:val="bottom"/>
            <w:gridSpan w:val="4"/>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line="198" w:lineRule="exact"/>
              <w:rPr>
                <w:sz w:val="20"/>
                <w:szCs w:val="20"/>
                <w:color w:val="auto"/>
              </w:rPr>
            </w:pPr>
            <w:r>
              <w:rPr>
                <w:rFonts w:ascii="Arial" w:cs="Arial" w:eastAsia="Arial" w:hAnsi="Arial"/>
                <w:sz w:val="18"/>
                <w:szCs w:val="18"/>
                <w:color w:val="auto"/>
              </w:rPr>
              <w:t>2,766</w:t>
            </w:r>
          </w:p>
        </w:tc>
        <w:tc>
          <w:tcPr>
            <w:tcW w:w="26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line="198" w:lineRule="exact"/>
              <w:rPr>
                <w:sz w:val="20"/>
                <w:szCs w:val="20"/>
                <w:color w:val="auto"/>
              </w:rPr>
            </w:pPr>
            <w:r>
              <w:rPr>
                <w:rFonts w:ascii="Arial" w:cs="Arial" w:eastAsia="Arial" w:hAnsi="Arial"/>
                <w:sz w:val="18"/>
                <w:szCs w:val="18"/>
                <w:color w:val="auto"/>
              </w:rPr>
              <w:t>3,721</w:t>
            </w:r>
          </w:p>
        </w:tc>
        <w:tc>
          <w:tcPr>
            <w:tcW w:w="40" w:type="dxa"/>
            <w:vAlign w:val="bottom"/>
          </w:tcPr>
          <w:p>
            <w:pPr>
              <w:spacing w:after="0"/>
              <w:rPr>
                <w:sz w:val="17"/>
                <w:szCs w:val="17"/>
                <w:color w:val="auto"/>
              </w:rPr>
            </w:pPr>
          </w:p>
        </w:tc>
        <w:tc>
          <w:tcPr>
            <w:tcW w:w="440" w:type="dxa"/>
            <w:vAlign w:val="bottom"/>
            <w:gridSpan w:val="3"/>
          </w:tcPr>
          <w:p>
            <w:pPr>
              <w:jc w:val="right"/>
              <w:ind w:right="132"/>
              <w:spacing w:after="0" w:line="198"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8" w:lineRule="exact"/>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The following table presents trade accounts receivable:</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4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4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jc w:val="center"/>
              <w:ind w:left="332"/>
              <w:spacing w:after="0"/>
              <w:rPr>
                <w:sz w:val="20"/>
                <w:szCs w:val="20"/>
                <w:color w:val="auto"/>
              </w:rPr>
            </w:pPr>
            <w:r>
              <w:rPr>
                <w:rFonts w:ascii="Arial" w:cs="Arial" w:eastAsia="Arial" w:hAnsi="Arial"/>
                <w:sz w:val="18"/>
                <w:szCs w:val="18"/>
                <w:b w:val="1"/>
                <w:bCs w:val="1"/>
                <w:color w:val="auto"/>
                <w:w w:val="97"/>
              </w:rPr>
              <w:t>As of</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b w:val="1"/>
                <w:bCs w:val="1"/>
                <w:color w:val="auto"/>
              </w:rPr>
              <w:t>June 30, 2022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3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center"/>
              <w:ind w:right="372"/>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1,769</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40" w:type="dxa"/>
            <w:vAlign w:val="bottom"/>
          </w:tcPr>
          <w:p>
            <w:pPr>
              <w:ind w:left="20"/>
              <w:spacing w:after="0" w:line="198" w:lineRule="exact"/>
              <w:rPr>
                <w:sz w:val="20"/>
                <w:szCs w:val="20"/>
                <w:color w:val="auto"/>
              </w:rPr>
            </w:pPr>
            <w:r>
              <w:rPr>
                <w:rFonts w:ascii="Arial" w:cs="Arial" w:eastAsia="Arial" w:hAnsi="Arial"/>
                <w:sz w:val="18"/>
                <w:szCs w:val="18"/>
                <w:color w:val="auto"/>
              </w:rPr>
              <w:t>BCS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12"/>
              <w:spacing w:after="0" w:line="198"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180"/>
              <w:spacing w:after="0" w:line="198" w:lineRule="exact"/>
              <w:rPr>
                <w:sz w:val="20"/>
                <w:szCs w:val="20"/>
                <w:color w:val="auto"/>
              </w:rPr>
            </w:pPr>
            <w:r>
              <w:rPr>
                <w:rFonts w:ascii="Arial" w:cs="Arial" w:eastAsia="Arial" w:hAnsi="Arial"/>
                <w:sz w:val="18"/>
                <w:szCs w:val="18"/>
                <w:color w:val="auto"/>
              </w:rPr>
              <w:t>7,507</w:t>
            </w:r>
          </w:p>
        </w:tc>
        <w:tc>
          <w:tcPr>
            <w:tcW w:w="80" w:type="dxa"/>
            <w:vAlign w:val="bottom"/>
          </w:tcPr>
          <w:p>
            <w:pPr>
              <w:spacing w:after="0"/>
              <w:rPr>
                <w:sz w:val="17"/>
                <w:szCs w:val="17"/>
                <w:color w:val="auto"/>
              </w:rPr>
            </w:pPr>
          </w:p>
        </w:tc>
        <w:tc>
          <w:tcPr>
            <w:tcW w:w="280" w:type="dxa"/>
            <w:vAlign w:val="bottom"/>
            <w:gridSpan w:val="2"/>
          </w:tcPr>
          <w:p>
            <w:pPr>
              <w:ind w:left="40"/>
              <w:spacing w:after="0" w:line="198"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rPr>
              <w:t>Other Equity Investments</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4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800" w:type="dxa"/>
            <w:vAlign w:val="bottom"/>
            <w:gridSpan w:val="3"/>
          </w:tcPr>
          <w:p>
            <w:pPr>
              <w:spacing w:after="0"/>
              <w:rPr>
                <w:sz w:val="20"/>
                <w:szCs w:val="20"/>
                <w:color w:val="auto"/>
              </w:rPr>
            </w:pPr>
            <w:r>
              <w:rPr>
                <w:rFonts w:ascii="Arial" w:cs="Arial" w:eastAsia="Arial" w:hAnsi="Arial"/>
                <w:sz w:val="18"/>
                <w:szCs w:val="18"/>
                <w:color w:val="auto"/>
              </w:rPr>
              <w:t>The following table presents the activity on our investments: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98"/>
              </w:rPr>
              <w:t>For the three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9"/>
          </w:tcPr>
          <w:p>
            <w:pPr>
              <w:ind w:left="6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5"/>
        </w:trPr>
        <w:tc>
          <w:tcPr>
            <w:tcW w:w="4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9"/>
          </w:tcPr>
          <w:p>
            <w:pPr>
              <w:jc w:val="center"/>
              <w:ind w:right="120"/>
              <w:spacing w:after="0"/>
              <w:rPr>
                <w:sz w:val="20"/>
                <w:szCs w:val="20"/>
                <w:color w:val="auto"/>
              </w:rPr>
            </w:pPr>
            <w:r>
              <w:rPr>
                <w:rFonts w:ascii="Arial" w:cs="Arial" w:eastAsia="Arial" w:hAnsi="Arial"/>
                <w:sz w:val="18"/>
                <w:szCs w:val="18"/>
                <w:b w:val="1"/>
                <w:bCs w:val="1"/>
                <w:color w:val="auto"/>
                <w:w w:val="97"/>
              </w:rPr>
              <w:t>June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7"/>
              </w:rPr>
              <w:t>June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38"/>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investments, net</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49,888</w:t>
            </w:r>
          </w:p>
        </w:tc>
        <w:tc>
          <w:tcPr>
            <w:tcW w:w="4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10.  LONG-TERM DEBT</w:t>
            </w: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180" w:type="dxa"/>
            <w:vAlign w:val="bottom"/>
            <w:gridSpan w:val="8"/>
          </w:tcPr>
          <w:p>
            <w:pPr>
              <w:spacing w:after="0"/>
              <w:rPr>
                <w:sz w:val="20"/>
                <w:szCs w:val="20"/>
                <w:color w:val="auto"/>
              </w:rPr>
            </w:pPr>
            <w:r>
              <w:rPr>
                <w:rFonts w:ascii="Arial" w:cs="Arial" w:eastAsia="Arial" w:hAnsi="Arial"/>
                <w:sz w:val="18"/>
                <w:szCs w:val="18"/>
                <w:color w:val="auto"/>
                <w:w w:val="98"/>
              </w:rPr>
              <w:t xml:space="preserve">The following table presents the carrying amount and fair values of our </w:t>
            </w:r>
            <w:r>
              <w:rPr>
                <w:rFonts w:ascii="Arial" w:cs="Arial" w:eastAsia="Arial" w:hAnsi="Arial"/>
                <w:sz w:val="18"/>
                <w:szCs w:val="18"/>
                <w:i w:val="1"/>
                <w:iCs w:val="1"/>
                <w:color w:val="auto"/>
                <w:w w:val="98"/>
              </w:rPr>
              <w:t>Long-term debt, net: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As of</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8"/>
          </w:tcPr>
          <w:p>
            <w:pPr>
              <w:jc w:val="right"/>
              <w:ind w:right="672"/>
              <w:spacing w:after="0"/>
              <w:rPr>
                <w:sz w:val="20"/>
                <w:szCs w:val="20"/>
                <w:color w:val="auto"/>
              </w:rPr>
            </w:pPr>
            <w:r>
              <w:rPr>
                <w:rFonts w:ascii="Arial" w:cs="Arial" w:eastAsia="Arial" w:hAnsi="Arial"/>
                <w:sz w:val="18"/>
                <w:szCs w:val="18"/>
                <w:b w:val="1"/>
                <w:bCs w:val="1"/>
                <w:color w:val="auto"/>
              </w:rPr>
              <w:t>June 30, 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9"/>
          </w:tcPr>
          <w:p>
            <w:pPr>
              <w:jc w:val="right"/>
              <w:ind w:right="452"/>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180"/>
        </w:trPr>
        <w:tc>
          <w:tcPr>
            <w:tcW w:w="4440" w:type="dxa"/>
            <w:vAlign w:val="bottom"/>
          </w:tcPr>
          <w:p>
            <w:pPr>
              <w:spacing w:after="0"/>
              <w:rPr>
                <w:sz w:val="15"/>
                <w:szCs w:val="15"/>
                <w:color w:val="auto"/>
              </w:rPr>
            </w:pPr>
          </w:p>
        </w:tc>
        <w:tc>
          <w:tcPr>
            <w:tcW w:w="1360" w:type="dxa"/>
            <w:vAlign w:val="bottom"/>
            <w:gridSpan w:val="2"/>
          </w:tcPr>
          <w:p>
            <w:pPr>
              <w:jc w:val="center"/>
              <w:ind w:right="100"/>
              <w:spacing w:after="0" w:line="180" w:lineRule="exact"/>
              <w:rPr>
                <w:sz w:val="20"/>
                <w:szCs w:val="20"/>
                <w:color w:val="auto"/>
              </w:rPr>
            </w:pPr>
            <w:r>
              <w:rPr>
                <w:rFonts w:ascii="Arial" w:cs="Arial" w:eastAsia="Arial" w:hAnsi="Arial"/>
                <w:sz w:val="18"/>
                <w:szCs w:val="18"/>
                <w:b w:val="1"/>
                <w:bCs w:val="1"/>
                <w:color w:val="auto"/>
                <w:w w:val="98"/>
              </w:rPr>
              <w:t>Effective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380"/>
              <w:spacing w:after="0" w:line="180" w:lineRule="exact"/>
              <w:rPr>
                <w:sz w:val="20"/>
                <w:szCs w:val="20"/>
                <w:color w:val="auto"/>
              </w:rPr>
            </w:pPr>
            <w:r>
              <w:rPr>
                <w:rFonts w:ascii="Arial" w:cs="Arial" w:eastAsia="Arial" w:hAnsi="Arial"/>
                <w:sz w:val="18"/>
                <w:szCs w:val="18"/>
                <w:b w:val="1"/>
                <w:bCs w:val="1"/>
                <w:color w:val="auto"/>
                <w:w w:val="94"/>
              </w:rPr>
              <w:t>Carrying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right"/>
              <w:ind w:right="560"/>
              <w:spacing w:after="0" w:line="180" w:lineRule="exact"/>
              <w:rPr>
                <w:sz w:val="20"/>
                <w:szCs w:val="20"/>
                <w:color w:val="auto"/>
              </w:rPr>
            </w:pPr>
            <w:r>
              <w:rPr>
                <w:rFonts w:ascii="Arial" w:cs="Arial" w:eastAsia="Arial" w:hAnsi="Arial"/>
                <w:sz w:val="18"/>
                <w:szCs w:val="18"/>
                <w:b w:val="1"/>
                <w:bCs w:val="1"/>
                <w:color w:val="auto"/>
              </w:rPr>
              <w:t>Fair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ind w:left="40"/>
              <w:spacing w:after="0" w:line="180" w:lineRule="exact"/>
              <w:rPr>
                <w:sz w:val="20"/>
                <w:szCs w:val="20"/>
                <w:color w:val="auto"/>
              </w:rPr>
            </w:pPr>
            <w:r>
              <w:rPr>
                <w:rFonts w:ascii="Arial" w:cs="Arial" w:eastAsia="Arial" w:hAnsi="Arial"/>
                <w:sz w:val="18"/>
                <w:szCs w:val="18"/>
                <w:b w:val="1"/>
                <w:bCs w:val="1"/>
                <w:color w:val="auto"/>
                <w:w w:val="97"/>
              </w:rPr>
              <w:t>Carrying</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center"/>
              <w:ind w:right="292"/>
              <w:spacing w:after="0" w:line="180" w:lineRule="exact"/>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25"/>
        </w:trPr>
        <w:tc>
          <w:tcPr>
            <w:tcW w:w="444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Interest Rate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Amount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Amount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center"/>
              <w:ind w:right="292"/>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05"/>
        </w:trPr>
        <w:tc>
          <w:tcPr>
            <w:tcW w:w="44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Senior Secured Notes:</w:t>
            </w: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40" w:type="dxa"/>
            <w:vAlign w:val="bottom"/>
          </w:tcPr>
          <w:p>
            <w:pPr>
              <w:ind w:left="120"/>
              <w:spacing w:after="0"/>
              <w:rPr>
                <w:sz w:val="20"/>
                <w:szCs w:val="20"/>
                <w:color w:val="auto"/>
              </w:rPr>
            </w:pPr>
            <w:r>
              <w:rPr>
                <w:rFonts w:ascii="Arial" w:cs="Arial" w:eastAsia="Arial" w:hAnsi="Arial"/>
                <w:sz w:val="18"/>
                <w:szCs w:val="18"/>
                <w:color w:val="auto"/>
              </w:rPr>
              <w:t>5 1/4% Senior 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5.320%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14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700,170</w:t>
            </w:r>
          </w:p>
        </w:tc>
        <w:tc>
          <w:tcPr>
            <w:tcW w:w="80" w:type="dxa"/>
            <w:vAlign w:val="bottom"/>
          </w:tcPr>
          <w:p>
            <w:pPr>
              <w:spacing w:after="0"/>
              <w:rPr>
                <w:sz w:val="19"/>
                <w:szCs w:val="19"/>
                <w:color w:val="auto"/>
              </w:rPr>
            </w:pPr>
          </w:p>
        </w:tc>
        <w:tc>
          <w:tcPr>
            <w:tcW w:w="26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750,000</w:t>
            </w:r>
          </w:p>
        </w:tc>
        <w:tc>
          <w:tcPr>
            <w:tcW w:w="40" w:type="dxa"/>
            <w:vAlign w:val="bottom"/>
          </w:tcPr>
          <w:p>
            <w:pPr>
              <w:spacing w:after="0"/>
              <w:rPr>
                <w:sz w:val="19"/>
                <w:szCs w:val="19"/>
                <w:color w:val="auto"/>
              </w:rPr>
            </w:pPr>
          </w:p>
        </w:tc>
        <w:tc>
          <w:tcPr>
            <w:tcW w:w="440" w:type="dxa"/>
            <w:vAlign w:val="bottom"/>
            <w:gridSpan w:val="3"/>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825,555</w:t>
            </w: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Senior Unsecured Notes: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40" w:type="dxa"/>
            <w:vAlign w:val="bottom"/>
          </w:tcPr>
          <w:p>
            <w:pPr>
              <w:ind w:left="120"/>
              <w:spacing w:after="0"/>
              <w:rPr>
                <w:sz w:val="20"/>
                <w:szCs w:val="20"/>
                <w:color w:val="auto"/>
              </w:rPr>
            </w:pPr>
            <w:r>
              <w:rPr>
                <w:rFonts w:ascii="Arial" w:cs="Arial" w:eastAsia="Arial" w:hAnsi="Arial"/>
                <w:sz w:val="18"/>
                <w:szCs w:val="18"/>
                <w:color w:val="auto"/>
              </w:rPr>
              <w:t>6 5/8% Senior Unsecured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6.688%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673,238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750,000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838,740</w:t>
            </w: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440" w:type="dxa"/>
            <w:vAlign w:val="bottom"/>
          </w:tcPr>
          <w:p>
            <w:pPr>
              <w:ind w:left="120"/>
              <w:spacing w:after="0" w:line="204" w:lineRule="exact"/>
              <w:rPr>
                <w:sz w:val="20"/>
                <w:szCs w:val="20"/>
                <w:color w:val="auto"/>
              </w:rPr>
            </w:pPr>
            <w:r>
              <w:rPr>
                <w:rFonts w:ascii="Arial" w:cs="Arial" w:eastAsia="Arial" w:hAnsi="Arial"/>
                <w:sz w:val="18"/>
                <w:szCs w:val="18"/>
                <w:color w:val="auto"/>
              </w:rPr>
              <w:t>Total long-term debt,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1,496,379</w:t>
            </w:r>
          </w:p>
        </w:tc>
        <w:tc>
          <w:tcPr>
            <w:tcW w:w="100" w:type="dxa"/>
            <w:vAlign w:val="bottom"/>
          </w:tcPr>
          <w:p>
            <w:pPr>
              <w:spacing w:after="0"/>
              <w:rPr>
                <w:sz w:val="18"/>
                <w:szCs w:val="18"/>
                <w:color w:val="auto"/>
              </w:rPr>
            </w:pPr>
          </w:p>
        </w:tc>
        <w:tc>
          <w:tcPr>
            <w:tcW w:w="14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1,373,408</w:t>
            </w:r>
          </w:p>
        </w:tc>
        <w:tc>
          <w:tcPr>
            <w:tcW w:w="80" w:type="dxa"/>
            <w:vAlign w:val="bottom"/>
          </w:tcPr>
          <w:p>
            <w:pPr>
              <w:spacing w:after="0"/>
              <w:rPr>
                <w:sz w:val="18"/>
                <w:szCs w:val="18"/>
                <w:color w:val="auto"/>
              </w:rPr>
            </w:pPr>
          </w:p>
        </w:tc>
        <w:tc>
          <w:tcPr>
            <w:tcW w:w="26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1,495,994</w:t>
            </w:r>
          </w:p>
        </w:tc>
        <w:tc>
          <w:tcPr>
            <w:tcW w:w="40" w:type="dxa"/>
            <w:vAlign w:val="bottom"/>
          </w:tcPr>
          <w:p>
            <w:pPr>
              <w:spacing w:after="0"/>
              <w:rPr>
                <w:sz w:val="18"/>
                <w:szCs w:val="18"/>
                <w:color w:val="auto"/>
              </w:rPr>
            </w:pPr>
          </w:p>
        </w:tc>
        <w:tc>
          <w:tcPr>
            <w:tcW w:w="440" w:type="dxa"/>
            <w:vAlign w:val="bottom"/>
            <w:gridSpan w:val="3"/>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1,664,295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INCOME TAXES</w:t>
      </w:r>
    </w:p>
    <w:p>
      <w:pPr>
        <w:spacing w:after="0" w:line="26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income tax provision for interim periods is determined using an estimate of our annual effective tax rate, adjusted for discrete items, if any, in the relevant period. Each quarter we update our estimate of the annual effective tax rate, and if our estimated tax rate changes, we make a cumulative adjustment.</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interim income tax provision and our interim estimate of our annual effective tax rate are influenced by several factors, including foreign losses and capital gains and losses for which related deferred tax assets are partially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20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income tax provision was $5.4 million for the three months ended June 30, 2022 compared to our income tax provision of $21.2 million for the three months ended June 30, 2021. Our estimated effective income tax rate was 34.0% and 37.7% for the three months ended June 30, 2022 and 2021, respectively. The variations in our effective tax rate from the U.S. federal statutory rate for the three months ended June 30, 2022 were primarily due to excluded foreign losses where the Company carries a full valuation allowance and the impact of filing a U.S. Federal amended return. The variations in our effective tax rate from the U.S. federal statutory rate for the three months ended June 30, 2021 were primarily due to excluded foreign losses where the Company carries a full valuation allowance and the impact of state and local taxes.</w:t>
      </w:r>
    </w:p>
    <w:p>
      <w:pPr>
        <w:spacing w:after="0" w:line="213"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Our income tax provision was $38.2 million for the six months ended June 30, 2022 compared to our income tax provision of $ 43.3 million for the six months ended June 30, 2021. Our estimated effective income tax rate was 27.7% and 27.8% for the six months ended June 30, 2022 and 2021, respectively. The variations in our effective tax rate from the U.S. federal statutory rate for the six months ended June 30, 2022 were primarily due to excluded foreign losses where the Company carries a full valuation allowance and the impact of state and local taxes. The variations in our effective tax rate from the U.S. federal statutory rate for the six months ended June 30, 2021 were primarily due to excluded foreign losses where the Company carries a full valuation allowance and the impact of state and local taxes.</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RELATED PARTY TRANSACTIONS - DISH NETWORK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EchoStar Corporation and DISH have operated as separate publicly-traded companies since 2008 (the “Spin-off”). A substantial majority of the voting power of the shares of each of EchoStar Corporation and DISH is owned beneficially by Charles W. Ergen, our Chairman, and by certain entities established for the benefit of his family.</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January 2017, we and certain of our subsidiaries entered into a share exchange agreement (the “Share Exchange Agreement”) with DISH and certain of its subsidiaries pursuant to which, in February 2017, we received all of the shares of preferred tracking stock previously issued by us and one of our subsidiaries (the “Tracking Stock”), representing an 80% economic interest in the residential retail satellite broadband business of our Hughes segment, in exchange for 100% of the equity interests of certain EchoStar subsidiaries that held substantially all of our</w:t>
      </w:r>
    </w:p>
    <w:p>
      <w:pPr>
        <w:spacing w:after="0" w:line="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EchoStar Technologies businesses and certain other assets (collectively, the “Share Exchange”). The Tracking Stock was retired in March 2017.</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(“DISH Network”) and our joint venture Dish Mexico,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$0.001 per share (“BSS Common Stock”), equal to one share of BSS Common Stock for each share of our Class A or Class B common stock owned by such stockholder (the “Distribution”); and (iii) immediately after the Distribution, (1) Merger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Other Revenue — DISH Network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Services and other revenue - DISH Network</w:t>
      </w:r>
      <w:r>
        <w:rPr>
          <w:rFonts w:ascii="Arial" w:cs="Arial" w:eastAsia="Arial" w:hAnsi="Arial"/>
          <w:sz w:val="18"/>
          <w:szCs w:val="18"/>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8"/>
              </w:rPr>
              <w:t>For the three months ended</w:t>
            </w:r>
          </w:p>
        </w:tc>
        <w:tc>
          <w:tcPr>
            <w:tcW w:w="180" w:type="dxa"/>
            <w:vAlign w:val="bottom"/>
          </w:tcPr>
          <w:p>
            <w:pPr>
              <w:spacing w:after="0"/>
              <w:rPr>
                <w:sz w:val="17"/>
                <w:szCs w:val="17"/>
                <w:color w:val="auto"/>
              </w:rPr>
            </w:pPr>
          </w:p>
        </w:tc>
        <w:tc>
          <w:tcPr>
            <w:tcW w:w="2420" w:type="dxa"/>
            <w:vAlign w:val="bottom"/>
            <w:gridSpan w:val="4"/>
          </w:tcPr>
          <w:p>
            <w:pPr>
              <w:jc w:val="center"/>
              <w:ind w:right="92"/>
              <w:spacing w:after="0"/>
              <w:rPr>
                <w:sz w:val="20"/>
                <w:szCs w:val="20"/>
                <w:color w:val="auto"/>
              </w:rPr>
            </w:pPr>
            <w:r>
              <w:rPr>
                <w:rFonts w:ascii="Arial" w:cs="Arial" w:eastAsia="Arial" w:hAnsi="Arial"/>
                <w:sz w:val="18"/>
                <w:szCs w:val="18"/>
                <w:b w:val="1"/>
                <w:bCs w:val="1"/>
                <w:color w:val="auto"/>
                <w:w w:val="98"/>
              </w:rPr>
              <w:t>For the six months ended</w:t>
            </w:r>
          </w:p>
        </w:tc>
      </w:tr>
      <w:tr>
        <w:trPr>
          <w:trHeight w:val="225"/>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672"/>
              <w:spacing w:after="0"/>
              <w:rPr>
                <w:sz w:val="20"/>
                <w:szCs w:val="20"/>
                <w:color w:val="auto"/>
              </w:rPr>
            </w:pPr>
            <w:r>
              <w:rPr>
                <w:rFonts w:ascii="Arial" w:cs="Arial" w:eastAsia="Arial" w:hAnsi="Arial"/>
                <w:sz w:val="18"/>
                <w:szCs w:val="18"/>
                <w:b w:val="1"/>
                <w:bCs w:val="1"/>
                <w:color w:val="auto"/>
                <w:w w:val="97"/>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32"/>
              <w:spacing w:after="0"/>
              <w:rPr>
                <w:sz w:val="20"/>
                <w:szCs w:val="20"/>
                <w:color w:val="auto"/>
              </w:rPr>
            </w:pPr>
            <w:r>
              <w:rPr>
                <w:rFonts w:ascii="Arial" w:cs="Arial" w:eastAsia="Arial" w:hAnsi="Arial"/>
                <w:sz w:val="18"/>
                <w:szCs w:val="18"/>
                <w:b w:val="1"/>
                <w:bCs w:val="1"/>
                <w:color w:val="auto"/>
                <w:w w:val="97"/>
              </w:rPr>
              <w:t>June 30,</w:t>
            </w:r>
          </w:p>
        </w:tc>
        <w:tc>
          <w:tcPr>
            <w:tcW w:w="880" w:type="dxa"/>
            <w:vAlign w:val="bottom"/>
            <w:tcBorders>
              <w:bottom w:val="single" w:sz="8" w:color="auto"/>
            </w:tcBorders>
          </w:tcPr>
          <w:p>
            <w:pPr>
              <w:spacing w:after="0"/>
              <w:rPr>
                <w:sz w:val="19"/>
                <w:szCs w:val="19"/>
                <w:color w:val="auto"/>
              </w:rPr>
            </w:pPr>
          </w:p>
        </w:tc>
      </w:tr>
      <w:tr>
        <w:trPr>
          <w:trHeight w:val="218"/>
        </w:trPr>
        <w:tc>
          <w:tcPr>
            <w:tcW w:w="5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43"/>
        </w:trPr>
        <w:tc>
          <w:tcPr>
            <w:tcW w:w="596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Services and other revenue - DISH Network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related trade accounts receivable:</w:t>
      </w:r>
    </w:p>
    <w:p>
      <w:pPr>
        <w:spacing w:after="0" w:line="102" w:lineRule="exact"/>
        <w:rPr>
          <w:sz w:val="20"/>
          <w:szCs w:val="20"/>
          <w:color w:val="auto"/>
        </w:rPr>
      </w:pPr>
    </w:p>
    <w:p>
      <w:pPr>
        <w:ind w:left="934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17780</wp:posOffset>
            </wp:positionV>
            <wp:extent cx="21456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45665" cy="8255"/>
                    </a:xfrm>
                    <a:prstGeom prst="rect">
                      <a:avLst/>
                    </a:prstGeom>
                    <a:noFill/>
                  </pic:spPr>
                </pic:pic>
              </a:graphicData>
            </a:graphic>
          </wp:anchor>
        </w:drawing>
      </w:r>
    </w:p>
    <w:p>
      <w:pPr>
        <w:spacing w:after="0" w:line="12" w:lineRule="exact"/>
        <w:rPr>
          <w:sz w:val="20"/>
          <w:szCs w:val="20"/>
          <w:color w:val="auto"/>
        </w:rPr>
      </w:pPr>
    </w:p>
    <w:p>
      <w:pPr>
        <w:ind w:left="8120"/>
        <w:spacing w:after="0"/>
        <w:tabs>
          <w:tab w:leader="none" w:pos="9620" w:val="left"/>
        </w:tabs>
        <w:rPr>
          <w:sz w:val="20"/>
          <w:szCs w:val="20"/>
          <w:color w:val="auto"/>
        </w:rPr>
      </w:pPr>
      <w:r>
        <w:rPr>
          <w:rFonts w:ascii="Arial" w:cs="Arial" w:eastAsia="Arial" w:hAnsi="Arial"/>
          <w:sz w:val="18"/>
          <w:szCs w:val="18"/>
          <w:b w:val="1"/>
          <w:bCs w:val="1"/>
          <w:color w:val="auto"/>
        </w:rPr>
        <w:t>June 30, 2022</w:t>
      </w:r>
      <w:r>
        <w:rPr>
          <w:sz w:val="20"/>
          <w:szCs w:val="20"/>
          <w:color w:val="auto"/>
        </w:rPr>
        <w:tab/>
      </w:r>
      <w:r>
        <w:rPr>
          <w:rFonts w:ascii="Arial" w:cs="Arial" w:eastAsia="Arial" w:hAnsi="Arial"/>
          <w:sz w:val="17"/>
          <w:szCs w:val="17"/>
          <w:b w:val="1"/>
          <w:bCs w:val="1"/>
          <w:u w:val="single" w:color="auto"/>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7134860" cy="168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4" w:lineRule="exact"/>
        <w:rPr>
          <w:sz w:val="20"/>
          <w:szCs w:val="20"/>
          <w:color w:val="auto"/>
        </w:rPr>
      </w:pPr>
    </w:p>
    <w:p>
      <w:pPr>
        <w:ind w:left="20"/>
        <w:spacing w:after="0"/>
        <w:tabs>
          <w:tab w:leader="none" w:pos="7860" w:val="left"/>
          <w:tab w:leader="none" w:pos="8960" w:val="left"/>
          <w:tab w:leader="none" w:pos="9600" w:val="left"/>
          <w:tab w:leader="none" w:pos="10700" w:val="left"/>
        </w:tabs>
        <w:rPr>
          <w:sz w:val="20"/>
          <w:szCs w:val="20"/>
          <w:color w:val="auto"/>
        </w:rPr>
      </w:pPr>
      <w:r>
        <w:rPr>
          <w:rFonts w:ascii="Arial" w:cs="Arial" w:eastAsia="Arial" w:hAnsi="Arial"/>
          <w:sz w:val="18"/>
          <w:szCs w:val="18"/>
          <w:color w:val="auto"/>
        </w:rPr>
        <w:t>Trade accounts receivable - DISH Network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6,411</w:t>
        <w:tab/>
        <w:t>$</w:t>
      </w:r>
      <w:r>
        <w:rPr>
          <w:sz w:val="20"/>
          <w:szCs w:val="20"/>
          <w:color w:val="auto"/>
        </w:rPr>
        <w:tab/>
      </w:r>
      <w:r>
        <w:rPr>
          <w:rFonts w:ascii="Arial" w:cs="Arial" w:eastAsia="Arial" w:hAnsi="Arial"/>
          <w:sz w:val="17"/>
          <w:szCs w:val="17"/>
          <w:color w:val="auto"/>
        </w:rPr>
        <w:t>4,244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29210</wp:posOffset>
            </wp:positionV>
            <wp:extent cx="21456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45665" cy="8255"/>
                    </a:xfrm>
                    <a:prstGeom prst="rect">
                      <a:avLst/>
                    </a:prstGeom>
                    <a:noFill/>
                  </pic:spPr>
                </pic:pic>
              </a:graphicData>
            </a:graphic>
          </wp:anchor>
        </w:drawing>
      </w:r>
    </w:p>
    <w:p>
      <w:pPr>
        <w:spacing w:after="0" w:line="3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Effective January 2008, DISH Network began leasing satellite capacity from us on the EchoStar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IX satellite. Subject to availability, DISH Network generally has the right to continue leasing satellite capacity from us on the EchoStar IX satellite on a month-to-month basis.</w:t>
      </w:r>
    </w:p>
    <w:p>
      <w:pPr>
        <w:spacing w:after="0" w:line="1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Telesat Obligation Agreement. </w:t>
      </w:r>
      <w:r>
        <w:rPr>
          <w:rFonts w:ascii="Arial" w:cs="Arial" w:eastAsia="Arial" w:hAnsi="Arial"/>
          <w:sz w:val="17"/>
          <w:szCs w:val="17"/>
          <w:color w:val="auto"/>
        </w:rPr>
        <w:t>In September 2009, we entered into an agreement with Telesat Canada to lease satellite capacity from Telesat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Canada on all 32 direct broadcast satellite (“DBS”) transponders on the Nimiq 5 satellite at the 72.7 degree west longitude orbital location (the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 commenced in September 2009, when the Nimiq 5 satellite was placed into service. We transferred the Telesat Transponder Agreement to DISH Network in September 2019 as part of the BSS Transaction; however, we retained certain obligations related to DISH Network’s performance under that agreement and we entered into an agreement with DISH Network whereby DISH Network compensates us for retaining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Real Estate Leases to DISH Network. </w:t>
      </w:r>
      <w:r>
        <w:rPr>
          <w:rFonts w:ascii="Arial" w:cs="Arial" w:eastAsia="Arial" w:hAnsi="Arial"/>
          <w:sz w:val="18"/>
          <w:szCs w:val="18"/>
          <w:color w:val="auto"/>
        </w:rPr>
        <w:t>We have entered into lease agreements pursuant to which DISH Network leases certain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us. The rent on a per square foot basis for each of the leases is comparable to per square foot rental rates of similar commercial property in the same geographic area at the time of the leases or subsequent amendments. Additionally, DISH Network compensates us for its portion of the taxes, insurance, utilities and/or maintenance of the premises. The terms of each of the leases are set forth below:</w:t>
      </w:r>
    </w:p>
    <w:p>
      <w:pPr>
        <w:spacing w:after="0" w:line="164" w:lineRule="exact"/>
        <w:rPr>
          <w:sz w:val="20"/>
          <w:szCs w:val="20"/>
          <w:color w:val="auto"/>
        </w:rPr>
      </w:pPr>
    </w:p>
    <w:p>
      <w:pPr>
        <w:jc w:val="both"/>
        <w:ind w:left="640" w:hanging="316"/>
        <w:spacing w:after="0" w:line="221"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100 Inverness Occupancy License Agreement </w:t>
      </w:r>
      <w:r>
        <w:rPr>
          <w:rFonts w:ascii="Arial" w:cs="Arial" w:eastAsia="Arial" w:hAnsi="Arial"/>
          <w:sz w:val="18"/>
          <w:szCs w:val="18"/>
          <w:color w:val="auto"/>
        </w:rPr>
        <w:t>— In March 2017, we and DISH Network entered into a license agreement for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to use certain of our space at 100 Inverness Terrace East, Englewood, Colorado for an initial period ending in December 2020. Effective December 2020, we amended this agreement to extend the license until December 2021. Effective December 2021, we amended this agreement to extend the license until December 2022. This agreement may be terminated by either party upon 180 days’ prior notice. Subsequent to December 2022, this agreement will be converted to a month-to-month lease agreement unless extended by mutual consent or terminated by one of the parties upon 30 days’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w:t>
      </w:r>
    </w:p>
    <w:p>
      <w:pPr>
        <w:spacing w:after="0" w:line="205" w:lineRule="exact"/>
        <w:rPr>
          <w:rFonts w:ascii="Arial" w:cs="Arial" w:eastAsia="Arial" w:hAnsi="Arial"/>
          <w:sz w:val="18"/>
          <w:szCs w:val="18"/>
          <w:color w:val="auto"/>
        </w:rPr>
      </w:pPr>
    </w:p>
    <w:p>
      <w:pPr>
        <w:jc w:val="both"/>
        <w:ind w:left="640" w:hanging="316"/>
        <w:spacing w:after="0" w:line="256" w:lineRule="auto"/>
        <w:tabs>
          <w:tab w:leader="none" w:pos="63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Meridian Lease Agreement </w:t>
      </w:r>
      <w:r>
        <w:rPr>
          <w:rFonts w:ascii="Arial" w:cs="Arial" w:eastAsia="Arial" w:hAnsi="Arial"/>
          <w:sz w:val="18"/>
          <w:szCs w:val="18"/>
          <w:color w:val="auto"/>
        </w:rPr>
        <w:t>— The lease for all of 9601 S. Meridian Blvd., Englewood, Colorado was originally for a period ending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2016. We and DISH Network have amended this lease over time to, among other things, extend the term through December 2022. After December 2022, this agreement may be converted by mutual consent to a month-to-month lease agreement with either party having the right to terminate upon 30 days’ notice.</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these services are terminated by DISH Network upon at least 90 days’ written notice to us.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have recommenced providing warranty services to DISH Network. In May 2022, we and DISH Network amended the agreement for the provision of hosting services to extend the term until May 2027.</w:t>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Hughes Broadband Distribution Agreement. </w:t>
      </w:r>
      <w:r>
        <w:rPr>
          <w:rFonts w:ascii="Arial" w:cs="Arial" w:eastAsia="Arial" w:hAnsi="Arial"/>
          <w:sz w:val="18"/>
          <w:szCs w:val="18"/>
          <w:color w:val="auto"/>
        </w:rPr>
        <w:t>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In March 2012, DISH Network completed its acquisition of all of the equity of DBSD North America,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Hughes Equipment and Services Agreement</w:t>
      </w:r>
      <w:r>
        <w:rPr>
          <w:rFonts w:ascii="Arial" w:cs="Arial" w:eastAsia="Arial" w:hAnsi="Arial"/>
          <w:sz w:val="18"/>
          <w:szCs w:val="18"/>
          <w:color w:val="auto"/>
        </w:rPr>
        <w:t>. In February 2019, we and DISH Network entered into an agreement pursuant to which we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 DISH Network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related to DISH Network:</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8"/>
              </w:rPr>
              <w:t>For the three months ended</w:t>
            </w:r>
          </w:p>
        </w:tc>
        <w:tc>
          <w:tcPr>
            <w:tcW w:w="180" w:type="dxa"/>
            <w:vAlign w:val="bottom"/>
          </w:tcPr>
          <w:p>
            <w:pPr>
              <w:spacing w:after="0"/>
              <w:rPr>
                <w:sz w:val="18"/>
                <w:szCs w:val="18"/>
                <w:color w:val="auto"/>
              </w:rPr>
            </w:pPr>
          </w:p>
        </w:tc>
        <w:tc>
          <w:tcPr>
            <w:tcW w:w="2420" w:type="dxa"/>
            <w:vAlign w:val="bottom"/>
            <w:gridSpan w:val="4"/>
          </w:tcPr>
          <w:p>
            <w:pPr>
              <w:jc w:val="center"/>
              <w:ind w:right="92"/>
              <w:spacing w:after="0"/>
              <w:rPr>
                <w:sz w:val="20"/>
                <w:szCs w:val="20"/>
                <w:color w:val="auto"/>
              </w:rPr>
            </w:pPr>
            <w:r>
              <w:rPr>
                <w:rFonts w:ascii="Arial" w:cs="Arial" w:eastAsia="Arial" w:hAnsi="Arial"/>
                <w:sz w:val="18"/>
                <w:szCs w:val="18"/>
                <w:b w:val="1"/>
                <w:bCs w:val="1"/>
                <w:color w:val="auto"/>
                <w:w w:val="98"/>
              </w:rPr>
              <w:t>For the six months ended</w:t>
            </w:r>
          </w:p>
        </w:tc>
      </w:tr>
      <w:tr>
        <w:trPr>
          <w:trHeight w:val="225"/>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672"/>
              <w:spacing w:after="0"/>
              <w:rPr>
                <w:sz w:val="20"/>
                <w:szCs w:val="20"/>
                <w:color w:val="auto"/>
              </w:rPr>
            </w:pPr>
            <w:r>
              <w:rPr>
                <w:rFonts w:ascii="Arial" w:cs="Arial" w:eastAsia="Arial" w:hAnsi="Arial"/>
                <w:sz w:val="18"/>
                <w:szCs w:val="18"/>
                <w:b w:val="1"/>
                <w:bCs w:val="1"/>
                <w:color w:val="auto"/>
                <w:w w:val="97"/>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32"/>
              <w:spacing w:after="0"/>
              <w:rPr>
                <w:sz w:val="20"/>
                <w:szCs w:val="20"/>
                <w:color w:val="auto"/>
              </w:rPr>
            </w:pPr>
            <w:r>
              <w:rPr>
                <w:rFonts w:ascii="Arial" w:cs="Arial" w:eastAsia="Arial" w:hAnsi="Arial"/>
                <w:sz w:val="18"/>
                <w:szCs w:val="18"/>
                <w:b w:val="1"/>
                <w:bCs w:val="1"/>
                <w:color w:val="auto"/>
                <w:w w:val="97"/>
              </w:rPr>
              <w:t>June 30,</w:t>
            </w:r>
          </w:p>
        </w:tc>
        <w:tc>
          <w:tcPr>
            <w:tcW w:w="880" w:type="dxa"/>
            <w:vAlign w:val="bottom"/>
            <w:tcBorders>
              <w:bottom w:val="single" w:sz="8" w:color="auto"/>
            </w:tcBorders>
          </w:tcPr>
          <w:p>
            <w:pPr>
              <w:spacing w:after="0"/>
              <w:rPr>
                <w:sz w:val="19"/>
                <w:szCs w:val="19"/>
                <w:color w:val="auto"/>
              </w:rPr>
            </w:pPr>
          </w:p>
        </w:tc>
      </w:tr>
      <w:tr>
        <w:trPr>
          <w:trHeight w:val="219"/>
        </w:trPr>
        <w:tc>
          <w:tcPr>
            <w:tcW w:w="5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43"/>
        </w:trPr>
        <w:tc>
          <w:tcPr>
            <w:tcW w:w="596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Operating expenses - DISH Network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related trade accounts payable:</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45"/>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4"/>
                <w:szCs w:val="24"/>
                <w:color w:val="auto"/>
              </w:rPr>
            </w:pPr>
          </w:p>
        </w:tc>
      </w:tr>
      <w:tr>
        <w:trPr>
          <w:trHeight w:val="219"/>
        </w:trPr>
        <w:tc>
          <w:tcPr>
            <w:tcW w:w="7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2022</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r>
      <w:tr>
        <w:trPr>
          <w:trHeight w:val="243"/>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payable - DISH Network</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Amended and Restated Professional Services Agreement</w:t>
      </w:r>
      <w:r>
        <w:rPr>
          <w:rFonts w:ascii="Arial" w:cs="Arial" w:eastAsia="Arial" w:hAnsi="Arial"/>
          <w:sz w:val="17"/>
          <w:szCs w:val="17"/>
          <w:color w:val="auto"/>
        </w:rPr>
        <w:t>. In connection with the Spin-off, we entered into various agreements with DISH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including a transition services agreement, satellite procurement agreement and 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(as amended to date,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term of the Amended and Restated Professional Services Agreement is through January 1, 2023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provided under the Amended and Restated Professional Services Agreement may survive the termination of the agreement.</w:t>
      </w:r>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Real Estate Leases from DISH Network. </w:t>
      </w:r>
      <w:r>
        <w:rPr>
          <w:rFonts w:ascii="Arial" w:cs="Arial" w:eastAsia="Arial" w:hAnsi="Arial"/>
          <w:sz w:val="17"/>
          <w:szCs w:val="17"/>
          <w:color w:val="auto"/>
        </w:rPr>
        <w:t>Effective March 2017, we entered into a lease with DISH Network for certain space at 530 EchoStar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Drive in Cheyenne, Wyoming for an initial period ending in February 2019. In August 2018, we exercised our option to renew this lease for a one-year period ending in February 2020. In connection with the BSS Transaction, we transferred the Cheyenne Satellite Operations Center, including any equipment, software licenses, and furniture located within, to DISH Network and amended this lease to reduce the space provided to us for the Cheyenne Satellite Access Center for a period ending in September 2021. In March 2021, we exercised our option to renew this lease for a one-year period ending September 2022 and amended the lease to provide us the option to renew this lease for up to three additional years. In November 2021, we exercised our option to renew this lease for a one-year period ending September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4"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Collocation and Antenna Space Agreements</w:t>
      </w:r>
      <w:r>
        <w:rPr>
          <w:rFonts w:ascii="Arial" w:cs="Arial" w:eastAsia="Arial" w:hAnsi="Arial"/>
          <w:sz w:val="17"/>
          <w:szCs w:val="17"/>
          <w:color w:val="auto"/>
        </w:rPr>
        <w:t>. We and DISH Network entered into an agreement pursuant to which DISH Network 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with collocation space in El Paso, Texas. This agreement was for an initial period ending in July 2015, and provided us with renewal options for four consecutive three-year terms. We exercised our first renewal option for a period commencing in August 2015 and ending in July 2018, in April 2018 we exercised our second renewal option for a period ending in July 2021, and in May 2021 we exercised our third renewal option for a period ending in July 2024.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effective May 2020. In November 2020, we provided a termination notice for one of our Englewood, Colorado agreements effective May 2021. In November 2021, we exercised our right to renew the collocation agreements at Gilbert, Arizona, Cheyenne, Wyoming, Spokane, Washington, Englewood, Colorado and Monee, Illinois for a period ending in February 2025. In August 2017, we and DISH Network also entered into certain other agreements pursuant to which DISH Network provides additional collocation and antenna space to us in Monee, Illinois and Spokane, Washington through August 2022. In May 2022, we exercised our right to renew such other agreements at Monee, Illinois and Spokane, Washington through August 2025.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In September 2019, in connection with the BSS Transaction, we entered into an agreement pursuant to which DISH Network provided us with certain additional collocation space in Cheyenne, Wyoming for a period that ended in September 2020. The fees for the services provided under these agreements depend on the number of racks located at the location.</w:t>
      </w:r>
    </w:p>
    <w:p>
      <w:pPr>
        <w:spacing w:after="0" w:line="27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Also in connection with the BSS Transaction, in September 2019, we entered into an agreement pursuant to which DISH Network provides us with antenna space and power in Cheyenne, Wyoming for a period of five years commencing in August 2020, with four three-year renewal terms, with prior written notice of renewal required no more than 120 days but no less than 90 days prior to the end of the then-current term. In</w:t>
      </w:r>
    </w:p>
    <w:p>
      <w:pPr>
        <w:spacing w:after="0" w:line="1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March 2021, we entered into additional agreements pursuant to which DISH Network provides us with antenna space and power in Cheyenne, Wyoming, and the right to use an antenna and certain space in Gilbert, Arizona. Both agreements are for a period of five years with four three-year renewal terms, with prior written notice of renewal required no more than 120 days but no less than 90 days prior to the end of the then-current term.</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conjunction with the launch of our EchoStar XIX satellite, in March 2017,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current term of the Hughes Broadband MSA is through March 2023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$1.9 million and $1.9 million for the three months ended June 30, 2022 and 2021, respectively, and $3.6 million and $3.8 million for the six months ended June 30, 2022 and 2021, respectively.</w:t>
      </w:r>
    </w:p>
    <w:p>
      <w:pPr>
        <w:spacing w:after="0" w:line="20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b w:val="1"/>
          <w:bCs w:val="1"/>
          <w:i w:val="1"/>
          <w:iCs w:val="1"/>
          <w:color w:val="auto"/>
        </w:rPr>
        <w:t>2019 TT&amp;C Agreement</w:t>
      </w:r>
      <w:r>
        <w:rPr>
          <w:rFonts w:ascii="Arial" w:cs="Arial" w:eastAsia="Arial" w:hAnsi="Arial"/>
          <w:sz w:val="18"/>
          <w:szCs w:val="18"/>
          <w:color w:val="auto"/>
        </w:rPr>
        <w:t>. In September 2019, in connection with the BSS Transaction, we entered into an agreement pursuant to which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provides TT&amp;C services to us for a period ending in September 2021, with the option for us to renew for a one-year period upon written notice at least 90 days prior to the initial expiration (the “2019 TT&amp;C Agreement”). In June 2021, we amended the 2019 TT&amp;C Agreement to extend the term until September 2022 and added the option for us to renew the 2019 TT&amp;C Agreement up to an additional three years.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Referral Marketing Agreement</w:t>
      </w:r>
      <w:r>
        <w:rPr>
          <w:rFonts w:ascii="Arial" w:cs="Arial" w:eastAsia="Arial" w:hAnsi="Arial"/>
          <w:sz w:val="18"/>
          <w:szCs w:val="18"/>
          <w:color w:val="auto"/>
        </w:rPr>
        <w:t>. In June 2021, we and DISH Network entered into an agreement pursuant to which we will pre-qualify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prospects contacting Hughes call centers and transfer those prospects to DISH Network for introduction to DISH Network’s video services, for prospects that convert Hughes will receive a commission. This agreement has an indefinite term and may be terminated by either party upon 90 days’ prior written notice.</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Whidbey Island 5G Network Test Bed Subcontract</w:t>
      </w:r>
      <w:r>
        <w:rPr>
          <w:rFonts w:ascii="Arial" w:cs="Arial" w:eastAsia="Arial" w:hAnsi="Arial"/>
          <w:sz w:val="18"/>
          <w:szCs w:val="18"/>
          <w:color w:val="auto"/>
        </w:rPr>
        <w:t>. In June 2022, we and DISH Wireless entered into a subcontract (“DISH Subcontract”)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DISH will provide access and use of a DISH lab, technical support and integration and testing support for the 5G network test bed to be delivered by Hughes to its customer.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Other Receivables - DISH Network</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0"/>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our other receivables owed from DISH Network:</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5"/>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4"/>
                <w:szCs w:val="24"/>
                <w:color w:val="auto"/>
              </w:rPr>
            </w:pPr>
          </w:p>
        </w:tc>
      </w:tr>
      <w:tr>
        <w:trPr>
          <w:trHeight w:val="219"/>
        </w:trPr>
        <w:tc>
          <w:tcPr>
            <w:tcW w:w="78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r>
      <w:tr>
        <w:trPr>
          <w:trHeight w:val="238"/>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 - DISH Network, 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7860" w:type="dxa"/>
            <w:vAlign w:val="bottom"/>
          </w:tcPr>
          <w:p>
            <w:pPr>
              <w:ind w:left="20"/>
              <w:spacing w:after="0" w:line="198" w:lineRule="exact"/>
              <w:rPr>
                <w:sz w:val="20"/>
                <w:szCs w:val="20"/>
                <w:color w:val="auto"/>
              </w:rPr>
            </w:pPr>
            <w:r>
              <w:rPr>
                <w:rFonts w:ascii="Arial" w:cs="Arial" w:eastAsia="Arial" w:hAnsi="Arial"/>
                <w:sz w:val="18"/>
                <w:szCs w:val="18"/>
                <w:color w:val="auto"/>
              </w:rPr>
              <w:t>Other receivables - DISH Network, noncurrent</w:t>
            </w:r>
          </w:p>
        </w:tc>
        <w:tc>
          <w:tcPr>
            <w:tcW w:w="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78,275</w:t>
            </w:r>
          </w:p>
        </w:tc>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line="198"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77,920</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 xml:space="preserve">Tax Sharing Agreement. </w:t>
      </w:r>
      <w:r>
        <w:rPr>
          <w:rFonts w:ascii="Arial" w:cs="Arial" w:eastAsia="Arial" w:hAnsi="Arial"/>
          <w:sz w:val="17"/>
          <w:szCs w:val="17"/>
          <w:color w:val="auto"/>
        </w:rPr>
        <w:t>Effective December 2007, we and DISH Network entered into a tax sharing agreement (the “Tax Sharing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Under the agreement with DISH Network from 2013, DISH Network is paying us the federal tax benefit it receives at such time as we would have otherwise been able to realize such tax benefit. We recorded a current receivable from DISH Network in Other receivables - DISH Network, current and a non-current receivable from DISH Network in Other receivables - DISH Network, noncurrent and a corresponding increase in our </w:t>
      </w:r>
      <w:r>
        <w:rPr>
          <w:rFonts w:ascii="Arial" w:cs="Arial" w:eastAsia="Arial" w:hAnsi="Arial"/>
          <w:sz w:val="18"/>
          <w:szCs w:val="18"/>
          <w:i w:val="1"/>
          <w:iCs w:val="1"/>
          <w:color w:val="auto"/>
        </w:rPr>
        <w:t>Deferred tax liabilities, net</w:t>
      </w:r>
      <w:r>
        <w:rPr>
          <w:rFonts w:ascii="Arial" w:cs="Arial" w:eastAsia="Arial" w:hAnsi="Arial"/>
          <w:sz w:val="18"/>
          <w:szCs w:val="18"/>
          <w:color w:val="auto"/>
        </w:rPr>
        <w:t xml:space="preserve"> to reflect the effects of this agreement.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of termination of the Tax Sharing Agreement, a change in control of either us or DISH Network or, for any particular state, if we and DISH Network no longer file a combined tax return for such state.</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and DISH Network filed combined income tax returns in certain states from 2008 through 2019. We have earned and recognized tax benefits for certain state income tax credits that we would be unable to fully utilize currently if we had filed separately from DISH Network. We have charged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in prior periods when DISH Network has utilized such tax benefits. We expect to increase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paid-in capital </w:t>
      </w:r>
      <w:r>
        <w:rPr>
          <w:rFonts w:ascii="Arial" w:cs="Arial" w:eastAsia="Arial" w:hAnsi="Arial"/>
          <w:sz w:val="18"/>
          <w:szCs w:val="18"/>
          <w:color w:val="auto"/>
        </w:rPr>
        <w:t>upon receipt of any consideration that DISH Network pays to us in exchange for these tax credits.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In May 2019, we and BSS Corp. entered into the Master Transaction Agreement with DISH and Merger Sub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BSS Transaction. Pursuant to the terms of the Master 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BSS Transaction Intellectual Property and Technology License Agreement. </w:t>
      </w:r>
      <w:r>
        <w:rPr>
          <w:rFonts w:ascii="Arial" w:cs="Arial" w:eastAsia="Arial" w:hAnsi="Arial"/>
          <w:sz w:val="18"/>
          <w:szCs w:val="18"/>
          <w:color w:val="auto"/>
        </w:rPr>
        <w:t>Effective September 2019, in connection with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we and DISH Network entered into an intellectual property and technology license agreement (the “BSS IPTLA”) pursuant to which we and DISH Network license to each other certain intellectual property and technology. The BSS IPTLA will continue in perpetuity, unless mutually terminated by the parties. Pursuant to 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BSS Transaction Tax Matters Agreement. </w:t>
      </w:r>
      <w:r>
        <w:rPr>
          <w:rFonts w:ascii="Arial" w:cs="Arial" w:eastAsia="Arial" w:hAnsi="Arial"/>
          <w:sz w:val="18"/>
          <w:szCs w:val="18"/>
          <w:color w:val="auto"/>
        </w:rPr>
        <w:t>Effective September 2019, in connection with the BSS Transaction, we, BSS Corp.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tax matters agreement. This agreement governs certain of our 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 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income tax purposes. This tax matters agreement supplements the Tax Sharing Agreement outlined above and the Share Exchange Tax Matters Agreement outlined below, both of which continue in full force and effect.</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BSS Transaction Employee Matters Agreement. </w:t>
      </w:r>
      <w:r>
        <w:rPr>
          <w:rFonts w:ascii="Arial" w:cs="Arial" w:eastAsia="Arial" w:hAnsi="Arial"/>
          <w:sz w:val="18"/>
          <w:szCs w:val="18"/>
          <w:color w:val="auto"/>
        </w:rPr>
        <w:t>Effective September 2019, in connection with the BSS Transaction,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In February 2017 we consummated the Share Exchange, following which we no longer operate the transferred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Share Exchange Intellectual Property and Technology License Agreement</w:t>
      </w:r>
      <w:r>
        <w:rPr>
          <w:rFonts w:ascii="Arial" w:cs="Arial" w:eastAsia="Arial" w:hAnsi="Arial"/>
          <w:sz w:val="17"/>
          <w:szCs w:val="17"/>
          <w:color w:val="auto"/>
        </w:rPr>
        <w:t>. Effective March 2017, in connection with the Share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and DISH 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Share Exchange Tax Matters Agreement</w:t>
      </w:r>
      <w:r>
        <w:rPr>
          <w:rFonts w:ascii="Arial" w:cs="Arial" w:eastAsia="Arial" w:hAnsi="Arial"/>
          <w:sz w:val="18"/>
          <w:szCs w:val="18"/>
          <w:color w:val="auto"/>
        </w:rPr>
        <w:t>. Effective March 2017, in connection with the Share Exchange, we and DISH entered into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agreement. 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Share Exchange Employee Matters Agreement</w:t>
      </w:r>
      <w:r>
        <w:rPr>
          <w:rFonts w:ascii="Arial" w:cs="Arial" w:eastAsia="Arial" w:hAnsi="Arial"/>
          <w:sz w:val="18"/>
          <w:szCs w:val="18"/>
          <w:color w:val="auto"/>
        </w:rPr>
        <w:t>. Effective March 2017, in connection with the Share Exchange,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pre-Share Exchange employee related litigation, and compensation and benefits for employees who transferred to DISH Network in connection with the Share Exchange.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 - OTHER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contract with Hughes Systique Corporation (“Hughes Systique”) for software development services. In addition to our approximately 42% ownership in Hughes Systique, Mr. Pradman Kaul, the President of our subsidiary Hughes Communications and a member of our board of directors, and his brother, who is the Chief Executive Officer and President of Hughes Systique, own in the aggregate approximately 25%, on an undiluted basis, of Hughes Systique’s outstanding shares as of June 30, 2022.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TerreStar Solutions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$0.5 million and $0.5 million for the three months ended June 30, 2022 and 2021, respectively, and $1.0 million and $0.9 million for the six months ended June 30, 2022 and 2021, respectively. As of June 30, 2022 we had $0.5 million of trade accounts receivable from TSI.</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CONTINGENCIES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Arrangements with DISH Network</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connection with our spin-off from DISH in 2008,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In connection with the Share Exchange and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24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On July 2, 2019, the City of Hallandale Beach Police Officers’ and Firefighters’ Personnel Retirement Trust, purporting to sue on behalf of a class of EchoStar Corporation’s stockholders, filed a complaint in the District Court of Clark County, Nevada against our directors, Charles W. Ergen, R. Stanton Dodge, Anthony M. Federico, Pradman P. Kaul, C. Michael Schroeder, Jeffrey R. Tarr, William D. Wade, and Michael T. Dugan; our chief financial officer, David J. Rayner; EchoStar Corporation; our subsidiary Hughes Satellite Systems Corporation (“HSSC”); our former subsidiary BSS Corp.; and DISH and its subsidiary Merger Sub. On September 5, 2019, the defendants filed motions to dismiss. On October 11, 2019, the plaintiffs filed an amended complaint removing Messrs. Dodge, Federico, Kaul, Schroeder, Tarr and Wade as defendants. The amended complaint alleges that Mr. Ergen, as our controlling stockholder, breached fiduciary duties to EchoStar Corporation’s minority stockholders by structuring the BSS Transaction with inadequate consideration and improperly influencing our and HSSC’s boards of directors to approve the BSS 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The Court certified plaintiff’s class on January 11, 2021. On June 18, 2021, the parties executed a settlement agreement to resolve all claims in this case. On the same day, the parties filed a joint motion for preliminary approval of the settlement agreement. The motion was granted by an order dated July 30, 2021. On December 9, 2021, the Court held a final settlement hearing. On December 10, 2021, the Court issued an Order granting final approval of the settlement agreement. The case is expected to be dismissed once the Court approves a class distribution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new government policy that was first established in 1999. The new policy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March 31, 2021 and March 31,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the accrual:</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91"/>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4"/>
                <w:szCs w:val="24"/>
                <w:color w:val="auto"/>
              </w:rPr>
            </w:pPr>
          </w:p>
        </w:tc>
      </w:tr>
      <w:tr>
        <w:trPr>
          <w:trHeight w:val="219"/>
        </w:trPr>
        <w:tc>
          <w:tcPr>
            <w:tcW w:w="7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2022</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r>
      <w:tr>
        <w:trPr>
          <w:trHeight w:val="219"/>
        </w:trPr>
        <w:tc>
          <w:tcPr>
            <w:tcW w:w="786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Additional license fees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w:t>
            </w: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auto"/>
              </w:rPr>
              <w:t>Penalties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3,691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3,912</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interest on penalties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81,389</w:t>
            </w:r>
          </w:p>
        </w:tc>
      </w:tr>
      <w:tr>
        <w:trPr>
          <w:trHeight w:val="225"/>
        </w:trPr>
        <w:tc>
          <w:tcPr>
            <w:tcW w:w="7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Payments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w:t>
            </w:r>
          </w:p>
        </w:tc>
      </w:tr>
      <w:tr>
        <w:trPr>
          <w:trHeight w:val="244"/>
        </w:trPr>
        <w:tc>
          <w:tcPr>
            <w:tcW w:w="786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accrual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68,171</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Any eventual payments made with respect to the ultimate outcome of this matter may be different from our accrual and such differences could be significant.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SEGMENT REPORTING</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Business segments are components of an enterprise for which separate financial information is available and regularly evaluated by our chief operating decision maker (“CODM”), who is our Chief Executive Officer. We operate in two business segments, Hughes segment and ESS segment.</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and net income (loss) attributable to non-controlling interests (“EBITDA”).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capital expenditures and EBITDA for each of our business segments: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17"/>
                <w:szCs w:val="17"/>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Corporate and</w:t>
            </w:r>
          </w:p>
        </w:tc>
        <w:tc>
          <w:tcPr>
            <w:tcW w:w="160" w:type="dxa"/>
            <w:vAlign w:val="bottom"/>
          </w:tcPr>
          <w:p>
            <w:pPr>
              <w:spacing w:after="0"/>
              <w:rPr>
                <w:sz w:val="17"/>
                <w:szCs w:val="17"/>
                <w:color w:val="auto"/>
              </w:rPr>
            </w:pPr>
          </w:p>
        </w:tc>
        <w:tc>
          <w:tcPr>
            <w:tcW w:w="1380" w:type="dxa"/>
            <w:vAlign w:val="bottom"/>
          </w:tcPr>
          <w:p>
            <w:pPr>
              <w:jc w:val="center"/>
              <w:ind w:right="92"/>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center"/>
              <w:ind w:right="72"/>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9"/>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2022</w:t>
            </w: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491,841</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499,316</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00" w:type="dxa"/>
            <w:vAlign w:val="bottom"/>
          </w:tcPr>
          <w:p>
            <w:pPr>
              <w:ind w:left="280"/>
              <w:spacing w:after="0" w:line="204"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491,841</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499,316</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64,861</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10,918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75,779</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tcBorders>
              <w:bottom w:val="single" w:sz="8" w:color="CCEEFF"/>
            </w:tcBorders>
            <w:shd w:val="clear" w:color="auto" w:fill="CCEEFF"/>
          </w:tcPr>
          <w:p>
            <w:pPr>
              <w:ind w:left="180"/>
              <w:spacing w:after="0" w:line="192" w:lineRule="exact"/>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179,928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141,048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2021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492,276</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3,363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499,834</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00" w:type="dxa"/>
            <w:vAlign w:val="bottom"/>
          </w:tcPr>
          <w:p>
            <w:pPr>
              <w:ind w:left="280"/>
              <w:spacing w:after="0" w:line="204"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492,276</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499,834</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72,187</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11,045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83,232</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tcBorders>
              <w:bottom w:val="single" w:sz="8" w:color="CCEEFF"/>
            </w:tcBorders>
            <w:shd w:val="clear" w:color="auto" w:fill="CCEEFF"/>
          </w:tcPr>
          <w:p>
            <w:pPr>
              <w:ind w:left="180"/>
              <w:spacing w:after="0" w:line="192" w:lineRule="exact"/>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201,057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20"/>
                <w:szCs w:val="20"/>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Corporate and</w:t>
            </w:r>
          </w:p>
        </w:tc>
        <w:tc>
          <w:tcPr>
            <w:tcW w:w="160" w:type="dxa"/>
            <w:vAlign w:val="bottom"/>
          </w:tcPr>
          <w:p>
            <w:pPr>
              <w:spacing w:after="0"/>
              <w:rPr>
                <w:sz w:val="20"/>
                <w:szCs w:val="20"/>
                <w:color w:val="auto"/>
              </w:rPr>
            </w:pPr>
          </w:p>
        </w:tc>
        <w:tc>
          <w:tcPr>
            <w:tcW w:w="1380" w:type="dxa"/>
            <w:vAlign w:val="bottom"/>
          </w:tcPr>
          <w:p>
            <w:pPr>
              <w:jc w:val="center"/>
              <w:ind w:right="92"/>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center"/>
              <w:ind w:right="72"/>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9"/>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2022</w:t>
            </w: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985,947</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6,125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1,000,850</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00" w:type="dxa"/>
            <w:vAlign w:val="bottom"/>
          </w:tcPr>
          <w:p>
            <w:pPr>
              <w:ind w:left="280"/>
              <w:spacing w:after="0" w:line="204"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985,947</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1,000,850</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125,882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62,035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187,917</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tcBorders>
              <w:bottom w:val="single" w:sz="8" w:color="CCEEFF"/>
            </w:tcBorders>
            <w:shd w:val="clear" w:color="auto" w:fill="CCEEFF"/>
          </w:tcPr>
          <w:p>
            <w:pPr>
              <w:ind w:left="180"/>
              <w:spacing w:after="0" w:line="192" w:lineRule="exact"/>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371,098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394,250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968,136</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6,084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982,416</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00" w:type="dxa"/>
            <w:vAlign w:val="bottom"/>
          </w:tcPr>
          <w:p>
            <w:pPr>
              <w:ind w:left="280"/>
              <w:spacing w:after="0" w:line="204"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968,136</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982,416</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154,382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108,084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262,466</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tcBorders>
              <w:bottom w:val="single" w:sz="8" w:color="CCEEFF"/>
            </w:tcBorders>
            <w:shd w:val="clear" w:color="auto" w:fill="CCEEFF"/>
          </w:tcPr>
          <w:p>
            <w:pPr>
              <w:ind w:left="180"/>
              <w:spacing w:after="0" w:line="192" w:lineRule="exact"/>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459,727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Income (loss) before income taxes</w:t>
      </w:r>
      <w:r>
        <w:rPr>
          <w:rFonts w:ascii="Arial" w:cs="Arial" w:eastAsia="Arial" w:hAnsi="Arial"/>
          <w:sz w:val="18"/>
          <w:szCs w:val="18"/>
          <w:color w:val="auto"/>
        </w:rPr>
        <w:t xml:space="preserve"> in the Consolidated Statements of Operations to EBITDA: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three months ended</w:t>
            </w:r>
          </w:p>
        </w:tc>
        <w:tc>
          <w:tcPr>
            <w:tcW w:w="180" w:type="dxa"/>
            <w:vAlign w:val="bottom"/>
          </w:tcPr>
          <w:p>
            <w:pPr>
              <w:spacing w:after="0"/>
              <w:rPr>
                <w:sz w:val="17"/>
                <w:szCs w:val="17"/>
                <w:color w:val="auto"/>
              </w:rPr>
            </w:pPr>
          </w:p>
        </w:tc>
        <w:tc>
          <w:tcPr>
            <w:tcW w:w="2420" w:type="dxa"/>
            <w:vAlign w:val="bottom"/>
            <w:gridSpan w:val="4"/>
          </w:tcPr>
          <w:p>
            <w:pPr>
              <w:jc w:val="right"/>
              <w:ind w:right="132"/>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25"/>
        </w:trPr>
        <w:tc>
          <w:tcPr>
            <w:tcW w:w="5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18"/>
        </w:trPr>
        <w:tc>
          <w:tcPr>
            <w:tcW w:w="59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19"/>
        </w:trPr>
        <w:tc>
          <w:tcPr>
            <w:tcW w:w="59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155,886</w:t>
            </w:r>
          </w:p>
        </w:tc>
      </w:tr>
      <w:tr>
        <w:trPr>
          <w:trHeight w:val="225"/>
        </w:trPr>
        <w:tc>
          <w:tcPr>
            <w:tcW w:w="594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(11,189)</w:t>
            </w:r>
          </w:p>
        </w:tc>
      </w:tr>
      <w:tr>
        <w:trPr>
          <w:trHeight w:val="226"/>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 of amounts capitalized</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63,535</w:t>
            </w:r>
          </w:p>
        </w:tc>
      </w:tr>
      <w:tr>
        <w:trPr>
          <w:trHeight w:val="225"/>
        </w:trPr>
        <w:tc>
          <w:tcPr>
            <w:tcW w:w="59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116,555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118,982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248,268</w:t>
            </w:r>
          </w:p>
        </w:tc>
      </w:tr>
      <w:tr>
        <w:trPr>
          <w:trHeight w:val="226"/>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r>
      <w:tr>
        <w:trPr>
          <w:trHeight w:val="218"/>
        </w:trPr>
        <w:tc>
          <w:tcPr>
            <w:tcW w:w="5940" w:type="dxa"/>
            <w:vAlign w:val="bottom"/>
          </w:tcPr>
          <w:p>
            <w:pPr>
              <w:ind w:left="20"/>
              <w:spacing w:after="0" w:line="204" w:lineRule="exact"/>
              <w:rPr>
                <w:sz w:val="20"/>
                <w:szCs w:val="20"/>
                <w:color w:val="auto"/>
              </w:rPr>
            </w:pPr>
            <w:r>
              <w:rPr>
                <w:rFonts w:ascii="Arial" w:cs="Arial" w:eastAsia="Arial" w:hAnsi="Arial"/>
                <w:sz w:val="18"/>
                <w:szCs w:val="18"/>
                <w:color w:val="auto"/>
              </w:rPr>
              <w:t>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141,048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394,250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459,727</w:t>
            </w: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SUPPLEMENTAL FINANCIAL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 Net and Other Non-current Assets,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current assets, net and Other non-current assets, net</w:t>
      </w:r>
      <w:r>
        <w:rPr>
          <w:rFonts w:ascii="Arial" w:cs="Arial" w:eastAsia="Arial" w:hAnsi="Arial"/>
          <w:sz w:val="18"/>
          <w:szCs w:val="18"/>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080" w:type="dxa"/>
            <w:vAlign w:val="bottom"/>
            <w:tcBorders>
              <w:bottom w:val="single" w:sz="8" w:color="auto"/>
            </w:tcBorders>
          </w:tcPr>
          <w:p>
            <w:pPr>
              <w:spacing w:after="0"/>
              <w:rPr>
                <w:sz w:val="20"/>
                <w:szCs w:val="20"/>
                <w:color w:val="auto"/>
              </w:rPr>
            </w:pPr>
          </w:p>
        </w:tc>
      </w:tr>
      <w:tr>
        <w:trPr>
          <w:trHeight w:val="219"/>
        </w:trPr>
        <w:tc>
          <w:tcPr>
            <w:tcW w:w="7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2022</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r>
      <w:tr>
        <w:trPr>
          <w:trHeight w:val="205"/>
        </w:trPr>
        <w:tc>
          <w:tcPr>
            <w:tcW w:w="78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Other current assets, net:</w:t>
            </w: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110,596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103,084</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Prepaids and deposits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57,287</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Trade accounts receivable - DISH Network</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6,411</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4,244</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 - DISH Network</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12,705</w:t>
            </w:r>
          </w:p>
        </w:tc>
      </w:tr>
      <w:tr>
        <w:trPr>
          <w:trHeight w:val="22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21,124</w:t>
            </w:r>
          </w:p>
        </w:tc>
      </w:tr>
      <w:tr>
        <w:trPr>
          <w:trHeight w:val="244"/>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211,877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Capitalized software,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120,421</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124,701</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acquisition costs,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82,986</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Other receivables - DISH Network</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78,275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77,920</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marketable investment securities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13,262</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5,307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5,417</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Contract fulfillment costs,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1,721</w:t>
            </w:r>
          </w:p>
        </w:tc>
      </w:tr>
      <w:tr>
        <w:trPr>
          <w:trHeight w:val="225"/>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31,254</w:t>
            </w:r>
          </w:p>
        </w:tc>
      </w:tr>
      <w:tr>
        <w:trPr>
          <w:trHeight w:val="219"/>
        </w:trPr>
        <w:tc>
          <w:tcPr>
            <w:tcW w:w="7860" w:type="dxa"/>
            <w:vAlign w:val="bottom"/>
          </w:tcPr>
          <w:p>
            <w:pPr>
              <w:ind w:left="460"/>
              <w:spacing w:after="0"/>
              <w:rPr>
                <w:sz w:val="20"/>
                <w:szCs w:val="20"/>
                <w:color w:val="auto"/>
              </w:rPr>
            </w:pPr>
            <w:r>
              <w:rPr>
                <w:rFonts w:ascii="Arial" w:cs="Arial" w:eastAsia="Arial" w:hAnsi="Arial"/>
                <w:sz w:val="18"/>
                <w:szCs w:val="18"/>
                <w:color w:val="auto"/>
              </w:rPr>
              <w:t>Total other non-current assets,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329,564</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338,241</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 and Other Non-Current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liabilities: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2022</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05"/>
        </w:trPr>
        <w:tc>
          <w:tcPr>
            <w:tcW w:w="78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Accrued expenses and other current liabilities:</w:t>
            </w: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52,719</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63,935</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obligation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38,407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39,395</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Accrual for license fee dispute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10,699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 - DISH Network</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64,105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65,912</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195,827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209,442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Accrual for license fee dispute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57,472</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69,484</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56,273</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non-current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122,179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Inventory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7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inventory:</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2022</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19"/>
        </w:trPr>
        <w:tc>
          <w:tcPr>
            <w:tcW w:w="786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21,495</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13,778</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15,078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77,601</w:t>
            </w:r>
          </w:p>
        </w:tc>
        <w:tc>
          <w:tcPr>
            <w:tcW w:w="0" w:type="dxa"/>
            <w:vAlign w:val="bottom"/>
          </w:tcPr>
          <w:p>
            <w:pPr>
              <w:spacing w:after="0"/>
              <w:rPr>
                <w:sz w:val="1"/>
                <w:szCs w:val="1"/>
                <w:color w:val="auto"/>
              </w:rPr>
            </w:pPr>
          </w:p>
        </w:tc>
      </w:tr>
      <w:tr>
        <w:trPr>
          <w:trHeight w:val="218"/>
        </w:trPr>
        <w:tc>
          <w:tcPr>
            <w:tcW w:w="7860" w:type="dxa"/>
            <w:vAlign w:val="bottom"/>
          </w:tcPr>
          <w:p>
            <w:pPr>
              <w:ind w:left="220"/>
              <w:spacing w:after="0" w:line="204" w:lineRule="exact"/>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110,596</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103,084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rPr>
              <w:t>Supplemental and Non-cash Investing and Financing Activities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1"/>
        </w:trPr>
        <w:tc>
          <w:tcPr>
            <w:tcW w:w="7840" w:type="dxa"/>
            <w:vAlign w:val="bottom"/>
          </w:tcPr>
          <w:p>
            <w:pPr>
              <w:spacing w:after="0"/>
              <w:rPr>
                <w:sz w:val="20"/>
                <w:szCs w:val="20"/>
                <w:color w:val="auto"/>
              </w:rPr>
            </w:pPr>
            <w:r>
              <w:rPr>
                <w:rFonts w:ascii="Arial" w:cs="Arial" w:eastAsia="Arial" w:hAnsi="Arial"/>
                <w:sz w:val="18"/>
                <w:szCs w:val="18"/>
                <w:color w:val="auto"/>
              </w:rPr>
              <w:t>The following table presents the supplemental and non-cash investing and financing activities: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5"/>
        </w:trPr>
        <w:tc>
          <w:tcPr>
            <w:tcW w:w="7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8"/>
                <w:szCs w:val="18"/>
                <w:b w:val="1"/>
                <w:bCs w:val="1"/>
                <w:color w:val="auto"/>
                <w:w w:val="99"/>
              </w:rPr>
              <w:t>For the six months ended June 30,</w:t>
            </w:r>
          </w:p>
        </w:tc>
      </w:tr>
      <w:tr>
        <w:trPr>
          <w:trHeight w:val="219"/>
        </w:trPr>
        <w:tc>
          <w:tcPr>
            <w:tcW w:w="78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r>
      <w:tr>
        <w:trPr>
          <w:trHeight w:val="205"/>
        </w:trPr>
        <w:tc>
          <w:tcPr>
            <w:tcW w:w="7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5"/>
        </w:trPr>
        <w:tc>
          <w:tcPr>
            <w:tcW w:w="7840" w:type="dxa"/>
            <w:vAlign w:val="bottom"/>
          </w:tcPr>
          <w:p>
            <w:pPr>
              <w:ind w:left="120"/>
              <w:spacing w:after="0"/>
              <w:rPr>
                <w:sz w:val="20"/>
                <w:szCs w:val="20"/>
                <w:color w:val="auto"/>
              </w:rPr>
            </w:pPr>
            <w:r>
              <w:rPr>
                <w:rFonts w:ascii="Arial" w:cs="Arial" w:eastAsia="Arial" w:hAnsi="Arial"/>
                <w:sz w:val="18"/>
                <w:szCs w:val="18"/>
                <w:color w:val="auto"/>
              </w:rPr>
              <w:t>Cash paid for interest, net of amounts capitalized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60,523</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3"/>
        </w:trPr>
        <w:tc>
          <w:tcPr>
            <w:tcW w:w="7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840" w:type="dxa"/>
            <w:vAlign w:val="bottom"/>
          </w:tcPr>
          <w:p>
            <w:pPr>
              <w:ind w:left="120"/>
              <w:spacing w:after="0"/>
              <w:rPr>
                <w:sz w:val="20"/>
                <w:szCs w:val="20"/>
                <w:color w:val="auto"/>
              </w:rPr>
            </w:pPr>
            <w:r>
              <w:rPr>
                <w:rFonts w:ascii="Arial" w:cs="Arial" w:eastAsia="Arial" w:hAnsi="Arial"/>
                <w:sz w:val="18"/>
                <w:szCs w:val="18"/>
                <w:color w:val="auto"/>
              </w:rPr>
              <w:t>Employee benefits paid in Class A common stock</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3"/>
        </w:trPr>
        <w:tc>
          <w:tcPr>
            <w:tcW w:w="7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Increase (decrease) in capital expenditures included in accounts payable,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840" w:type="dxa"/>
            <w:vAlign w:val="bottom"/>
          </w:tcPr>
          <w:p>
            <w:pPr>
              <w:ind w:left="120"/>
              <w:spacing w:after="0" w:line="198" w:lineRule="exact"/>
              <w:rPr>
                <w:sz w:val="20"/>
                <w:szCs w:val="20"/>
                <w:color w:val="auto"/>
              </w:rPr>
            </w:pPr>
            <w:r>
              <w:rPr>
                <w:rFonts w:ascii="Arial" w:cs="Arial" w:eastAsia="Arial" w:hAnsi="Arial"/>
                <w:sz w:val="18"/>
                <w:szCs w:val="18"/>
                <w:color w:val="auto"/>
              </w:rPr>
              <w:t>Non-cash net assets received as part of the India JV formation</w:t>
            </w:r>
          </w:p>
        </w:tc>
        <w:tc>
          <w:tcPr>
            <w:tcW w:w="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36,701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Unless the context indicates otherwise, the terms “we,” “us,” “EchoStar,” the “Company” and “our” refer to EchoStar Corporation and its subsidiaries. The following Management’s Discussion and Analysis of our Financial Condition and Results of Operations (“Management’s Discussion and Analysis”) should be read in conjunction with our accompanying Consolidated Financial Statements and notes thereto (“Consolidated Financial Statements”) in Item 1 of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Refer to the Disclosure Regarding Forward-Looking Statements in this Form 10-Q for further discussion. For a discussion of additional risks, uncertainties and other factors that could impact our results of operations or financial condition, refer to the Risk Factors in Part II, Item 1A of this Form 10-Q and in Part I, Item 1A of our most recent Annual Report on Form 10-K (“Form 10-K”) filed with the Securities and Exchange Commission (“SEC”). Further, such forward-looking statements speak only as of the date of this Form 10-Q and we undertake no obligation to update them.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an industry leader in both networking technologies and services, innovating to deliver the global solutions that power a connected future for people, enterprises and things everywhere. We provide broadband satellite technologies and broadband internet products and services for consumer customers, which include home and small to medium-sized businesses, satellite services and solutions for enterprise customers, which include aeronautical and government enterprises.</w:t>
      </w: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currently operate in two business segments: Hughes segment and EchoStar Satellite Services segment (“ESS segment”). These segments are consistent with the way we make decisions regarding the allocation of resources, as well as how operating results are reviewed by our chief operating decision maker, who is the Company’s Chief Executive Officer.</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operations include various corporate functions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our Corporate and Other segment in our segment reporting.</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amounts presented in this Management’s Discussion and Analysis, unless otherwise noted, are expressed in thousands of U.S. dollars, except share and per share amounts and unless otherwise noted.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Three Months Ended June 30, 2022:</w:t>
      </w:r>
    </w:p>
    <w:p>
      <w:pPr>
        <w:spacing w:after="0" w:line="266" w:lineRule="exact"/>
        <w:rPr>
          <w:sz w:val="20"/>
          <w:szCs w:val="20"/>
          <w:color w:val="auto"/>
        </w:rPr>
      </w:pPr>
    </w:p>
    <w:p>
      <w:pPr>
        <w:ind w:left="660" w:hanging="3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of $499.3 million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of $45.9 million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of $10.5 million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Net income attributable to EchoStar common stock of $13.9 million and basic and diluted earnings per share of common stock of $0.16</w:t>
      </w:r>
    </w:p>
    <w:p>
      <w:pPr>
        <w:spacing w:after="0" w:line="96" w:lineRule="exact"/>
        <w:rPr>
          <w:rFonts w:ascii="Arial" w:cs="Arial" w:eastAsia="Arial" w:hAnsi="Arial"/>
          <w:sz w:val="17"/>
          <w:szCs w:val="17"/>
          <w:color w:val="auto"/>
        </w:rPr>
      </w:pPr>
    </w:p>
    <w:p>
      <w:pPr>
        <w:ind w:left="640" w:hanging="316"/>
        <w:spacing w:after="0" w:line="251"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and net income (loss) attributable to non-controlling interests (“EBITDA”) of $141.0 million (see reconciliation of this non-GAAP measure in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June 30, 2022:</w:t>
      </w:r>
    </w:p>
    <w:p>
      <w:pPr>
        <w:spacing w:after="0" w:line="266"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assets of $6.1 billion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liabilities of $2.6 billion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stockholders’ equity of $3.5 billion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and cash equivalents and marketable investment securities of $1.5 billion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Hughes segment is an industry leader in both networking technologies and services, innovating to deliver the global solutions that power a connected future for people, enterprises and things everywhere. We provide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Hughes segment incorporates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Hughes segment continues to focus its efforts on optimizing financial returns of our existing satellites while planning for new satellite capacity to be launched, leased or acquired. In addition, we are also providing wireline and wireless capacity to utilize in markets that include residential, community WiFi, backhaul, and other enterprise broadband and multi-transport services. Our consumer revenue growth depends on our success in adding new and retaining existing subscribers, as well as increasing our Average Revenue Per User/subscriber (“ARPU”). Service and acquisition costs related to ongoing support for our direct and indirect customers and partners are typically impacted most significantly by our growth. The growth of our enterprise and consumer businesses relies heavily on global economic conditions and the competitive landscape for pricing relative to competitors and alternative technologies.</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Hughes segment currently uses capacity from our owned and leased satellites, including additional satellite capacity leased from third-party providers to provide services to our customers. We also use other multi-transport capacity that includes cable, fiber, 5G, and 4G/LTE. In most areas of the U.S. we are nearing or have reached capacity, which has resulted in our consumer subscriber base becoming increasingly limited. Our Latin America consumer subscriber base in certain areas has also become capacity constrained. These constraints are expected to be addressed by the launch of the EchoStar XXIV satellite.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experienced a material adverse impact from the Russia-Ukraine conflict and the associated sanctions.</w:t>
      </w:r>
    </w:p>
    <w:p>
      <w:pPr>
        <w:spacing w:after="0" w:line="24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May 2019, we entered into an agreement with Bharti Airtel Limited (“BAL”) and its subsidiary, Bharti Airtel Services Limited (together with BAL, “Bharti”), pursuant to which Bharti agreed to contribute its very small aperture terminal (“VSAT”) telecommunications services and hardware business in India to Hughes Communications India Private Limited (“HCIPL”) and its subsidiaries, our less than wholly owned Indian subsidiaries, that conduct our VSAT services and hardware business in India. On January 4, 2022, this joint venture was formed (the “India JV”) and subsequent to the formation of the India JV, we hold a 67% ownership interest and Bharti holds a 33% ownership interest in HCIPL. The India JV combines the VSAT businesses of both companies to offer flexible and scalable enterprise networking solutions using satellite connectivity for primary transport, back-up and hybrid implementation in India.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August 2017, we entered into a long-term contract for the design and construction of the EchoStar XXIV satellite, a new, next-generation, high throughput geostationary satellite. The EchoStar XXIV satellite is primarily intended to provide additional capacity for our HughesNet satellite internet service (the “HughesNet service”) in North, Central and South America as well as enterprise broadband services. The EchoStar XXIV satellite is expected to be launched in the first half of 2023. Further delays or impediments could have a material adverse impact on our business operations, future revenues, financial position and prospects, and our planned expansion of satellite broadband services throughout North, South and Central America. In December 2020, we entered into an agreement with a launch provider for the launch of EchoStar XXIV. Capital expenditures associated with the construction and launch of the EchoStar XXIV satellite are included in our Corporate and Other segment in our segment reporting.</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broadband subscribers include customers that subscribe to our HughesNet services in the U.S. and Latin America through retail, wholesale and small/medium enterprise service channels.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80" w:type="dxa"/>
            <w:vAlign w:val="bottom"/>
          </w:tcPr>
          <w:p>
            <w:pPr>
              <w:spacing w:after="0"/>
              <w:rPr>
                <w:sz w:val="20"/>
                <w:szCs w:val="20"/>
                <w:color w:val="auto"/>
              </w:rPr>
            </w:pPr>
            <w:r>
              <w:rPr>
                <w:rFonts w:ascii="Arial" w:cs="Arial" w:eastAsia="Arial" w:hAnsi="Arial"/>
                <w:sz w:val="18"/>
                <w:szCs w:val="18"/>
                <w:color w:val="auto"/>
              </w:rPr>
              <w:t>The following table presents our approximate number of broadband subscribers: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1"/>
        </w:trPr>
        <w:tc>
          <w:tcPr>
            <w:tcW w:w="7880" w:type="dxa"/>
            <w:vAlign w:val="bottom"/>
          </w:tcPr>
          <w:p>
            <w:pPr>
              <w:spacing w:after="0"/>
              <w:rPr>
                <w:sz w:val="24"/>
                <w:szCs w:val="24"/>
                <w:color w:val="auto"/>
              </w:rPr>
            </w:pPr>
          </w:p>
        </w:tc>
        <w:tc>
          <w:tcPr>
            <w:tcW w:w="1900" w:type="dxa"/>
            <w:vAlign w:val="bottom"/>
            <w:tcBorders>
              <w:bottom w:val="single" w:sz="8" w:color="auto"/>
            </w:tcBorders>
            <w:gridSpan w:val="3"/>
          </w:tcPr>
          <w:p>
            <w:pPr>
              <w:ind w:left="1460"/>
              <w:spacing w:after="0"/>
              <w:rPr>
                <w:sz w:val="20"/>
                <w:szCs w:val="20"/>
                <w:color w:val="auto"/>
              </w:rPr>
            </w:pPr>
            <w:r>
              <w:rPr>
                <w:rFonts w:ascii="Arial" w:cs="Arial" w:eastAsia="Arial" w:hAnsi="Arial"/>
                <w:sz w:val="18"/>
                <w:szCs w:val="18"/>
                <w:b w:val="1"/>
                <w:bCs w:val="1"/>
                <w:color w:val="auto"/>
                <w:w w:val="93"/>
              </w:rPr>
              <w:t>As of</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80" w:type="dxa"/>
            <w:vAlign w:val="bottom"/>
          </w:tcPr>
          <w:p>
            <w:pPr>
              <w:spacing w:after="0"/>
              <w:rPr>
                <w:sz w:val="19"/>
                <w:szCs w:val="19"/>
                <w:color w:val="auto"/>
              </w:rPr>
            </w:pPr>
          </w:p>
        </w:tc>
        <w:tc>
          <w:tcPr>
            <w:tcW w:w="1900" w:type="dxa"/>
            <w:vAlign w:val="bottom"/>
            <w:gridSpan w:val="3"/>
          </w:tcPr>
          <w:p>
            <w:pPr>
              <w:ind w:left="240"/>
              <w:spacing w:after="0"/>
              <w:rPr>
                <w:sz w:val="20"/>
                <w:szCs w:val="20"/>
                <w:color w:val="auto"/>
              </w:rPr>
            </w:pPr>
            <w:r>
              <w:rPr>
                <w:rFonts w:ascii="Arial" w:cs="Arial" w:eastAsia="Arial" w:hAnsi="Arial"/>
                <w:sz w:val="18"/>
                <w:szCs w:val="18"/>
                <w:b w:val="1"/>
                <w:bCs w:val="1"/>
                <w:color w:val="auto"/>
              </w:rPr>
              <w:t>June 30, 2022</w:t>
            </w:r>
          </w:p>
        </w:tc>
        <w:tc>
          <w:tcPr>
            <w:tcW w:w="1460" w:type="dxa"/>
            <w:vAlign w:val="bottom"/>
          </w:tcPr>
          <w:p>
            <w:pPr>
              <w:jc w:val="right"/>
              <w:ind w:right="92"/>
              <w:spacing w:after="0"/>
              <w:rPr>
                <w:sz w:val="20"/>
                <w:szCs w:val="20"/>
                <w:color w:val="auto"/>
              </w:rPr>
            </w:pPr>
            <w:r>
              <w:rPr>
                <w:rFonts w:ascii="Arial" w:cs="Arial" w:eastAsia="Arial" w:hAnsi="Arial"/>
                <w:sz w:val="18"/>
                <w:szCs w:val="18"/>
                <w:b w:val="1"/>
                <w:bCs w:val="1"/>
                <w:color w:val="auto"/>
                <w:w w:val="98"/>
              </w:rPr>
              <w:t>March 31, 2022</w:t>
            </w:r>
          </w:p>
        </w:tc>
        <w:tc>
          <w:tcPr>
            <w:tcW w:w="0" w:type="dxa"/>
            <w:vAlign w:val="bottom"/>
          </w:tcPr>
          <w:p>
            <w:pPr>
              <w:spacing w:after="0"/>
              <w:rPr>
                <w:sz w:val="1"/>
                <w:szCs w:val="1"/>
                <w:color w:val="auto"/>
              </w:rPr>
            </w:pPr>
          </w:p>
        </w:tc>
      </w:tr>
      <w:tr>
        <w:trPr>
          <w:trHeight w:val="218"/>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1,055,000</w:t>
            </w:r>
          </w:p>
        </w:tc>
        <w:tc>
          <w:tcPr>
            <w:tcW w:w="0" w:type="dxa"/>
            <w:vAlign w:val="bottom"/>
          </w:tcPr>
          <w:p>
            <w:pPr>
              <w:spacing w:after="0"/>
              <w:rPr>
                <w:sz w:val="1"/>
                <w:szCs w:val="1"/>
                <w:color w:val="auto"/>
              </w:rPr>
            </w:pPr>
          </w:p>
        </w:tc>
      </w:tr>
      <w:tr>
        <w:trPr>
          <w:trHeight w:val="225"/>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351,000</w:t>
            </w: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broadband subscribers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1,406,000</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approximate number of net subscriber additions:</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78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7880" w:type="dxa"/>
            <w:vAlign w:val="bottom"/>
          </w:tcPr>
          <w:p>
            <w:pPr>
              <w:spacing w:after="0"/>
              <w:rPr>
                <w:sz w:val="24"/>
                <w:szCs w:val="24"/>
                <w:color w:val="auto"/>
              </w:rPr>
            </w:pPr>
          </w:p>
        </w:tc>
        <w:tc>
          <w:tcPr>
            <w:tcW w:w="33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19"/>
        </w:trPr>
        <w:tc>
          <w:tcPr>
            <w:tcW w:w="7880" w:type="dxa"/>
            <w:vAlign w:val="bottom"/>
          </w:tcPr>
          <w:p>
            <w:pPr>
              <w:spacing w:after="0"/>
              <w:rPr>
                <w:sz w:val="19"/>
                <w:szCs w:val="19"/>
                <w:color w:val="auto"/>
              </w:rPr>
            </w:pPr>
          </w:p>
        </w:tc>
        <w:tc>
          <w:tcPr>
            <w:tcW w:w="1900" w:type="dxa"/>
            <w:vAlign w:val="bottom"/>
            <w:gridSpan w:val="3"/>
          </w:tcPr>
          <w:p>
            <w:pPr>
              <w:ind w:left="240"/>
              <w:spacing w:after="0"/>
              <w:rPr>
                <w:sz w:val="20"/>
                <w:szCs w:val="20"/>
                <w:color w:val="auto"/>
              </w:rPr>
            </w:pPr>
            <w:r>
              <w:rPr>
                <w:rFonts w:ascii="Arial" w:cs="Arial" w:eastAsia="Arial" w:hAnsi="Arial"/>
                <w:sz w:val="18"/>
                <w:szCs w:val="18"/>
                <w:b w:val="1"/>
                <w:bCs w:val="1"/>
                <w:color w:val="auto"/>
              </w:rPr>
              <w:t>June 30, 2022</w:t>
            </w:r>
          </w:p>
        </w:tc>
        <w:tc>
          <w:tcPr>
            <w:tcW w:w="1460" w:type="dxa"/>
            <w:vAlign w:val="bottom"/>
          </w:tcPr>
          <w:p>
            <w:pPr>
              <w:jc w:val="right"/>
              <w:ind w:right="92"/>
              <w:spacing w:after="0"/>
              <w:rPr>
                <w:sz w:val="20"/>
                <w:szCs w:val="20"/>
                <w:color w:val="auto"/>
              </w:rPr>
            </w:pPr>
            <w:r>
              <w:rPr>
                <w:rFonts w:ascii="Arial" w:cs="Arial" w:eastAsia="Arial" w:hAnsi="Arial"/>
                <w:sz w:val="18"/>
                <w:szCs w:val="18"/>
                <w:b w:val="1"/>
                <w:bCs w:val="1"/>
                <w:color w:val="auto"/>
                <w:w w:val="98"/>
              </w:rPr>
              <w:t>March 31, 2022</w:t>
            </w:r>
          </w:p>
        </w:tc>
        <w:tc>
          <w:tcPr>
            <w:tcW w:w="0" w:type="dxa"/>
            <w:vAlign w:val="bottom"/>
          </w:tcPr>
          <w:p>
            <w:pPr>
              <w:spacing w:after="0"/>
              <w:rPr>
                <w:sz w:val="1"/>
                <w:szCs w:val="1"/>
                <w:color w:val="auto"/>
              </w:rPr>
            </w:pPr>
          </w:p>
        </w:tc>
      </w:tr>
      <w:tr>
        <w:trPr>
          <w:trHeight w:val="218"/>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25"/>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subscriber additions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Our current capacity limitations have resulted in constraints in adding new subscribers in certain areas. Our ability to retain existing customers is being impacted by our capacity limitations as well as competitive pressure from competitors and other technologies. Challenges in meeting demand for the three months ended June 30, 2022, resulted in higher churn and lower total subscribers despite higher new subscriber additions as compared to the three months ended March 31, 2022.</w:t>
      </w:r>
    </w:p>
    <w:p>
      <w:pPr>
        <w:spacing w:after="0" w:line="21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Our Latin America consumer subscriber base in certain areas, similar to the U.S., continues to be capacity constrained. Our ability to retain existing customers is being impacted by adverse economic conditions in many areas of Latin America and capacity constraints limit our ability to add new subscribers. For the three months ended June 30, 2022, the lower net subscribers were due to lower gross additions primarily from more selective customer screening and continued high churn as compared to the three months ended March 31,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continued to execute our strategy of maximizing financial returns by utilizing capacity for applications other than consumer subscribers,</w:t>
      </w:r>
    </w:p>
    <w:p>
      <w:pPr>
        <w:spacing w:after="0" w:line="1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such as community WiFi, and for other enterprise and government opportunities in Latin America. Continued success of this strategy will further reduce the available capacity for consumer subscribers.</w:t>
      </w:r>
    </w:p>
    <w:p>
      <w:pPr>
        <w:spacing w:after="0" w:line="21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As of June 30, 2022, our Hughes segment had $1.6 billion of contracted revenue backlog, an increase of 15.3%, as compared to December 31, 2021, primarily due to an increase in contracts from our domestic and international customers. We define Hughes segment contracted revenue backlog as our expected future revenue under enterprise customer contracts that are non-cancelable, including lease revenue.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June 30, 2022, our ESS segment had $16.8 million of contracted revenue backlog, an increase of 61.7%, as compared to December 31, 2021, primarily due to an increase in satellite service contracts with new and existing customers. We define contracted revenue backlog for our ESS segment as contracted future satellite lease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industry continues to evolve with the increasing worldwide demand for broadband internet access for information, entertainment and commerce. In addition to fiber and wireless systems, technologies such as geostationary high throughput satellites, low-earth orbit (“LEO”) networks, medium-earth orbit (“MEO”) systems and multi-transport networks using combinations of technologies are expected to continue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satellite and other technologies, markets and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S-Band Strategy</w:t>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continue to explore the development and deployment of S-band technologies that we expect will reduce the cost of satellite communications for internet-of-things, machine-to-machine communications, public protection, disaster relief and other end-to-end services worldwide and the integration of our products and services into new global, hybrid networks that leverage multiple satellites and terrestrial technologies. We believe we remain in a unique position to develop a hybrid mobile satellite service (“MSS”) and complementary ground component (“CGC”) network in Europe, including through the use of our EchoStar XXI satellite, which was placed into service in November 2017, and the EUTELSAT 10A payload. In addition, we hold additional S-band MSS and terrestrial licenses in Mexico and Chile.</w:t>
      </w:r>
    </w:p>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positioned ourselves to continue to develop the S-band spectrum globally by acquiring Sirion Global Pty Ltd., which we have renamed EchoStar Global Australia Pty Ltd (“EchoStar Global”) which holds global S-band non-geostationary satellite spectrum rights for MSS. We have completed the process of fulfilling the remaining requirements under the International Telecommunication Union (“ITU”) Radio Regulations of bringing the Australian filing into use. The nano-satellite we launched in the second quarter of 2021 is now being used to develop and test a wide range of potential S-band applications and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52"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We and the third parties with whom we do business face a constantly evolving and increasingly complex landscape of systemic cybersecurity risk in which hackers and other parties use multifaceted tactics, techniques, and procedures to execute cyberattacks and leverage security breaches and vulnerabilities. Our efforts in mitigating these risks through our cybersecurity program cannot eliminate all cybersecurity risk, including the risk of events that cascade through multiple internal networks or systems, or to one or more suppliers or customers. Disturbances in our systems caused by cyberattacks, including attacks on our third-party contractors and suppliers, could materially harm our ability to conduct our operations and may result in losses that could have a material adverse effect on our financial position. This may also create adverse consequences for our suppliers, third-party service providers, customers, and other third parties that we interact with on a regular basis. In addition, these types of security events could be widely publicized and could materially and adversely affect our reputation with our customers, vendors and shareholders and could harm our competitive position. Such incidents could also result in the release of confidential information about our operations, financial position and performance or about our customers or other third parties which could result in legal claims, fines, or liabilities that may not be covered by our insurance policies and could be material. Additionally, a security compromise or ransomware incident could require us to allocate significant management resources to recovery and mitigation and compel us to expend substantial additional resources to upgrade security measures to continue to protect our confidential information against cyberattacks.</w:t>
      </w:r>
    </w:p>
    <w:p>
      <w:pPr>
        <w:spacing w:after="0" w:line="21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addition to our efforts to mitigate cybersecurity risk within our business, we are making investments to alleviate potential cybersecurity risk to our products. As a result of these efforts, we could discover new vulnerabilities within our products and systems. We may not discover all such vulnerabilities due to the scale of activities on our platforms, or due to other factors, including factors outside our control.</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three and six months ended June 30, 2022.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2022 Compared to the Three Months Ended June 30, 2021</w:t>
      </w: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 presents our consolidated results of operations for the three months ended June 30, 2022 compared to the three months ended June 30,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 June 30,</w:t>
            </w:r>
          </w:p>
        </w:tc>
        <w:tc>
          <w:tcPr>
            <w:tcW w:w="280" w:type="dxa"/>
            <w:vAlign w:val="bottom"/>
          </w:tcPr>
          <w:p>
            <w:pPr>
              <w:spacing w:after="0"/>
              <w:rPr>
                <w:sz w:val="20"/>
                <w:szCs w:val="20"/>
                <w:color w:val="auto"/>
              </w:rPr>
            </w:pPr>
          </w:p>
        </w:tc>
        <w:tc>
          <w:tcPr>
            <w:tcW w:w="1780" w:type="dxa"/>
            <w:vAlign w:val="bottom"/>
            <w:gridSpan w:val="3"/>
          </w:tcPr>
          <w:p>
            <w:pPr>
              <w:ind w:left="920"/>
              <w:spacing w:after="0"/>
              <w:rPr>
                <w:sz w:val="20"/>
                <w:szCs w:val="20"/>
                <w:color w:val="auto"/>
              </w:rPr>
            </w:pPr>
            <w:r>
              <w:rPr>
                <w:rFonts w:ascii="Arial" w:cs="Arial" w:eastAsia="Arial" w:hAnsi="Arial"/>
                <w:sz w:val="16"/>
                <w:szCs w:val="16"/>
                <w:b w:val="1"/>
                <w:bCs w:val="1"/>
                <w:color w:val="auto"/>
              </w:rPr>
              <w:t>Variance</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700" w:type="dxa"/>
            <w:vAlign w:val="bottom"/>
            <w:gridSpan w:val="2"/>
          </w:tcPr>
          <w:p>
            <w:pPr>
              <w:ind w:left="20"/>
              <w:spacing w:after="0" w:line="220" w:lineRule="exact"/>
              <w:rPr>
                <w:sz w:val="20"/>
                <w:szCs w:val="20"/>
                <w:color w:val="auto"/>
              </w:rPr>
            </w:pPr>
            <w:r>
              <w:rPr>
                <w:rFonts w:ascii="Arial" w:cs="Arial" w:eastAsia="Arial" w:hAnsi="Arial"/>
                <w:sz w:val="16"/>
                <w:szCs w:val="16"/>
                <w:b w:val="1"/>
                <w:bCs w:val="1"/>
                <w:color w:val="auto"/>
              </w:rPr>
              <w:t xml:space="preserve">Statements of Operations Data </w:t>
            </w:r>
            <w:r>
              <w:rPr>
                <w:rFonts w:ascii="Arial" w:cs="Arial" w:eastAsia="Arial" w:hAnsi="Arial"/>
                <w:sz w:val="20"/>
                <w:szCs w:val="20"/>
                <w:b w:val="1"/>
                <w:bCs w:val="1"/>
                <w:color w:val="auto"/>
                <w:vertAlign w:val="superscript"/>
              </w:rPr>
              <w:t>(1)</w:t>
            </w: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54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4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top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5"/>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414,697</w:t>
            </w:r>
          </w:p>
        </w:tc>
        <w:tc>
          <w:tcPr>
            <w:tcW w:w="100" w:type="dxa"/>
            <w:vAlign w:val="bottom"/>
          </w:tcPr>
          <w:p>
            <w:pPr>
              <w:spacing w:after="0"/>
              <w:rPr>
                <w:sz w:val="18"/>
                <w:szCs w:val="18"/>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431,279</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(16,582)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84,619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68,555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16,064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499,316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499,834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4"/>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14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144,235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139,547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4,688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services and other revenue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34.8 %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32.4 %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14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70,054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54,503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15,551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equipment revenue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82.8 %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113,091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114,038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revenue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22.6 %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8,764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7,441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revenue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116,555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118,982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Impairment of long-lived assets</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453,410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434,526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18,884</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8"/>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45,906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65,308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(19,402)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192"/>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9,072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5,240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140" w:type="dxa"/>
            <w:vAlign w:val="bottom"/>
          </w:tcPr>
          <w:p>
            <w:pPr>
              <w:spacing w:after="0"/>
              <w:rPr>
                <w:sz w:val="18"/>
                <w:szCs w:val="18"/>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(14,307)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(28,868)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14,561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Gains (losses) on investments, net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(22,538)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30,633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(53,171)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Equity in earnings (losses) of unconsolidated affiliates, net</w:t>
            </w:r>
          </w:p>
        </w:tc>
        <w:tc>
          <w:tcPr>
            <w:tcW w:w="140" w:type="dxa"/>
            <w:vAlign w:val="bottom"/>
          </w:tcPr>
          <w:p>
            <w:pPr>
              <w:spacing w:after="0"/>
              <w:rPr>
                <w:sz w:val="18"/>
                <w:szCs w:val="18"/>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(4,044)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2,743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(3,642)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(12,767)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(30,043)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(9,141)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Pr>
          <w:p>
            <w:pPr>
              <w:spacing w:after="0"/>
              <w:rPr>
                <w:sz w:val="17"/>
                <w:szCs w:val="17"/>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15,863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56,167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(40,304)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 benefit (provision), net</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(5,390)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(21,152)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7"/>
                <w:szCs w:val="17"/>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10,473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35,015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(24,542)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177"/>
        </w:trPr>
        <w:tc>
          <w:tcPr>
            <w:tcW w:w="4700" w:type="dxa"/>
            <w:vAlign w:val="bottom"/>
            <w:gridSpan w:val="2"/>
            <w:shd w:val="clear" w:color="auto" w:fill="CCEEFF"/>
          </w:tcPr>
          <w:p>
            <w:pPr>
              <w:ind w:left="240"/>
              <w:spacing w:after="0" w:line="177" w:lineRule="exact"/>
              <w:rPr>
                <w:sz w:val="20"/>
                <w:szCs w:val="20"/>
                <w:color w:val="auto"/>
              </w:rPr>
            </w:pPr>
            <w:r>
              <w:rPr>
                <w:rFonts w:ascii="Arial" w:cs="Arial" w:eastAsia="Arial" w:hAnsi="Arial"/>
                <w:sz w:val="16"/>
                <w:szCs w:val="16"/>
                <w:color w:val="auto"/>
              </w:rPr>
              <w:t>Less: Net loss (income) attributable to non-controlling</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interests</w:t>
            </w: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3,395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2,280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154"/>
        </w:trPr>
        <w:tc>
          <w:tcPr>
            <w:tcW w:w="470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Net income (loss) attributable to EchoStar Corporation common</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500" w:type="dxa"/>
            <w:vAlign w:val="bottom"/>
            <w:vMerge w:val="restart"/>
          </w:tcPr>
          <w:p>
            <w:pPr>
              <w:jc w:val="right"/>
              <w:ind w:right="120"/>
              <w:spacing w:after="0"/>
              <w:rPr>
                <w:sz w:val="20"/>
                <w:szCs w:val="20"/>
                <w:color w:val="auto"/>
              </w:rPr>
            </w:pPr>
            <w:r>
              <w:rPr>
                <w:rFonts w:ascii="Arial" w:cs="Arial" w:eastAsia="Arial" w:hAnsi="Arial"/>
                <w:sz w:val="16"/>
                <w:szCs w:val="16"/>
                <w:color w:val="auto"/>
              </w:rPr>
              <w:t>13,868</w:t>
            </w:r>
          </w:p>
        </w:tc>
        <w:tc>
          <w:tcPr>
            <w:tcW w:w="100" w:type="dxa"/>
            <w:vAlign w:val="bottom"/>
          </w:tcPr>
          <w:p>
            <w:pPr>
              <w:spacing w:after="0"/>
              <w:rPr>
                <w:sz w:val="13"/>
                <w:szCs w:val="13"/>
                <w:color w:val="auto"/>
              </w:rPr>
            </w:pPr>
          </w:p>
        </w:tc>
        <w:tc>
          <w:tcPr>
            <w:tcW w:w="360" w:type="dxa"/>
            <w:vAlign w:val="bottom"/>
            <w:vMerge w:val="restart"/>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20"/>
              <w:spacing w:after="0"/>
              <w:rPr>
                <w:sz w:val="20"/>
                <w:szCs w:val="20"/>
                <w:color w:val="auto"/>
              </w:rPr>
            </w:pPr>
            <w:r>
              <w:rPr>
                <w:rFonts w:ascii="Arial" w:cs="Arial" w:eastAsia="Arial" w:hAnsi="Arial"/>
                <w:sz w:val="16"/>
                <w:szCs w:val="16"/>
                <w:color w:val="auto"/>
              </w:rPr>
              <w:t>37,295</w:t>
            </w:r>
          </w:p>
        </w:tc>
        <w:tc>
          <w:tcPr>
            <w:tcW w:w="10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(23,427)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70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stock</w:t>
            </w:r>
          </w:p>
        </w:tc>
        <w:tc>
          <w:tcPr>
            <w:tcW w:w="14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line="171" w:lineRule="exact"/>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220"/>
              <w:spacing w:after="0" w:line="212"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0"/>
                <w:szCs w:val="20"/>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141,048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201,057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Subscribers, end of period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1,346,000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1,542,000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(196,000)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220" w:hanging="214"/>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Percentage is not meaningful.</w:t>
      </w:r>
    </w:p>
    <w:p>
      <w:pPr>
        <w:ind w:left="320" w:hanging="314"/>
        <w:spacing w:after="0" w:line="237" w:lineRule="auto"/>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 explanation of our key metrics is included in Explanation of Key Metrics and Other Items.</w:t>
      </w:r>
    </w:p>
    <w:p>
      <w:pPr>
        <w:ind w:left="320" w:hanging="314"/>
        <w:spacing w:after="0" w:line="250" w:lineRule="auto"/>
        <w:tabs>
          <w:tab w:leader="none" w:pos="403"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U.S. GAAP measure in our Consolidated Financial Statements, is included in Results of Operations. For further information on our use of EBITDA, see Explanation of Key Metrics and Other Items.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results of operations for the three months ended June 30, 2022 and 2021.</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$414.7 million for the three months ended June 30, 2022,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$16.6 million, or 3.8%, as compared to 2021. The decrease was primarily attributable to our Hughes segment related to lower sales of broadband services to our consumer customers of $21.1 million due to lower broadband consumer customers, partially offset by higher sales of broadband services to our enterprise customers of $3.7 million and to our mobile satellite system and other customers of $0.9 million. These variances reflect the negative impact of exchange rate fluctuations of $0.4 million, primarily attributable to our enterprise customers, partially offset by our consumer customers.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totaled $84.6 million for the three months ended June 30, 2022, an increase of $16.1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23.4%, as compared to 2021. The increase was primarily attributable to increases in hardware sales of $18.8 million to our enterprise customers mainly associated with a certain customer in North America and to international customers, partially offset by decreases in hardware sales of $2.6 million to our consumer customers.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$144.2 million for the three months ended June 30, 2022,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$4.7 million, or 3.4%, as compared to 2021. The increase was primarily attributable to increases in costs provided to our consumer and enterprise customers, mainly related to service delivery expenses.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$70.1 million for the three months ended June 30, 2022,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$15.6 million, or 28.5%, as compared to 2021. The increase was primarily attributable to the corresponding increase in equipment revenue, an increase in hardware and installation support costs and change in product mix.</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$113.1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2022, a decrease of $0.9 million, or 0.8%, as compared to 2021. The decrease was primarily attributable to decreases in: i) sales and marketing expenses of $2.1 million and ii) legal expenses of $2.1 million, offset by increases in: i) bad debt expense of $2.4 million and ii) other general and administrative expenses of $1.0 million.</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totaled $116.6 million for the three months ended June 30, 2022,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$2.4 million, or 2.0%, as compared to 2021. The decrease was primarily attributable to decreases in other property and equipment depreciation expense of $4.3 million and decreases in amortization of intangibles of $0.6 million, partially offset by increases in amortization of our capitalized software of $1.6 million.</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$9.1 million for the three months ended June 30, 2022, an increase of $3.8 million, or 73.1%,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2021, primarily attributable to increases in the yield on our marketable investment securities.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$14.3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2022, a decrease of $14.6 million, or 50.4%, as compared to 2021. The decrease was primarily attributable to a decrease of $13.0 million in interest expense and the amortization of deferred financing cost as a result of the repurchases and maturity of our 7 5/8% Senior Unsecured Notes due 2021 and an increase of $1.2 million in capitalized interest relating to the EchoStar XXIV satellite program.</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$22.5 million in losses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compared to $30.6 million in gains for the three months ended June 30, 2021, a negative change of $53.2 million. The change was related to net increased losses on marketable investment securities and other equity securities of $50.8 million.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$1.3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losses for the three months ended June 30, 2022, as compared to $4.0 million in losses for the three months ended June 30, 2021, a positive change of $2.7 million. The change was related to net decreased losses from our investments in our equity method investees.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$3.6 million in losses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2022, as compared to $0.7 million in gains for the three months ended June 30, 2021, a negative change of $4.3 million. The change was due to the net impact of foreign exchange rate fluctuations of certain foreign currencies during the quarter, primarily related to Latin American currencies and the Indian Rupee.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totaled $2.7 million in gains for the three months ended June 30, 2022, as compared to $12.8 million in losses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2021, a positive change of $15.4 million. The change was primarily attributable to a litigation expense of $16.8 million in 2021.</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$(5.4) million for the three months ended June 30,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$(21.2) million for the three months ended June 30, 2021. Our effective income tax rate was 34.0% and 37.7% for the three months ended June 30, 2022 and 2021, respectively. The variations in our effective tax rate from the U.S. federal statutory rate for the three months ended June 30, 2022 were primarily due to excluded foreign losses where the Company carries a full valuation allowance and the impact of filing a U.S. Federal amended return. The variations in our effective tax rate from the U.S. federal statutory rate for the three months ended June 30, 2021 were primarily due to excluded foreign losses where the Company carries a full valuation allowance and the impact of state and local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income (loss) attributable to EchoStar Corporation common stock. </w:t>
      </w:r>
      <w:r>
        <w:rPr>
          <w:rFonts w:ascii="Arial" w:cs="Arial" w:eastAsia="Arial" w:hAnsi="Arial"/>
          <w:sz w:val="18"/>
          <w:szCs w:val="18"/>
          <w:color w:val="auto"/>
        </w:rPr>
        <w:t>The following table reconciles the change in Net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EchoStar Corporation common stock: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1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June 30,2021</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37,295</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income tax benefit (provision),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15,762</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14,561</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2,743</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(4,307)</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(19,402)</w:t>
            </w:r>
          </w:p>
        </w:tc>
      </w:tr>
      <w:tr>
        <w:trPr>
          <w:trHeight w:val="225"/>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(53,171)</w:t>
            </w:r>
          </w:p>
        </w:tc>
      </w:tr>
      <w:tr>
        <w:trPr>
          <w:trHeight w:val="244"/>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June 30, 2022</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13,868</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spacing w:after="0" w:line="307" w:lineRule="auto"/>
        <w:rPr>
          <w:sz w:val="20"/>
          <w:szCs w:val="20"/>
          <w:color w:val="auto"/>
        </w:rPr>
      </w:pPr>
      <w:r>
        <w:rPr>
          <w:rFonts w:ascii="Arial" w:cs="Arial" w:eastAsia="Arial" w:hAnsi="Arial"/>
          <w:sz w:val="17"/>
          <w:szCs w:val="17"/>
          <w:b w:val="1"/>
          <w:bCs w:val="1"/>
          <w:i w:val="1"/>
          <w:iCs w:val="1"/>
          <w:color w:val="auto"/>
        </w:rPr>
        <w:t>EBITDA</w:t>
      </w:r>
      <w:r>
        <w:rPr>
          <w:rFonts w:ascii="Arial" w:cs="Arial" w:eastAsia="Arial" w:hAnsi="Arial"/>
          <w:sz w:val="17"/>
          <w:szCs w:val="17"/>
          <w:color w:val="auto"/>
        </w:rPr>
        <w:t>. EBITDA is a non-GAAP financial measure and is described under Explanation of Key Metrics and Other Items below. The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table reconciles EBITDA to Net income (loss), the most directly comparable U.S. GAAP measure in our Consolidated Financial Statements: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60" w:type="dxa"/>
            <w:vAlign w:val="bottom"/>
            <w:gridSpan w:val="6"/>
          </w:tcPr>
          <w:p>
            <w:pPr>
              <w:ind w:left="40"/>
              <w:spacing w:after="0"/>
              <w:rPr>
                <w:sz w:val="20"/>
                <w:szCs w:val="20"/>
                <w:color w:val="auto"/>
              </w:rPr>
            </w:pPr>
            <w:r>
              <w:rPr>
                <w:rFonts w:ascii="Arial" w:cs="Arial" w:eastAsia="Arial" w:hAnsi="Arial"/>
                <w:sz w:val="18"/>
                <w:szCs w:val="18"/>
                <w:b w:val="1"/>
                <w:bCs w:val="1"/>
                <w:color w:val="auto"/>
              </w:rPr>
              <w:t>For the three months ended June 30,</w:t>
            </w:r>
          </w:p>
        </w:tc>
        <w:tc>
          <w:tcPr>
            <w:tcW w:w="260" w:type="dxa"/>
            <w:vAlign w:val="bottom"/>
          </w:tcPr>
          <w:p>
            <w:pPr>
              <w:spacing w:after="0"/>
              <w:rPr>
                <w:sz w:val="20"/>
                <w:szCs w:val="20"/>
                <w:color w:val="auto"/>
              </w:rPr>
            </w:pPr>
          </w:p>
        </w:tc>
        <w:tc>
          <w:tcPr>
            <w:tcW w:w="1880" w:type="dxa"/>
            <w:vAlign w:val="bottom"/>
            <w:gridSpan w:val="3"/>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0"/>
                <w:szCs w:val="20"/>
                <w:color w:val="auto"/>
              </w:rPr>
            </w:pPr>
          </w:p>
        </w:tc>
      </w:tr>
      <w:tr>
        <w:trPr>
          <w:trHeight w:val="219"/>
        </w:trPr>
        <w:tc>
          <w:tcPr>
            <w:tcW w:w="48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020" w:type="dxa"/>
            <w:vAlign w:val="bottom"/>
            <w:tcBorders>
              <w:top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w:t>
            </w:r>
          </w:p>
        </w:tc>
      </w:tr>
      <w:tr>
        <w:trPr>
          <w:trHeight w:val="218"/>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Income tax provision (benefit), net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 attributable to non-controlling interests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48.9</w:t>
            </w:r>
          </w:p>
        </w:tc>
      </w:tr>
      <w:tr>
        <w:trPr>
          <w:trHeight w:val="244"/>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EBITDA:</w:t>
      </w:r>
    </w:p>
    <w:p>
      <w:pPr>
        <w:sectPr>
          <w:pgSz w:w="11900" w:h="16838" w:orient="portrait"/>
          <w:cols w:equalWidth="0" w:num="1">
            <w:col w:w="11240"/>
          </w:cols>
          <w:pgMar w:left="320" w:top="140" w:right="339" w:bottom="1440" w:gutter="0" w:footer="0" w:header="0"/>
        </w:sect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EBITDA for the three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109460" cy="151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9460" cy="15113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Increase (decrease) in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09460" cy="142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09460" cy="142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p>
      <w:pPr>
        <w:spacing w:after="0" w:line="18" w:lineRule="exact"/>
        <w:rPr>
          <w:sz w:val="20"/>
          <w:szCs w:val="20"/>
          <w:color w:val="auto"/>
        </w:rPr>
      </w:pPr>
    </w:p>
    <w:p>
      <w:pPr>
        <w:ind w:left="220" w:right="1200"/>
        <w:spacing w:after="0" w:line="266" w:lineRule="auto"/>
        <w:rPr>
          <w:sz w:val="20"/>
          <w:szCs w:val="20"/>
          <w:color w:val="auto"/>
        </w:rPr>
      </w:pPr>
      <w:r>
        <w:rPr>
          <w:rFonts w:ascii="Arial" w:cs="Arial" w:eastAsia="Arial" w:hAnsi="Arial"/>
          <w:sz w:val="18"/>
          <w:szCs w:val="18"/>
          <w:color w:val="auto"/>
        </w:rPr>
        <w:t>Increase (decrease) in operating income (loss), excluding depreciation and amortization Increase (decrease) in gains (losses) on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-155575</wp:posOffset>
            </wp:positionV>
            <wp:extent cx="7109460" cy="142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EBITDA for the three months ended June 30, 2022</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18"/>
        </w:trPr>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201,057</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15,440</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2,743</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(4,307)</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(21,829)</w:t>
            </w:r>
          </w:p>
        </w:tc>
      </w:tr>
      <w:tr>
        <w:trPr>
          <w:trHeight w:val="226"/>
        </w:trPr>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(53,171)</w:t>
            </w:r>
          </w:p>
        </w:tc>
      </w:tr>
      <w:tr>
        <w:trPr>
          <w:trHeight w:val="219"/>
        </w:trPr>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141,048</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140" w:right="33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 and Capital Expenditures</w:t>
      </w: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tables present our total revenue, capital expenditures and EBITDA by segment for the three months ended June 30, 2022, as compared to the three months ended June 30,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40" w:type="dxa"/>
            <w:vAlign w:val="bottom"/>
          </w:tcPr>
          <w:p>
            <w:pPr>
              <w:spacing w:after="0"/>
              <w:rPr>
                <w:sz w:val="16"/>
                <w:szCs w:val="16"/>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Corporate and</w:t>
            </w:r>
          </w:p>
        </w:tc>
        <w:tc>
          <w:tcPr>
            <w:tcW w:w="180" w:type="dxa"/>
            <w:vAlign w:val="bottom"/>
          </w:tcPr>
          <w:p>
            <w:pPr>
              <w:spacing w:after="0"/>
              <w:rPr>
                <w:sz w:val="16"/>
                <w:szCs w:val="16"/>
                <w:color w:val="auto"/>
              </w:rPr>
            </w:pPr>
          </w:p>
        </w:tc>
        <w:tc>
          <w:tcPr>
            <w:tcW w:w="1360" w:type="dxa"/>
            <w:vAlign w:val="bottom"/>
          </w:tcPr>
          <w:p>
            <w:pPr>
              <w:jc w:val="right"/>
              <w:ind w:right="181"/>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8"/>
                <w:szCs w:val="18"/>
                <w:color w:val="auto"/>
              </w:rPr>
            </w:pPr>
          </w:p>
        </w:tc>
        <w:tc>
          <w:tcPr>
            <w:tcW w:w="1360" w:type="dxa"/>
            <w:vAlign w:val="bottom"/>
          </w:tcPr>
          <w:p>
            <w:pPr>
              <w:jc w:val="right"/>
              <w:ind w:right="5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5"/>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June 30, 2022</w:t>
            </w:r>
          </w:p>
        </w:tc>
        <w:tc>
          <w:tcPr>
            <w:tcW w:w="3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491,841</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4,850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2,625</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499,316</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75,779</w:t>
            </w:r>
          </w:p>
        </w:tc>
        <w:tc>
          <w:tcPr>
            <w:tcW w:w="0" w:type="dxa"/>
            <w:vAlign w:val="bottom"/>
          </w:tcPr>
          <w:p>
            <w:pPr>
              <w:spacing w:after="0"/>
              <w:rPr>
                <w:sz w:val="1"/>
                <w:szCs w:val="1"/>
                <w:color w:val="auto"/>
              </w:rPr>
            </w:pPr>
          </w:p>
        </w:tc>
      </w:tr>
      <w:tr>
        <w:trPr>
          <w:trHeight w:val="209"/>
        </w:trPr>
        <w:tc>
          <w:tcPr>
            <w:tcW w:w="4800" w:type="dxa"/>
            <w:vAlign w:val="bottom"/>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179,928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3,521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(42,401)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141,048</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For the three months ended June 30, 2021</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492,276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499,834</w:t>
            </w:r>
          </w:p>
        </w:tc>
        <w:tc>
          <w:tcPr>
            <w:tcW w:w="0" w:type="dxa"/>
            <w:vAlign w:val="bottom"/>
          </w:tcPr>
          <w:p>
            <w:pPr>
              <w:spacing w:after="0"/>
              <w:rPr>
                <w:sz w:val="1"/>
                <w:szCs w:val="1"/>
                <w:color w:val="auto"/>
              </w:rPr>
            </w:pPr>
          </w:p>
        </w:tc>
      </w:tr>
      <w:tr>
        <w:trPr>
          <w:trHeight w:val="210"/>
        </w:trPr>
        <w:tc>
          <w:tcPr>
            <w:tcW w:w="480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72,187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11,045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83,232</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45"/>
        </w:trPr>
        <w:tc>
          <w:tcPr>
            <w:tcW w:w="4820" w:type="dxa"/>
            <w:vAlign w:val="bottom"/>
          </w:tcPr>
          <w:p>
            <w:pPr>
              <w:spacing w:after="0"/>
              <w:rPr>
                <w:sz w:val="24"/>
                <w:szCs w:val="24"/>
                <w:color w:val="auto"/>
              </w:rPr>
            </w:pPr>
          </w:p>
        </w:tc>
        <w:tc>
          <w:tcPr>
            <w:tcW w:w="3260" w:type="dxa"/>
            <w:vAlign w:val="bottom"/>
            <w:gridSpan w:val="6"/>
          </w:tcPr>
          <w:p>
            <w:pPr>
              <w:ind w:left="40"/>
              <w:spacing w:after="0"/>
              <w:rPr>
                <w:sz w:val="20"/>
                <w:szCs w:val="20"/>
                <w:color w:val="auto"/>
              </w:rPr>
            </w:pPr>
            <w:r>
              <w:rPr>
                <w:rFonts w:ascii="Arial" w:cs="Arial" w:eastAsia="Arial" w:hAnsi="Arial"/>
                <w:sz w:val="18"/>
                <w:szCs w:val="18"/>
                <w:b w:val="1"/>
                <w:bCs w:val="1"/>
                <w:color w:val="auto"/>
              </w:rPr>
              <w:t>For the three months ended June 30,</w:t>
            </w:r>
          </w:p>
        </w:tc>
        <w:tc>
          <w:tcPr>
            <w:tcW w:w="280" w:type="dxa"/>
            <w:vAlign w:val="bottom"/>
          </w:tcPr>
          <w:p>
            <w:pPr>
              <w:spacing w:after="0"/>
              <w:rPr>
                <w:sz w:val="24"/>
                <w:szCs w:val="24"/>
                <w:color w:val="auto"/>
              </w:rPr>
            </w:pPr>
          </w:p>
        </w:tc>
        <w:tc>
          <w:tcPr>
            <w:tcW w:w="1860" w:type="dxa"/>
            <w:vAlign w:val="bottom"/>
            <w:gridSpan w:val="3"/>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19"/>
        </w:trPr>
        <w:tc>
          <w:tcPr>
            <w:tcW w:w="48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w:t>
            </w:r>
          </w:p>
        </w:tc>
      </w:tr>
      <w:tr>
        <w:trPr>
          <w:trHeight w:val="218"/>
        </w:trPr>
        <w:tc>
          <w:tcPr>
            <w:tcW w:w="48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492,276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64,861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72,187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bl>
    <w:p>
      <w:pPr>
        <w:spacing w:after="0" w:line="2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Total revenue was $491.8 million for the three months ended June 30, 2022, a decrease of $0.4 million, or 0.1%, as compared to 2021. Services and other revenue decreased primarily due to lower sales of broadband services to our consumer customers of $21.1 million due to lower broadband consumer customers, partially offset by higher sales of broadband services to our enterprise customers of $3.7 million and to our mobile satellite system and other customers of $0.9 million. Equipment revenue increased primarily due to increases in hardware sales of $18.8 million to our enterprise customers mainly associated with a certain customer in North America and to international customers, partially offset by decreases in hardware sales of $2.6 million to our consumer customers. These variances reflect the negative impact of exchange rate fluctuations of $0.5 million, primarily attributable to our enterprise customers.</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Capital expenditures were $64.9 million for the three months ended June 30, 2022, a decrease of $7.3 million, or 10.1%, as compared to 2021, primarily due to decreases in expenditures associated with our consumer business, partially offset by increased expenditures related to the construction of our satellite-related ground infrastructure.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Hughes Segment EBITDA: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w w:val="94"/>
              </w:rPr>
              <w:t>Amounts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June 30, 2021</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40" w:type="dxa"/>
            <w:vAlign w:val="bottom"/>
            <w:gridSpan w:val="4"/>
          </w:tcPr>
          <w:p>
            <w:pPr>
              <w:ind w:left="220"/>
              <w:spacing w:after="0"/>
              <w:rPr>
                <w:sz w:val="20"/>
                <w:szCs w:val="20"/>
                <w:color w:val="auto"/>
              </w:rPr>
            </w:pPr>
            <w:r>
              <w:rPr>
                <w:rFonts w:ascii="Arial" w:cs="Arial" w:eastAsia="Arial" w:hAnsi="Arial"/>
                <w:sz w:val="18"/>
                <w:szCs w:val="18"/>
                <w:color w:val="auto"/>
                <w:w w:val="97"/>
              </w:rPr>
              <w:t>Decrease (increase) in net loss (income) attributable to non-controlling interests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8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0" w:type="dxa"/>
            <w:vAlign w:val="bottom"/>
            <w:gridSpan w:val="2"/>
          </w:tcPr>
          <w:p>
            <w:pPr>
              <w:ind w:left="220"/>
              <w:spacing w:after="0"/>
              <w:rPr>
                <w:sz w:val="20"/>
                <w:szCs w:val="20"/>
                <w:color w:val="auto"/>
              </w:rPr>
            </w:pPr>
            <w:r>
              <w:rPr>
                <w:rFonts w:ascii="Arial" w:cs="Arial" w:eastAsia="Arial" w:hAnsi="Arial"/>
                <w:sz w:val="18"/>
                <w:szCs w:val="18"/>
                <w:color w:val="auto"/>
                <w:w w:val="99"/>
              </w:rPr>
              <w:t>Increase (decrease) in foreign currency transaction gains (losses), net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80" w:type="dxa"/>
            <w:vAlign w:val="bottom"/>
            <w:gridSpan w:val="7"/>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Arial" w:cs="Arial" w:eastAsia="Arial" w:hAnsi="Arial"/>
                <w:sz w:val="18"/>
                <w:szCs w:val="18"/>
                <w:color w:val="auto"/>
              </w:rPr>
              <w:t>EBITDA for the three months ended June 30, 2022</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179,928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ESS Segment</w:t>
            </w: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8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820" w:type="dxa"/>
            <w:vAlign w:val="bottom"/>
          </w:tcPr>
          <w:p>
            <w:pPr>
              <w:spacing w:after="0"/>
              <w:rPr>
                <w:sz w:val="24"/>
                <w:szCs w:val="24"/>
                <w:color w:val="auto"/>
              </w:rPr>
            </w:pPr>
          </w:p>
        </w:tc>
        <w:tc>
          <w:tcPr>
            <w:tcW w:w="326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 June 30,</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gridSpan w:val="3"/>
          </w:tcPr>
          <w:p>
            <w:pPr>
              <w:jc w:val="right"/>
              <w:ind w:right="1092"/>
              <w:spacing w:after="0"/>
              <w:rPr>
                <w:sz w:val="20"/>
                <w:szCs w:val="20"/>
                <w:color w:val="auto"/>
              </w:rPr>
            </w:pPr>
            <w:r>
              <w:rPr>
                <w:rFonts w:ascii="Arial" w:cs="Arial" w:eastAsia="Arial" w:hAnsi="Arial"/>
                <w:sz w:val="18"/>
                <w:szCs w:val="18"/>
                <w:b w:val="1"/>
                <w:bCs w:val="1"/>
                <w:color w:val="auto"/>
              </w:rPr>
              <w:t>Variance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Amounts</w:t>
            </w:r>
          </w:p>
        </w:tc>
        <w:tc>
          <w:tcPr>
            <w:tcW w:w="1480" w:type="dxa"/>
            <w:vAlign w:val="bottom"/>
            <w:tcBorders>
              <w:top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4,850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tcPr>
          <w:p>
            <w:pPr>
              <w:ind w:left="20"/>
              <w:spacing w:after="0"/>
              <w:rPr>
                <w:sz w:val="20"/>
                <w:szCs w:val="20"/>
                <w:color w:val="auto"/>
              </w:rPr>
            </w:pPr>
            <w:r>
              <w:rPr>
                <w:rFonts w:ascii="Arial" w:cs="Arial" w:eastAsia="Arial" w:hAnsi="Arial"/>
                <w:sz w:val="18"/>
                <w:szCs w:val="18"/>
                <w:color w:val="auto"/>
              </w:rPr>
              <w:t>EBITDA</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3,521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Total revenue was $4.9 million for the three months ended June 30, 2022, an increase of $0.6 million, or 13.2%, as compared to 2021, primarily due to an increase in transponder services provided to third parties.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EBITDA was $3.5 million for the three months ended June 30, 2022, an increase of $1.3 million, or 57.0%, as compared to 2021, primarily due to the increase in overall ESS segment revenue and lower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Corporate and Other Segment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45"/>
        </w:trPr>
        <w:tc>
          <w:tcPr>
            <w:tcW w:w="4820" w:type="dxa"/>
            <w:vAlign w:val="bottom"/>
          </w:tcPr>
          <w:p>
            <w:pPr>
              <w:spacing w:after="0"/>
              <w:rPr>
                <w:sz w:val="24"/>
                <w:szCs w:val="24"/>
                <w:color w:val="auto"/>
              </w:rPr>
            </w:pPr>
          </w:p>
        </w:tc>
        <w:tc>
          <w:tcPr>
            <w:tcW w:w="32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8"/>
              </w:rPr>
              <w:t>For the three months ended June 30,</w:t>
            </w:r>
          </w:p>
        </w:tc>
        <w:tc>
          <w:tcPr>
            <w:tcW w:w="240" w:type="dxa"/>
            <w:vAlign w:val="bottom"/>
          </w:tcPr>
          <w:p>
            <w:pPr>
              <w:spacing w:after="0"/>
              <w:rPr>
                <w:sz w:val="24"/>
                <w:szCs w:val="24"/>
                <w:color w:val="auto"/>
              </w:rPr>
            </w:pPr>
          </w:p>
        </w:tc>
        <w:tc>
          <w:tcPr>
            <w:tcW w:w="1900" w:type="dxa"/>
            <w:vAlign w:val="bottom"/>
            <w:gridSpan w:val="3"/>
          </w:tcPr>
          <w:p>
            <w:pPr>
              <w:ind w:left="98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19"/>
        </w:trPr>
        <w:tc>
          <w:tcPr>
            <w:tcW w:w="48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Amounts</w:t>
            </w:r>
          </w:p>
        </w:tc>
        <w:tc>
          <w:tcPr>
            <w:tcW w:w="1020" w:type="dxa"/>
            <w:vAlign w:val="bottom"/>
            <w:tcBorders>
              <w:top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w:t>
            </w:r>
          </w:p>
        </w:tc>
      </w:tr>
      <w:tr>
        <w:trPr>
          <w:trHeight w:val="218"/>
        </w:trPr>
        <w:tc>
          <w:tcPr>
            <w:tcW w:w="48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84" w:lineRule="exact"/>
        <w:rPr>
          <w:sz w:val="20"/>
          <w:szCs w:val="20"/>
          <w:color w:val="auto"/>
        </w:rPr>
      </w:pPr>
    </w:p>
    <w:p>
      <w:pPr>
        <w:ind w:left="220" w:hanging="214"/>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Total revenue was $2.6 million for the three months ended June 30, 2022, a decrease of $0.7 million, or 19.8%, as compared to 2021, which was primarily attributable to decreased services and other revenue from DISH Network.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were $10.9 million for the three months ended June 30, 2022, which is primarily flat compared to 2021.</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00" w:type="dxa"/>
            <w:vAlign w:val="bottom"/>
          </w:tcPr>
          <w:p>
            <w:pPr>
              <w:spacing w:after="0"/>
              <w:rPr>
                <w:sz w:val="20"/>
                <w:szCs w:val="20"/>
                <w:color w:val="auto"/>
              </w:rPr>
            </w:pPr>
            <w:r>
              <w:rPr>
                <w:rFonts w:ascii="Arial" w:cs="Arial" w:eastAsia="Arial" w:hAnsi="Arial"/>
                <w:sz w:val="18"/>
                <w:szCs w:val="18"/>
                <w:color w:val="auto"/>
              </w:rPr>
              <w:t>The following table reconciles the change in the Corporate and Other Segment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45"/>
        </w:trPr>
        <w:tc>
          <w:tcPr>
            <w:tcW w:w="90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1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June 30, 2021</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(11,380)</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18,026</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25"/>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(51,288)</w:t>
            </w:r>
          </w:p>
        </w:tc>
      </w:tr>
      <w:tr>
        <w:trPr>
          <w:trHeight w:val="244"/>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June 30, 2022</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(42,401)</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2022 Compared to the Six Months Ended June 30, 2021</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consolidated results of operations for the six months ended June 30, 2022 compared to the six months ended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June 30, 2021: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00" w:type="dxa"/>
            <w:vAlign w:val="bottom"/>
            <w:gridSpan w:val="5"/>
          </w:tcPr>
          <w:p>
            <w:pPr>
              <w:ind w:left="60"/>
              <w:spacing w:after="0"/>
              <w:rPr>
                <w:sz w:val="20"/>
                <w:szCs w:val="20"/>
                <w:color w:val="auto"/>
              </w:rPr>
            </w:pPr>
            <w:r>
              <w:rPr>
                <w:rFonts w:ascii="Arial" w:cs="Arial" w:eastAsia="Arial" w:hAnsi="Arial"/>
                <w:sz w:val="18"/>
                <w:szCs w:val="18"/>
                <w:b w:val="1"/>
                <w:bCs w:val="1"/>
                <w:color w:val="auto"/>
              </w:rPr>
              <w:t>For the six months ended June 30,</w:t>
            </w:r>
          </w:p>
        </w:tc>
        <w:tc>
          <w:tcPr>
            <w:tcW w:w="280" w:type="dxa"/>
            <w:vAlign w:val="bottom"/>
          </w:tcPr>
          <w:p>
            <w:pPr>
              <w:spacing w:after="0"/>
              <w:rPr>
                <w:sz w:val="20"/>
                <w:szCs w:val="20"/>
                <w:color w:val="auto"/>
              </w:rPr>
            </w:pPr>
          </w:p>
        </w:tc>
        <w:tc>
          <w:tcPr>
            <w:tcW w:w="1780" w:type="dxa"/>
            <w:vAlign w:val="bottom"/>
            <w:gridSpan w:val="3"/>
          </w:tcPr>
          <w:p>
            <w:pPr>
              <w:ind w:left="920"/>
              <w:spacing w:after="0"/>
              <w:rPr>
                <w:sz w:val="20"/>
                <w:szCs w:val="20"/>
                <w:color w:val="auto"/>
              </w:rPr>
            </w:pPr>
            <w:r>
              <w:rPr>
                <w:rFonts w:ascii="Arial" w:cs="Arial" w:eastAsia="Arial" w:hAnsi="Arial"/>
                <w:sz w:val="16"/>
                <w:szCs w:val="16"/>
                <w:b w:val="1"/>
                <w:bCs w:val="1"/>
                <w:color w:val="auto"/>
              </w:rPr>
              <w:t>Variance</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700" w:type="dxa"/>
            <w:vAlign w:val="bottom"/>
            <w:gridSpan w:val="2"/>
          </w:tcPr>
          <w:p>
            <w:pPr>
              <w:ind w:left="20"/>
              <w:spacing w:after="0" w:line="207" w:lineRule="exact"/>
              <w:rPr>
                <w:sz w:val="20"/>
                <w:szCs w:val="20"/>
                <w:color w:val="auto"/>
              </w:rPr>
            </w:pPr>
            <w:r>
              <w:rPr>
                <w:rFonts w:ascii="Arial" w:cs="Arial" w:eastAsia="Arial" w:hAnsi="Arial"/>
                <w:sz w:val="16"/>
                <w:szCs w:val="16"/>
                <w:b w:val="1"/>
                <w:bCs w:val="1"/>
                <w:color w:val="auto"/>
              </w:rPr>
              <w:t xml:space="preserve">Statements of Operations Data </w:t>
            </w:r>
            <w:r>
              <w:rPr>
                <w:rFonts w:ascii="Arial" w:cs="Arial" w:eastAsia="Arial" w:hAnsi="Arial"/>
                <w:sz w:val="20"/>
                <w:szCs w:val="20"/>
                <w:b w:val="1"/>
                <w:bCs w:val="1"/>
                <w:color w:val="auto"/>
                <w:vertAlign w:val="superscript"/>
              </w:rPr>
              <w:t>(1)</w:t>
            </w: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top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5"/>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833,508</w:t>
            </w:r>
          </w:p>
        </w:tc>
        <w:tc>
          <w:tcPr>
            <w:tcW w:w="100" w:type="dxa"/>
            <w:vAlign w:val="bottom"/>
          </w:tcPr>
          <w:p>
            <w:pPr>
              <w:spacing w:after="0"/>
              <w:rPr>
                <w:sz w:val="18"/>
                <w:szCs w:val="18"/>
                <w:color w:val="auto"/>
              </w:rPr>
            </w:pP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861,616</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(28,108)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167,342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120,800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46,542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1,000,850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982,416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18,434</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4"/>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285,364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272,336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13,028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services and other revenue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31.6 %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139,168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99,654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39,514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equipment revenue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231,261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228,157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revenue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23.1 %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16,381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14,986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revenue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236,991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248,268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(11,277)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Impairment of long-lived assets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costs and expenses</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909,876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863,646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46,230</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8"/>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90,974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118,770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(27,796)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99"/>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15,494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180" w:type="dxa"/>
            <w:vAlign w:val="bottom"/>
          </w:tcPr>
          <w:p>
            <w:pPr>
              <w:spacing w:after="0"/>
              <w:rPr>
                <w:sz w:val="18"/>
                <w:szCs w:val="18"/>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(29,280)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(63,535)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34,255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Gains (losses) on investments,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58,148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109,233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(51,085)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Equity in earnings (losses) of unconsolidated affiliates, net</w:t>
            </w:r>
          </w:p>
        </w:tc>
        <w:tc>
          <w:tcPr>
            <w:tcW w:w="180" w:type="dxa"/>
            <w:vAlign w:val="bottom"/>
          </w:tcPr>
          <w:p>
            <w:pPr>
              <w:spacing w:after="0"/>
              <w:rPr>
                <w:sz w:val="18"/>
                <w:szCs w:val="18"/>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(3,015)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(2,670)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2,752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(3,404)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2,517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(13,697)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other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46,616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37,116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Pr>
          <w:p>
            <w:pPr>
              <w:spacing w:after="0"/>
              <w:rPr>
                <w:sz w:val="17"/>
                <w:szCs w:val="17"/>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137,590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155,886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(18,296)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 benefit (provision), net</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(38,172)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(43,299)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7"/>
                <w:szCs w:val="17"/>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99,418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112,587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(13,169)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77"/>
        </w:trPr>
        <w:tc>
          <w:tcPr>
            <w:tcW w:w="4700" w:type="dxa"/>
            <w:vAlign w:val="bottom"/>
            <w:gridSpan w:val="2"/>
            <w:shd w:val="clear" w:color="auto" w:fill="CCEEFF"/>
          </w:tcPr>
          <w:p>
            <w:pPr>
              <w:ind w:left="240"/>
              <w:spacing w:after="0" w:line="177" w:lineRule="exact"/>
              <w:rPr>
                <w:sz w:val="20"/>
                <w:szCs w:val="20"/>
                <w:color w:val="auto"/>
              </w:rPr>
            </w:pPr>
            <w:r>
              <w:rPr>
                <w:rFonts w:ascii="Arial" w:cs="Arial" w:eastAsia="Arial" w:hAnsi="Arial"/>
                <w:sz w:val="16"/>
                <w:szCs w:val="16"/>
                <w:color w:val="auto"/>
              </w:rPr>
              <w:t>Less: Net loss (income) attributable to non-controlling</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interests</w:t>
            </w: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5,883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3,227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154"/>
        </w:trPr>
        <w:tc>
          <w:tcPr>
            <w:tcW w:w="470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Net income (loss) attributable to EchoStar Corporation common</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ind w:right="120"/>
              <w:spacing w:after="0"/>
              <w:rPr>
                <w:sz w:val="20"/>
                <w:szCs w:val="20"/>
                <w:color w:val="auto"/>
              </w:rPr>
            </w:pPr>
            <w:r>
              <w:rPr>
                <w:rFonts w:ascii="Arial" w:cs="Arial" w:eastAsia="Arial" w:hAnsi="Arial"/>
                <w:sz w:val="16"/>
                <w:szCs w:val="16"/>
                <w:color w:val="auto"/>
              </w:rPr>
              <w:t>105,301</w:t>
            </w:r>
          </w:p>
        </w:tc>
        <w:tc>
          <w:tcPr>
            <w:tcW w:w="100" w:type="dxa"/>
            <w:vAlign w:val="bottom"/>
          </w:tcPr>
          <w:p>
            <w:pPr>
              <w:spacing w:after="0"/>
              <w:rPr>
                <w:sz w:val="13"/>
                <w:szCs w:val="13"/>
                <w:color w:val="auto"/>
              </w:rPr>
            </w:pPr>
          </w:p>
        </w:tc>
        <w:tc>
          <w:tcPr>
            <w:tcW w:w="380" w:type="dxa"/>
            <w:vAlign w:val="bottom"/>
            <w:vMerge w:val="restart"/>
          </w:tcPr>
          <w:p>
            <w:pPr>
              <w:jc w:val="right"/>
              <w:ind w:right="181"/>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21"/>
              <w:spacing w:after="0"/>
              <w:rPr>
                <w:sz w:val="20"/>
                <w:szCs w:val="20"/>
                <w:color w:val="auto"/>
              </w:rPr>
            </w:pPr>
            <w:r>
              <w:rPr>
                <w:rFonts w:ascii="Arial" w:cs="Arial" w:eastAsia="Arial" w:hAnsi="Arial"/>
                <w:sz w:val="16"/>
                <w:szCs w:val="16"/>
                <w:color w:val="auto"/>
              </w:rPr>
              <w:t>115,814</w:t>
            </w:r>
          </w:p>
        </w:tc>
        <w:tc>
          <w:tcPr>
            <w:tcW w:w="10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(10,513)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70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stock</w:t>
            </w:r>
          </w:p>
        </w:tc>
        <w:tc>
          <w:tcPr>
            <w:tcW w:w="18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line="171"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220"/>
              <w:spacing w:after="0" w:line="212"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0"/>
                <w:szCs w:val="20"/>
                <w:color w:val="auto"/>
                <w:vertAlign w:val="superscript"/>
              </w:rPr>
              <w:t>(2)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394,250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459,727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(65,477)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Subscribers, end of period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1,346,000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1,542,000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(196,000)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220" w:hanging="214"/>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Percentage is not meaningful.</w:t>
      </w:r>
    </w:p>
    <w:p>
      <w:pPr>
        <w:ind w:left="320" w:hanging="314"/>
        <w:spacing w:after="0" w:line="237" w:lineRule="auto"/>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 explanation of our key metrics is included in Explanation of Key Metrics and Other Items.</w:t>
      </w:r>
    </w:p>
    <w:p>
      <w:pPr>
        <w:ind w:left="320" w:hanging="314"/>
        <w:spacing w:after="0" w:line="250" w:lineRule="auto"/>
        <w:tabs>
          <w:tab w:leader="none" w:pos="385" w:val="left"/>
        </w:tabs>
        <w:numPr>
          <w:ilvl w:val="0"/>
          <w:numId w:val="13"/>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U.S. generally accepted accounting principles (“U.S. GAAP”) measure in our Consolidated Financial Statements, is included in Results of Operations. For further information on our use of EBITDA, see Explanation of Key Metrics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results of operations for the six months ended June 30, 2022 and 2021.</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$833.5 million for the six months ended June 30, 2022, a decrease of $28.1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3.3%, as compared to 2021. The decrease was primarily attributable to our Hughes segment related to lower sales of broadband services to our consumer customers of $38.1 million due to lower broadband consumer customers, partially offset by higher sales of broadband services to our enterprise customers of $7.0 million and to our mobile satellite system and other customers of $2.4 million. These variances reflect the negative impact of exchange rate fluctuations of $1.3 million, primarily attributable to our enterprise customers, partially offset by our consumer customers.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$167.3 million for the six months ended June 30, 2022, an increase of $46.5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38.5%, as compared to 2021. The increase was primarily attributable to increases in hardware sales to our enterprise customers of $47.0 million mainly associated with a certain customer in North America and to international customers, partially offset by decreases in hardware sales of $3.1 million to our consumer customers.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Cost of sales - services and other. </w:t>
      </w:r>
      <w:r>
        <w:rPr>
          <w:rFonts w:ascii="Arial" w:cs="Arial" w:eastAsia="Arial" w:hAnsi="Arial"/>
          <w:sz w:val="18"/>
          <w:szCs w:val="18"/>
          <w:color w:val="auto"/>
        </w:rPr>
        <w:t>Cost of sales - services and other totaled $285.4 million for the six months ended June 30, 2022,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$13.0 million, or 4.8%, as compared to 2021. The increase was attributable to a non-recurring decrease in a certain international regulatory fee of $4.5 million in 2021 and increases in costs provided to our consumer and enterprise customers, mainly related to service delivery expenses.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$139.2 million for the six months ended June 30, 2022, an increase of $39.5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39.7%, as compared to 2021. The increase was primarily attributable to the corresponding increase in equipment revenue, an increase in hardware and installation support costs and change in product mix.</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$231.3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2022, an increase of $3.1 million, or 1.4%, as compared to 2021. The increase was primarily attributable to increases in: i) bad debt expense of $6.3 million primarily due to the recovery of bad debt reserves in 2021 and ii) other general and administrative expenses of $2.1 million, offset by decreases in: i) legal expenses of $4.4 million and ii) sales and marketing expenses of $0.9 million.</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$237.0 million for the six months ended June 30, 2022,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$11.3 million, or 4.5%, as compared to 2021. The decrease was primarily attributable to (i) decreases in our satellite depreciation of $9.1 million, mainly related to our SPACEWAY 3 satellite which was fully depreciated at the end of the first quarter of 2021, (ii) decreases in amortization of intangibles of $2.1 million, and (iii) decreases in other property and equipment depreciation expense of $5.9 million. These decreases were partially offset by increases in amortization of our capitalized software of $4.8 million.</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$15.5 million for the six months ended June 30, 2022, an increase of $4.3 million, or 38.5%,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2021, primarily attributable to increases in the yield on our marketable investment securities.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$29.3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2022, a decrease of $34.3 million, or 53.9%, as compared to 2021. The decrease was primarily attributable to a decrease of $30.8 million in interest expense and the amortization of deferred financing cost as a result of the repurchases and maturity of our 7 5/8% Senior Unsecured Notes due 2021 and an increase of $3.0 million in capitalized interest relating to the EchoStar XXIV satellite program.</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$58.1 million in gains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compared to $109.2 million in gains for the six months ended June 30, 2021, a negative change of $51.1 million. The change was related to net decreased gains on marketable investment securities and other equity securities of $47.5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$3.0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losses for the six months ended June 30, 2022, as compared to $2.7 million in losses for the six months ended June 30, 2021, a negative change of $0.3 million. The change was related to net increased losses from our investments in our equity method investees.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$2.8 million in gains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2022, as compared to $3.4 million in losses for the six months ended June 30, 2021, a positive change of $6.2 million. The change was due to the net impact of foreign exchange rate fluctuations of certain foreign currencies during the period, primarily related the Indian Rupee and Latin American currencies.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totaled $2.5 million in gains for the six months ended June 30, 2022, as compared to $13.7 million in losses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2021, a positive change of $16.2 million. The change was primarily attributable to a litigation expense of $16.8 million in 2021.</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$(38.2) million for the six months ended June 30,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$(43.3) million for the six months ended June 30, 2021. Our effective income tax rate was 27.7% and 27.8% for the six months ended June 30, 2022 and 2021, respectively. The variations in our effective tax rate from the U.S. federal statutory rate for the six months ended June 30, 2022 were primarily due to excluded foreign losses where the Company carries a full valuation allowance, and the impact of state and local taxes. The variations in our current year effective tax rate from the U.S. federal statutory rate for the six months ended June 30, 2021 were primarily due to excluded foreign losses where the Company carries a full valuation allowance and the impact of state and local taxes.</w:t>
      </w:r>
    </w:p>
    <w:p>
      <w:pPr>
        <w:spacing w:after="0" w:line="207"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following table reconciles the change in Net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EchoStar Corporation common stock: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1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six months ended June 30, 2021</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115,814</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34,255</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16,214</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6,156</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income tax benefit (provision),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4,305</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net income (loss) attributable to non-controlling interest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(27,796)</w:t>
            </w:r>
          </w:p>
        </w:tc>
      </w:tr>
      <w:tr>
        <w:trPr>
          <w:trHeight w:val="225"/>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(51,085)</w:t>
            </w:r>
          </w:p>
        </w:tc>
      </w:tr>
      <w:tr>
        <w:trPr>
          <w:trHeight w:val="244"/>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six months ended June 30, 2022</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105,301</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spacing w:after="0" w:line="307" w:lineRule="auto"/>
        <w:rPr>
          <w:sz w:val="20"/>
          <w:szCs w:val="20"/>
          <w:color w:val="auto"/>
        </w:rPr>
      </w:pPr>
      <w:r>
        <w:rPr>
          <w:rFonts w:ascii="Arial" w:cs="Arial" w:eastAsia="Arial" w:hAnsi="Arial"/>
          <w:sz w:val="17"/>
          <w:szCs w:val="17"/>
          <w:b w:val="1"/>
          <w:bCs w:val="1"/>
          <w:i w:val="1"/>
          <w:iCs w:val="1"/>
          <w:color w:val="auto"/>
        </w:rPr>
        <w:t>EBITDA</w:t>
      </w:r>
      <w:r>
        <w:rPr>
          <w:rFonts w:ascii="Arial" w:cs="Arial" w:eastAsia="Arial" w:hAnsi="Arial"/>
          <w:sz w:val="17"/>
          <w:szCs w:val="17"/>
          <w:color w:val="auto"/>
        </w:rPr>
        <w:t>. EBITDA is a non-GAAP financial measure and is described under Explanation of Key Metrics and Other Items below. The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table reconciles EBITDA to Net income (loss), the most directly comparable U.S. GAAP measure in our Consolidated Financial Statements: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six months ended June 30,</w:t>
            </w:r>
          </w:p>
        </w:tc>
        <w:tc>
          <w:tcPr>
            <w:tcW w:w="280" w:type="dxa"/>
            <w:vAlign w:val="bottom"/>
          </w:tcPr>
          <w:p>
            <w:pPr>
              <w:spacing w:after="0"/>
              <w:rPr>
                <w:sz w:val="20"/>
                <w:szCs w:val="20"/>
                <w:color w:val="auto"/>
              </w:rPr>
            </w:pPr>
          </w:p>
        </w:tc>
        <w:tc>
          <w:tcPr>
            <w:tcW w:w="1860" w:type="dxa"/>
            <w:vAlign w:val="bottom"/>
            <w:gridSpan w:val="3"/>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0"/>
                <w:szCs w:val="20"/>
                <w:color w:val="auto"/>
              </w:rPr>
            </w:pPr>
          </w:p>
        </w:tc>
      </w:tr>
      <w:tr>
        <w:trPr>
          <w:trHeight w:val="219"/>
        </w:trPr>
        <w:tc>
          <w:tcPr>
            <w:tcW w:w="4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w:t>
            </w:r>
          </w:p>
        </w:tc>
      </w:tr>
      <w:tr>
        <w:trPr>
          <w:trHeight w:val="219"/>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99,418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112,587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5"/>
        </w:trPr>
        <w:tc>
          <w:tcPr>
            <w:tcW w:w="4820" w:type="dxa"/>
            <w:vAlign w:val="bottom"/>
          </w:tcPr>
          <w:p>
            <w:pPr>
              <w:ind w:left="120"/>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2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 of amounts capitalized</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5"/>
        </w:trPr>
        <w:tc>
          <w:tcPr>
            <w:tcW w:w="4820" w:type="dxa"/>
            <w:vAlign w:val="bottom"/>
          </w:tcPr>
          <w:p>
            <w:pPr>
              <w:ind w:left="120"/>
              <w:spacing w:after="0"/>
              <w:rPr>
                <w:sz w:val="20"/>
                <w:szCs w:val="20"/>
                <w:color w:val="auto"/>
              </w:rPr>
            </w:pPr>
            <w:r>
              <w:rPr>
                <w:rFonts w:ascii="Arial" w:cs="Arial" w:eastAsia="Arial" w:hAnsi="Arial"/>
                <w:sz w:val="18"/>
                <w:szCs w:val="18"/>
                <w:color w:val="auto"/>
              </w:rPr>
              <w:t>Income tax provision (benefit), net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43,299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5"/>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loss (income) attributable to non-controlling interests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82.3</w:t>
            </w: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(65,477)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EBITDA:</w:t>
      </w:r>
    </w:p>
    <w:p>
      <w:pPr>
        <w:sectPr>
          <w:pgSz w:w="11900" w:h="16838" w:orient="portrait"/>
          <w:cols w:equalWidth="0" w:num="1">
            <w:col w:w="11240"/>
          </w:cols>
          <w:pgMar w:left="320" w:top="140" w:right="339" w:bottom="1440" w:gutter="0" w:footer="0" w:header="0"/>
        </w:sect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EBITDA for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109460" cy="151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9460" cy="15113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Increase (decrease) in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09460" cy="142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09460" cy="142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Increase (decrease) in operating income (loss), excluding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09460" cy="142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Increase (decrease) in gains (losses) on investments, net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EBITDA for the six months ended June 30, 2022</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18"/>
        </w:trPr>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459,727</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16,214</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6,156</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2,656</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(39,073)</w:t>
            </w:r>
          </w:p>
        </w:tc>
      </w:tr>
      <w:tr>
        <w:trPr>
          <w:trHeight w:val="226"/>
        </w:trPr>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(51,085)</w:t>
            </w:r>
          </w:p>
        </w:tc>
      </w:tr>
      <w:tr>
        <w:trPr>
          <w:trHeight w:val="219"/>
        </w:trPr>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394,250</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140" w:right="33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tables present our total revenue, capital expenditures and EBITDA by segment for the six months ended June 30, 2022, as compared to the six months ended June 30,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18"/>
                <w:szCs w:val="18"/>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Corporate and</w:t>
            </w:r>
          </w:p>
        </w:tc>
        <w:tc>
          <w:tcPr>
            <w:tcW w:w="16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8"/>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2022</w:t>
            </w: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985,947</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1,000,850</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187,917</w:t>
            </w: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color w:val="auto"/>
              </w:rPr>
              <w:t>EBITDA</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371,098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394,250</w:t>
            </w:r>
          </w:p>
        </w:tc>
        <w:tc>
          <w:tcPr>
            <w:tcW w:w="0" w:type="dxa"/>
            <w:vAlign w:val="bottom"/>
          </w:tcPr>
          <w:p>
            <w:pPr>
              <w:spacing w:after="0"/>
              <w:rPr>
                <w:sz w:val="1"/>
                <w:szCs w:val="1"/>
                <w:color w:val="auto"/>
              </w:rPr>
            </w:pPr>
          </w:p>
        </w:tc>
      </w:tr>
      <w:tr>
        <w:trPr>
          <w:trHeight w:val="252"/>
        </w:trPr>
        <w:tc>
          <w:tcPr>
            <w:tcW w:w="4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For the six months ended June 30, 2021</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982,416</w:t>
            </w: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154,382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108,084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262,466</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45"/>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six months ended June 30,</w:t>
            </w:r>
          </w:p>
        </w:tc>
        <w:tc>
          <w:tcPr>
            <w:tcW w:w="280" w:type="dxa"/>
            <w:vAlign w:val="bottom"/>
          </w:tcPr>
          <w:p>
            <w:pPr>
              <w:spacing w:after="0"/>
              <w:rPr>
                <w:sz w:val="24"/>
                <w:szCs w:val="24"/>
                <w:color w:val="auto"/>
              </w:rPr>
            </w:pPr>
          </w:p>
        </w:tc>
        <w:tc>
          <w:tcPr>
            <w:tcW w:w="1860" w:type="dxa"/>
            <w:vAlign w:val="bottom"/>
            <w:gridSpan w:val="3"/>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19"/>
        </w:trPr>
        <w:tc>
          <w:tcPr>
            <w:tcW w:w="4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w:t>
            </w:r>
          </w:p>
        </w:tc>
      </w:tr>
      <w:tr>
        <w:trPr>
          <w:trHeight w:val="218"/>
        </w:trPr>
        <w:tc>
          <w:tcPr>
            <w:tcW w:w="48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985,947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98"/>
              </w:rPr>
              <w:t>17,811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125,882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154,382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center"/>
              <w:ind w:left="432"/>
              <w:spacing w:after="0"/>
              <w:rPr>
                <w:sz w:val="20"/>
                <w:szCs w:val="20"/>
                <w:color w:val="auto"/>
              </w:rPr>
            </w:pPr>
            <w:r>
              <w:rPr>
                <w:rFonts w:ascii="Arial" w:cs="Arial" w:eastAsia="Arial" w:hAnsi="Arial"/>
                <w:sz w:val="18"/>
                <w:szCs w:val="18"/>
                <w:color w:val="auto"/>
                <w:w w:val="98"/>
              </w:rPr>
              <w:t>(28,500)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98"/>
              </w:rPr>
              <w:t>(37,674)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bl>
    <w:p>
      <w:pPr>
        <w:spacing w:after="0" w:line="2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Total revenue was $985.9 million for the six months ended June 30, 2022, an increase of $17.8 million, or 1.8%, as compared to 2021. Services and other revenue decreased primarily due to lower sales of broadband services to our consumer customers of $38.1 million due to lower broadband consumer customers, partially offset by higher sales of broadband services to our enterprise customers of $7.0 million and to our mobile satellite system and other customers of $2.4 million. Equipment revenue increased primarily due to increases in hardware sales to our enterprise customers of $47.0 million mainly associated with a certain customer in North America and to international customers, partially offset by decreases in hardware sales of $3.1 million to our consumer customers. These variances reflect the negative impact of exchange rate fluctuations of $1.4 million, primarily attributable to our enterprise customers.</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Capital expenditures were $125.9 million for the six months ended June 30, 2022, a decrease of $28.5 million, or 18.5%, as compared to 2021, primarily due to decreases in expenditures associated with our consumer business, partially offset by increased expenditures related to the construction of our satellite-related ground infrastructure.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Hughes Segment EBITDA: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w w:val="97"/>
              </w:rPr>
              <w:t>Amounts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six months ended June 30, 2021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420" w:type="dxa"/>
            <w:vAlign w:val="bottom"/>
            <w:gridSpan w:val="4"/>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4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7"/>
              </w:rPr>
              <w:t>Decrease (increase) in net loss (income) attributable to non-controlling interests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760" w:type="dxa"/>
            <w:vAlign w:val="bottom"/>
            <w:gridSpan w:val="5"/>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Increase (decrease) in gains (losses) on investments, net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Increase (decrease) in other, net</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04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EBITDA for the six months ended June 30, 2022</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371,098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ESS Segment</w:t>
            </w: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8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six months ended June 30,</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gridSpan w:val="3"/>
          </w:tcPr>
          <w:p>
            <w:pPr>
              <w:jc w:val="right"/>
              <w:ind w:right="1112"/>
              <w:spacing w:after="0"/>
              <w:rPr>
                <w:sz w:val="20"/>
                <w:szCs w:val="20"/>
                <w:color w:val="auto"/>
              </w:rPr>
            </w:pPr>
            <w:r>
              <w:rPr>
                <w:rFonts w:ascii="Arial" w:cs="Arial" w:eastAsia="Arial" w:hAnsi="Arial"/>
                <w:sz w:val="18"/>
                <w:szCs w:val="18"/>
                <w:b w:val="1"/>
                <w:bCs w:val="1"/>
                <w:color w:val="auto"/>
              </w:rPr>
              <w:t>Variance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50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20" w:type="dxa"/>
            <w:vAlign w:val="bottom"/>
            <w:tcBorders>
              <w:top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Total revenue was $9.3 million for the six months ended June 30, 2022, an increase of $1.0 million, or 11.4%, compared to 2021, primarily due to an increase in transponder services provided to third parties.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EBITDA was $6.2 million for the six months ended June 30, 2022, an increase of $2.1 million, or 49.3%, as compared to 2021, primarily due to the increase in overall ESS segment revenue and lower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Corporate and Other Segment</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45"/>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six months ended June 30,</w:t>
            </w:r>
          </w:p>
        </w:tc>
        <w:tc>
          <w:tcPr>
            <w:tcW w:w="280" w:type="dxa"/>
            <w:vAlign w:val="bottom"/>
          </w:tcPr>
          <w:p>
            <w:pPr>
              <w:spacing w:after="0"/>
              <w:rPr>
                <w:sz w:val="24"/>
                <w:szCs w:val="24"/>
                <w:color w:val="auto"/>
              </w:rPr>
            </w:pPr>
          </w:p>
        </w:tc>
        <w:tc>
          <w:tcPr>
            <w:tcW w:w="1860" w:type="dxa"/>
            <w:vAlign w:val="bottom"/>
            <w:gridSpan w:val="3"/>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19"/>
        </w:trPr>
        <w:tc>
          <w:tcPr>
            <w:tcW w:w="4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w:t>
            </w:r>
          </w:p>
        </w:tc>
      </w:tr>
      <w:tr>
        <w:trPr>
          <w:trHeight w:val="218"/>
        </w:trPr>
        <w:tc>
          <w:tcPr>
            <w:tcW w:w="48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62,035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108,084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Total revenue was $5.6 million for the six months ended June 30, 2022, which is primarily flat compared to 2021.</w:t>
      </w:r>
    </w:p>
    <w:p>
      <w:pPr>
        <w:spacing w:after="0" w:line="2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Capital expenditures were $62.0 million for the six months ended June 30, 2022, a decrease of $46.0 million, as compared to 2021, primarily due to decreases in expenditures related to the EchoStar XXIV satellite program.</w:t>
      </w:r>
    </w:p>
    <w:p>
      <w:pPr>
        <w:sectPr>
          <w:pgSz w:w="11900" w:h="16838" w:orient="portrait"/>
          <w:cols w:equalWidth="0" w:num="1">
            <w:col w:w="11240"/>
          </w:cols>
          <w:pgMar w:left="320" w:top="140" w:right="33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Corporate and Other Segment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222250</wp:posOffset>
            </wp:positionV>
            <wp:extent cx="7109460" cy="151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9460" cy="151130"/>
                    </a:xfrm>
                    <a:prstGeom prst="rect">
                      <a:avLst/>
                    </a:prstGeom>
                    <a:noFill/>
                  </pic:spPr>
                </pic:pic>
              </a:graphicData>
            </a:graphic>
          </wp:anchor>
        </w:drawing>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EBITDA for the six months ended June 30, 2021</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Increase (decrease) in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3810</wp:posOffset>
            </wp:positionV>
            <wp:extent cx="7109460" cy="142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40" w:right="1200"/>
        <w:spacing w:after="0" w:line="261" w:lineRule="auto"/>
        <w:rPr>
          <w:sz w:val="20"/>
          <w:szCs w:val="20"/>
          <w:color w:val="auto"/>
        </w:rPr>
      </w:pPr>
      <w:r>
        <w:rPr>
          <w:rFonts w:ascii="Arial" w:cs="Arial" w:eastAsia="Arial" w:hAnsi="Arial"/>
          <w:sz w:val="18"/>
          <w:szCs w:val="18"/>
          <w:color w:val="auto"/>
        </w:rPr>
        <w:t>Increase (decrease) in operating income (loss), excluding depreciation and amortization Increase (decrease) in foreign currency transaction gains (losses),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7109460" cy="142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40" w:right="1700"/>
        <w:spacing w:after="0" w:line="266" w:lineRule="auto"/>
        <w:rPr>
          <w:sz w:val="20"/>
          <w:szCs w:val="20"/>
          <w:color w:val="auto"/>
        </w:rPr>
      </w:pPr>
      <w:r>
        <w:rPr>
          <w:rFonts w:ascii="Arial" w:cs="Arial" w:eastAsia="Arial" w:hAnsi="Arial"/>
          <w:sz w:val="18"/>
          <w:szCs w:val="18"/>
          <w:color w:val="auto"/>
        </w:rPr>
        <w:t>Decrease (increase) in equity in earnings (losses) of unconsolidated affiliates, net Increase (decrease) in gains (losses) on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-12700</wp:posOffset>
            </wp:positionV>
            <wp:extent cx="7109460" cy="168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9460" cy="16827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EBITDA for the six months ended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18"/>
        </w:trPr>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46,793</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19,598</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25"/>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26"/>
        </w:trPr>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(49,202)</w:t>
            </w:r>
          </w:p>
        </w:tc>
      </w:tr>
      <w:tr>
        <w:trPr>
          <w:trHeight w:val="218"/>
        </w:trPr>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16,940</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140"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Investment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liquid investments purchased with an original maturity of 90 days or less to be cash equivalents.</w:t>
      </w:r>
    </w:p>
    <w:p>
      <w:pPr>
        <w:spacing w:after="0" w:line="2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June 30, 2022 our cash, cash equivalents and marketable investment securities totaled $1.5 billion, $0.5 billion of which we held as marketable investment securities, consisting of various debt and equity instruments including corporate bonds, corporate equity securities, government bonds and mutual funds.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provided by (used for) operating, investing and financing activities, as reflected in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5"/>
        </w:trPr>
        <w:tc>
          <w:tcPr>
            <w:tcW w:w="6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Variance</w:t>
            </w: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(57,008)</w:t>
            </w: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280,295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566,292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(285,997)</w:t>
            </w: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979,747</w:t>
            </w:r>
          </w:p>
        </w:tc>
      </w:tr>
      <w:tr>
        <w:trPr>
          <w:trHeight w:val="22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636,457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flows provided by (used for) operating activities decreased by $57.0 million primarily attributable to changes in net income (loss) of $(13.2) million, depreciation and amortization of $(11.3) million, gains (losses) on investments, net of $51.1 million, foreign currency translation losses (gains), net of $(6.2) million, deferred tax provision (benefit), net of $(9.6) million, and other, net of $21.2 million and changes in assets and liabilities, net of $(89.5) million.</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flows provided by (used for) investing activities decreased by $286.0 million primarily attributable to our marketable investment securities net activity, other investments net activity, a decrease in expenditures for property and equipment, and the India JV formation.</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flows provided by (used for) financing activities improved by $979.7 million primarily attributable to decreases in treasury share repurchases of $86.7 million and the repurchase and maturity of our 7 5/8% Senior Unsecured Notes due 2021 of $901.8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June 30, 2022, our satellite-related commitments were $276.2 million. These primarily include payments pursuant to: i) agreements for the construction of the EchoStar XXIV satellite, ii) the EchoStar XXIV launch contract, iii) regulatory authorizations, and non-lease costs associated with our finance lease satellites, in-orbit incentives relating to certain satellites and commitments for satellite service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generally do not engage in off-balance sheet financing activities or use derivative financial instruments for hedge accounting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20"/>
                <w:szCs w:val="20"/>
                <w:color w:val="auto"/>
              </w:rPr>
            </w:pPr>
            <w:r>
              <w:rPr>
                <w:rFonts w:ascii="Arial" w:cs="Arial" w:eastAsia="Arial" w:hAnsi="Arial"/>
                <w:sz w:val="18"/>
                <w:szCs w:val="18"/>
                <w:i w:val="1"/>
                <w:iCs w:val="1"/>
                <w:color w:val="auto"/>
              </w:rPr>
              <w:t>Letters of Credit</w:t>
            </w: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51"/>
        </w:trPr>
        <w:tc>
          <w:tcPr>
            <w:tcW w:w="8980" w:type="dxa"/>
            <w:vAlign w:val="bottom"/>
          </w:tcPr>
          <w:p>
            <w:pPr>
              <w:spacing w:after="0"/>
              <w:rPr>
                <w:sz w:val="20"/>
                <w:szCs w:val="20"/>
                <w:color w:val="auto"/>
              </w:rPr>
            </w:pPr>
            <w:r>
              <w:rPr>
                <w:rFonts w:ascii="Arial" w:cs="Arial" w:eastAsia="Arial" w:hAnsi="Arial"/>
                <w:sz w:val="18"/>
                <w:szCs w:val="18"/>
                <w:color w:val="auto"/>
              </w:rPr>
              <w:t>The following table presents the components of our letters of credit as of June 30, 2022</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2"/>
        </w:trPr>
        <w:tc>
          <w:tcPr>
            <w:tcW w:w="89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Amounts</w:t>
            </w:r>
          </w:p>
        </w:tc>
      </w:tr>
      <w:tr>
        <w:trPr>
          <w:trHeight w:val="21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13,752</w:t>
            </w:r>
          </w:p>
        </w:tc>
      </w:tr>
      <w:tr>
        <w:trPr>
          <w:trHeight w:val="225"/>
        </w:trPr>
        <w:tc>
          <w:tcPr>
            <w:tcW w:w="8980" w:type="dxa"/>
            <w:vAlign w:val="bottom"/>
          </w:tcPr>
          <w:p>
            <w:pPr>
              <w:ind w:left="20"/>
              <w:spacing w:after="0"/>
              <w:rPr>
                <w:sz w:val="20"/>
                <w:szCs w:val="20"/>
                <w:color w:val="auto"/>
              </w:rPr>
            </w:pPr>
            <w:r>
              <w:rPr>
                <w:rFonts w:ascii="Arial" w:cs="Arial" w:eastAsia="Arial" w:hAnsi="Arial"/>
                <w:sz w:val="18"/>
                <w:szCs w:val="18"/>
                <w:color w:val="auto"/>
              </w:rPr>
              <w:t>Insurance bonds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7,091</w:t>
            </w:r>
          </w:p>
        </w:tc>
      </w:tr>
      <w:tr>
        <w:trPr>
          <w:trHeight w:val="225"/>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arrangement available to our foreign subsidiaries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30,192</w:t>
            </w:r>
          </w:p>
        </w:tc>
      </w:tr>
      <w:tr>
        <w:trPr>
          <w:trHeight w:val="219"/>
        </w:trPr>
        <w:tc>
          <w:tcPr>
            <w:tcW w:w="8980" w:type="dxa"/>
            <w:vAlign w:val="bottom"/>
          </w:tcPr>
          <w:p>
            <w:pPr>
              <w:ind w:left="240"/>
              <w:spacing w:after="0"/>
              <w:rPr>
                <w:sz w:val="20"/>
                <w:szCs w:val="20"/>
                <w:color w:val="auto"/>
              </w:rPr>
            </w:pPr>
            <w:r>
              <w:rPr>
                <w:rFonts w:ascii="Arial" w:cs="Arial" w:eastAsia="Arial" w:hAnsi="Arial"/>
                <w:sz w:val="18"/>
                <w:szCs w:val="18"/>
                <w:color w:val="auto"/>
              </w:rPr>
              <w:t>Total letters of credit</w:t>
            </w: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51,035</w:t>
            </w:r>
          </w:p>
        </w:tc>
      </w:tr>
      <w:tr>
        <w:trPr>
          <w:trHeight w:val="20"/>
        </w:trPr>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Certain letters of credit are secured by assets of our foreign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acquire or lease additional satellites or satellite capacity in the future to provide satellite services at additional orbital locations or to improve the quality of our satellite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our joint venture agreement with Al Yah Satellite Communications Company PrJSC (“Yahsat”), we are required to maintain insurance for the Al Yah 3 Brazilian payload during the commercial in-orbit service of such payload, subject to certain limitations on coverage. Our satellites and other payloads, either in orbit or under construction, are not covered by launch or in-orbit insurance. We will continue to assess circumstances going forward and make insurance-related decisions on a case-by-case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Requirements</w:t>
      </w:r>
    </w:p>
    <w:p>
      <w:pPr>
        <w:spacing w:after="0" w:line="23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ARPU. Revenue in our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Furthermore, if we experience negative cash flows, our existing cash and marketable investment securities balances may be reduced.</w:t>
      </w:r>
    </w:p>
    <w:p>
      <w:pPr>
        <w:spacing w:after="0" w:line="22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 significant amount of outstanding indebtedness. As of June 30, 2022, our total indebtedness was $1.5 billion. Refer to our Form 10-K for a discussion of the terms of our long-term debt. Our liquidity requirements will continue to be significant, primarily due to our remaining debt service requirements and the design and construction and launch of our new EchoStar XXIV satellite. We may from time to time seek to purchase amounts of our outstanding debt in open market purchases, privately negotiated transactions or otherwise, depending on market conditions, our liquidity needs and other factors. The amounts we may repurchase may be material. In addition, our future capital expenditures are likely to increase if we make acquisitions or additional investments in infrastructure, technologies or joint ventures to support and expand our business, or if we decide to purchase or build additional satellites or other technologies or assets. Other aspects of our business operations may also require additional capital. We also expect to owe U.S. Federal income tax for 2022.</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anticipate that our existing cash and marketable investment securities are sufficient to fund the currently anticipated operations of our business through the next twelve months.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6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November 2, 2021, our Board of Directors authorized us to repurchase up to $500.0 million of our Class A common stock commencing January 1, 2022 through and including December 31, 2022. Purchases under our repurchase authorizations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these authorizations and we may also enter into additional share repurchase programs authorized by our Board of Directors. During the three and six months ended June 30, 2022, we repurchased 1,924,875 and 3,386,969 shares of our Class A common stock for $42.8 million and $77.9 million, respectively under this program. The remaining authorization under this program was $422.1 million as of June 30, 2022.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Our critical accounting policies are described in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in our Consolidated Financial Statements in our Form 10-K. There have been no significant changes in our critical accounting policies from those presented in our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critical accounting estimates are described in our Form 10-K under the heading Part II - Item 7. Management’s Discussion and Analysis of Financial Condition and Results of Operations. There have been no significant changes in our critical accounting estimates from those presented in our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48"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 xml:space="preserve">For a discussion of new accounting pronouncements, 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in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44"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We cannot predict with any certainty whether these trends will continue in the near future as the economy and our customers react to the COVID-19 pandemic and experience associated disruptions and dislocations.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SUPPLY CHAIN</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Inflation started to impact our operations in 2021 and we have continued to experience increased costs in certain functional areas including field services and customer care. We are unable to predict the extent or nature of any future inflationary pressure at this time. Our ability to increase the prices charged for our products and services in future periods will depend primarily on competitive pressures or contractual terms.</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worldwide interruptions and delays in the supply of components, materials and parts, although not materially impacting our operations during the first half of 2022, may impact our ability to timely provide equipment deliveries in the future. These interruptions and delays could also increase the cost of our equipment which we may not be able to pass onto our customers.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primarily includes the sales of consumer and enterprise broadband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other contracted services, revenue associated with satellite and transponder leases and services, satellite uplinking/downlinking, subscriber wholesale service fees for the HughesNet service professional services and facilities rental revenue.</w:t>
      </w:r>
    </w:p>
    <w:p>
      <w:pPr>
        <w:spacing w:after="0" w:line="1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consumer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markets.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and enterprise customers, maintenance and other contracted services, costs associated with satellite and transponder leases and services, professional services and facilities rental.</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 our consumer and enterprise markets. It also includes certain other costs associated with the deployment of equipment to our customers.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primarily include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information systems, human resources and other services), including stock-based compensation expense. It also includes professional fees (e.g. legal, information systems and accounting services) and other expenses associated with facilities and administrative services.</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includes our impairment losses related to our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regulatory authorizations and other intangible assets.</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primarily includes interest earned on our cash, cash equivalents and marketable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including premium amortization and discount accretion on debt securities.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finance lease obligations (net of capitalized interest), amortization of debt issuance costs and interest expense related to certain legal proceedings.</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from our investments accounted for using the equity method.</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Foreign currency transaction gains (losses), net</w:t>
      </w:r>
      <w:r>
        <w:rPr>
          <w:rFonts w:ascii="Arial" w:cs="Arial" w:eastAsia="Arial" w:hAnsi="Arial"/>
          <w:sz w:val="18"/>
          <w:szCs w:val="18"/>
          <w:color w:val="auto"/>
        </w:rPr>
        <w:t>. Foreign currency transaction gains (losses), net include gains and losses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re-measurement of transactions denominated in foreign currencies.</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dividends received from our marketable investment securities and other non-operating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items that are not appropriately classified elsewhere in the Consolidated Statements of Operations in our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and Net income (loss) attributable to non-controlling interests (“EBITDA”)</w:t>
      </w:r>
      <w:r>
        <w:rPr>
          <w:rFonts w:ascii="Arial" w:cs="Arial" w:eastAsia="Arial" w:hAnsi="Arial"/>
          <w:sz w:val="18"/>
          <w:szCs w:val="18"/>
          <w:color w:val="auto"/>
        </w:rPr>
        <w:t>. EBITDA is defined as Net income (loss) excluding Interest income and expense, net, Income tax benefit (provision),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 xml:space="preserve">Subscribers. </w:t>
      </w:r>
      <w:r>
        <w:rPr>
          <w:rFonts w:ascii="Arial" w:cs="Arial" w:eastAsia="Arial" w:hAnsi="Arial"/>
          <w:sz w:val="18"/>
          <w:szCs w:val="18"/>
          <w:color w:val="auto"/>
        </w:rPr>
        <w:t>Subscribers include customers that subscribe to our HughesNet service, through retail, wholesale and small/medium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channels.</w:t>
      </w:r>
    </w:p>
    <w:p>
      <w:pPr>
        <w:spacing w:after="0" w:line="1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Refer to our Form 10-K, under the heading Part II - Item 7A. Quantitative and Qualitative Disclosures About Market Risk, for a more complete discussion of our risks. As of June 30, 2022, our market risk has not changed materially from those presented in our Form 10-K.</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as of the end of the period covered by this Form 10-Q. Based upon that evaluation, our Chief Executive Officer and Chief Financial Officer concluded that our disclosure controls and procedures were effective as of the end of the period covered by this Form 10-Q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and Rule 15d-15(f) under the Securities Exchange Act of 1934, as amended) that occurred during the three months ended June 30, 2022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discussion of legal proceedings, refer to Part I, Item 1. Financial Statements - </w:t>
      </w:r>
      <w:r>
        <w:rPr>
          <w:rFonts w:ascii="Arial" w:cs="Arial" w:eastAsia="Arial" w:hAnsi="Arial"/>
          <w:sz w:val="18"/>
          <w:szCs w:val="18"/>
          <w:i w:val="1"/>
          <w:iCs w:val="1"/>
          <w:color w:val="auto"/>
        </w:rPr>
        <w:t>Note 14. Contingencies</w:t>
      </w:r>
      <w:r>
        <w:rPr>
          <w:rFonts w:ascii="Arial" w:cs="Arial" w:eastAsia="Arial" w:hAnsi="Arial"/>
          <w:sz w:val="18"/>
          <w:szCs w:val="18"/>
          <w:color w:val="auto"/>
        </w:rPr>
        <w:t xml:space="preserve"> - Litigation in this Form 10-Q.</w:t>
      </w:r>
    </w:p>
    <w:p>
      <w:pPr>
        <w:spacing w:after="0" w:line="24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 of our Form 10-K for the year ended December 31, 2021 includes a detailed discussion of our risk factors.</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Pursuant to a stock repurchase program approved by our board of directors, we are authorized to repurchase up to $500.0 million of our Class A common stock through December 31, 2022. During the year ended December 31, 2021, we repurchased 10,941,872 shares of our Class A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Class A common stock during the three months ended June 30, 2022:</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Total Number of</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Shares (or Units)</w:t>
            </w:r>
          </w:p>
        </w:tc>
        <w:tc>
          <w:tcPr>
            <w:tcW w:w="120" w:type="dxa"/>
            <w:vAlign w:val="bottom"/>
          </w:tcPr>
          <w:p>
            <w:pPr>
              <w:spacing w:after="0"/>
              <w:rPr>
                <w:sz w:val="11"/>
                <w:szCs w:val="11"/>
                <w:color w:val="auto"/>
              </w:rPr>
            </w:pPr>
          </w:p>
        </w:tc>
        <w:tc>
          <w:tcPr>
            <w:tcW w:w="154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99"/>
              </w:rPr>
              <w:t>Value) of Shares (or</w:t>
            </w: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w:t>
            </w: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Purchased as Part of</w:t>
            </w:r>
          </w:p>
        </w:tc>
        <w:tc>
          <w:tcPr>
            <w:tcW w:w="16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Units) That May Yet Be</w:t>
            </w:r>
          </w:p>
        </w:tc>
        <w:tc>
          <w:tcPr>
            <w:tcW w:w="0" w:type="dxa"/>
            <w:vAlign w:val="bottom"/>
          </w:tcPr>
          <w:p>
            <w:pPr>
              <w:spacing w:after="0"/>
              <w:rPr>
                <w:sz w:val="1"/>
                <w:szCs w:val="1"/>
                <w:color w:val="auto"/>
              </w:rPr>
            </w:pPr>
          </w:p>
        </w:tc>
      </w:tr>
      <w:tr>
        <w:trPr>
          <w:trHeight w:val="133"/>
        </w:trPr>
        <w:tc>
          <w:tcPr>
            <w:tcW w:w="4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6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Shares (or Units)</w:t>
            </w:r>
          </w:p>
        </w:tc>
        <w:tc>
          <w:tcPr>
            <w:tcW w:w="1580" w:type="dxa"/>
            <w:vAlign w:val="bottom"/>
            <w:gridSpan w:val="3"/>
            <w:vMerge w:val="continue"/>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Publicly Disclosed</w:t>
            </w:r>
          </w:p>
        </w:tc>
        <w:tc>
          <w:tcPr>
            <w:tcW w:w="120" w:type="dxa"/>
            <w:vAlign w:val="bottom"/>
          </w:tcPr>
          <w:p>
            <w:pPr>
              <w:spacing w:after="0"/>
              <w:rPr>
                <w:sz w:val="11"/>
                <w:szCs w:val="11"/>
                <w:color w:val="auto"/>
              </w:rPr>
            </w:pPr>
          </w:p>
        </w:tc>
        <w:tc>
          <w:tcPr>
            <w:tcW w:w="154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2"/>
        </w:trPr>
        <w:tc>
          <w:tcPr>
            <w:tcW w:w="4740" w:type="dxa"/>
            <w:vAlign w:val="bottom"/>
            <w:vMerge w:val="continue"/>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Purchased</w:t>
            </w:r>
          </w:p>
        </w:tc>
        <w:tc>
          <w:tcPr>
            <w:tcW w:w="1580" w:type="dxa"/>
            <w:vAlign w:val="bottom"/>
            <w:gridSpan w:val="3"/>
          </w:tcPr>
          <w:p>
            <w:pPr>
              <w:ind w:left="120"/>
              <w:spacing w:after="0"/>
              <w:rPr>
                <w:sz w:val="20"/>
                <w:szCs w:val="20"/>
                <w:color w:val="auto"/>
              </w:rPr>
            </w:pPr>
            <w:r>
              <w:rPr>
                <w:rFonts w:ascii="Arial" w:cs="Arial" w:eastAsia="Arial" w:hAnsi="Arial"/>
                <w:sz w:val="14"/>
                <w:szCs w:val="14"/>
                <w:b w:val="1"/>
                <w:bCs w:val="1"/>
                <w:color w:val="auto"/>
              </w:rPr>
              <w:t>Per Share (or Unit)</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 or Program</w:t>
            </w:r>
          </w:p>
        </w:tc>
        <w:tc>
          <w:tcPr>
            <w:tcW w:w="120" w:type="dxa"/>
            <w:vAlign w:val="bottom"/>
          </w:tcPr>
          <w:p>
            <w:pPr>
              <w:spacing w:after="0"/>
              <w:rPr>
                <w:sz w:val="14"/>
                <w:szCs w:val="14"/>
                <w:color w:val="auto"/>
              </w:rPr>
            </w:pPr>
          </w:p>
        </w:tc>
        <w:tc>
          <w:tcPr>
            <w:tcW w:w="1540" w:type="dxa"/>
            <w:vAlign w:val="bottom"/>
          </w:tcPr>
          <w:p>
            <w:pPr>
              <w:jc w:val="center"/>
              <w:ind w:right="41"/>
              <w:spacing w:after="0" w:line="172" w:lineRule="exact"/>
              <w:rPr>
                <w:sz w:val="20"/>
                <w:szCs w:val="20"/>
                <w:color w:val="auto"/>
              </w:rPr>
            </w:pPr>
            <w:r>
              <w:rPr>
                <w:rFonts w:ascii="Arial" w:cs="Arial" w:eastAsia="Arial" w:hAnsi="Arial"/>
                <w:sz w:val="14"/>
                <w:szCs w:val="14"/>
                <w:b w:val="1"/>
                <w:bCs w:val="1"/>
                <w:color w:val="auto"/>
                <w:w w:val="99"/>
              </w:rPr>
              <w:t xml:space="preserve">Plans or Program </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18"/>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1 - 30</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455,303</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455,303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453,870</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May 1 - 31</w:t>
            </w:r>
          </w:p>
        </w:tc>
        <w:tc>
          <w:tcPr>
            <w:tcW w:w="1540" w:type="dxa"/>
            <w:vAlign w:val="bottom"/>
          </w:tcPr>
          <w:p>
            <w:pPr>
              <w:jc w:val="right"/>
              <w:spacing w:after="0"/>
              <w:rPr>
                <w:sz w:val="20"/>
                <w:szCs w:val="20"/>
                <w:color w:val="auto"/>
              </w:rPr>
            </w:pPr>
            <w:r>
              <w:rPr>
                <w:rFonts w:ascii="Arial" w:cs="Arial" w:eastAsia="Arial" w:hAnsi="Arial"/>
                <w:sz w:val="18"/>
                <w:szCs w:val="18"/>
                <w:color w:val="auto"/>
              </w:rPr>
              <w:t>1,141,754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19"/>
                <w:szCs w:val="19"/>
                <w:color w:val="auto"/>
              </w:rPr>
            </w:pPr>
          </w:p>
        </w:tc>
        <w:tc>
          <w:tcPr>
            <w:tcW w:w="1520" w:type="dxa"/>
            <w:vAlign w:val="bottom"/>
          </w:tcPr>
          <w:p>
            <w:pPr>
              <w:jc w:val="right"/>
              <w:ind w:right="2"/>
              <w:spacing w:after="0"/>
              <w:rPr>
                <w:sz w:val="20"/>
                <w:szCs w:val="20"/>
                <w:color w:val="auto"/>
              </w:rPr>
            </w:pPr>
            <w:r>
              <w:rPr>
                <w:rFonts w:ascii="Arial" w:cs="Arial" w:eastAsia="Arial" w:hAnsi="Arial"/>
                <w:sz w:val="18"/>
                <w:szCs w:val="18"/>
                <w:color w:val="auto"/>
              </w:rPr>
              <w:t>1,141,754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18"/>
                <w:szCs w:val="18"/>
                <w:color w:val="auto"/>
              </w:rPr>
              <w:t>428,845</w:t>
            </w: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1 - 30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327,818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327,818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422,136</w:t>
            </w:r>
          </w:p>
        </w:tc>
        <w:tc>
          <w:tcPr>
            <w:tcW w:w="0" w:type="dxa"/>
            <w:vAlign w:val="bottom"/>
          </w:tcPr>
          <w:p>
            <w:pPr>
              <w:spacing w:after="0"/>
              <w:rPr>
                <w:sz w:val="1"/>
                <w:szCs w:val="1"/>
                <w:color w:val="auto"/>
              </w:rPr>
            </w:pPr>
          </w:p>
        </w:tc>
      </w:tr>
      <w:tr>
        <w:trPr>
          <w:trHeight w:val="219"/>
        </w:trPr>
        <w:tc>
          <w:tcPr>
            <w:tcW w:w="4740" w:type="dxa"/>
            <w:vAlign w:val="bottom"/>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1,924,875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1,924,875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422,136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20" w:hanging="314"/>
        <w:spacing w:after="0" w:line="214" w:lineRule="auto"/>
        <w:tabs>
          <w:tab w:leader="none" w:pos="153"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On November 2, 2021, our Board of Directors authorized us to repurchase up to $500.0 million of our Class A common stock commencing January 1, 2022 through and including December 31, 2022. All shares repurchased reflected in the table above have been converted to treasury shares.</w:t>
      </w: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August 3, 2022, we issued a press release (the “Press Release”) announcing our financial results for the quarter ended June 30, 2022. A copy of the Press Release is furnished herewith as Exhibit 99.1. The foregoing information, including the exhibit related thereto, is furnished in response to Item 2.02 of Form 8-K and shall not be deemed “filed” for the purposes of Section 18 of the Securities Exchange Act of 1934, as amended, or otherwise, and shall not be incorporated by reference into any registration statement or other document pursuant to the Securities Act of 1933, as amended, or into any filing or other document pursuant to the Securities Exchange Act of 1934, as amended, except as otherwise expressly stated in any such filing.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7"/>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7"/>
              </w:rPr>
              <w:t>Exhibit No.</w:t>
            </w:r>
          </w:p>
        </w:tc>
        <w:tc>
          <w:tcPr>
            <w:tcW w:w="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gridSpan w:val="3"/>
          </w:tcPr>
          <w:p>
            <w:pPr>
              <w:spacing w:after="0" w:line="179" w:lineRule="exact"/>
              <w:rPr>
                <w:rFonts w:ascii="Arial" w:cs="Arial" w:eastAsia="Arial" w:hAnsi="Arial"/>
                <w:sz w:val="18"/>
                <w:szCs w:val="18"/>
                <w:color w:val="0000FF"/>
                <w:w w:val="96"/>
              </w:rPr>
            </w:pPr>
            <w:hyperlink w:anchor="page68">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1(H)</w:t>
              </w:r>
            </w:hyperlink>
          </w:p>
        </w:tc>
        <w:tc>
          <w:tcPr>
            <w:tcW w:w="7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spacing w:after="0" w:line="179" w:lineRule="exact"/>
              <w:rPr>
                <w:rFonts w:ascii="Arial" w:cs="Arial" w:eastAsia="Arial" w:hAnsi="Arial"/>
                <w:sz w:val="18"/>
                <w:szCs w:val="18"/>
                <w:color w:val="0000FF"/>
                <w:w w:val="98"/>
              </w:rPr>
            </w:pPr>
            <w:hyperlink w:anchor="page68">
              <w:r>
                <w:rPr>
                  <w:rFonts w:ascii="Arial" w:cs="Arial" w:eastAsia="Arial" w:hAnsi="Arial"/>
                  <w:sz w:val="18"/>
                  <w:szCs w:val="18"/>
                  <w:color w:val="0000FF"/>
                  <w:w w:val="98"/>
                </w:rPr>
                <w:t>Section 302</w:t>
              </w:r>
            </w:hyperlink>
          </w:p>
        </w:tc>
        <w:tc>
          <w:tcPr>
            <w:tcW w:w="8100" w:type="dxa"/>
            <w:vAlign w:val="bottom"/>
            <w:gridSpan w:val="4"/>
          </w:tcPr>
          <w:p>
            <w:pPr>
              <w:ind w:left="40"/>
              <w:spacing w:after="0" w:line="179" w:lineRule="exact"/>
              <w:rPr>
                <w:rFonts w:ascii="Arial" w:cs="Arial" w:eastAsia="Arial" w:hAnsi="Arial"/>
                <w:sz w:val="18"/>
                <w:szCs w:val="18"/>
                <w:color w:val="0000FF"/>
              </w:rPr>
            </w:pPr>
            <w:hyperlink w:anchor="page68">
              <w:r>
                <w:rPr>
                  <w:rFonts w:ascii="Arial" w:cs="Arial" w:eastAsia="Arial" w:hAnsi="Arial"/>
                  <w:sz w:val="18"/>
                  <w:szCs w:val="18"/>
                  <w:color w:val="0000FF"/>
                </w:rPr>
                <w:t>Certification of Chief Executive Officer.</w:t>
              </w:r>
            </w:hyperlink>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Borders>
              <w:top w:val="single" w:sz="8" w:color="0000FF"/>
            </w:tcBorders>
            <w:gridSpan w:val="3"/>
          </w:tcPr>
          <w:p>
            <w:pPr>
              <w:spacing w:after="0" w:line="205" w:lineRule="exact"/>
              <w:rPr>
                <w:rFonts w:ascii="Arial" w:cs="Arial" w:eastAsia="Arial" w:hAnsi="Arial"/>
                <w:sz w:val="18"/>
                <w:szCs w:val="18"/>
                <w:color w:val="0000FF"/>
                <w:w w:val="96"/>
              </w:rPr>
            </w:pPr>
            <w:hyperlink w:anchor="page69">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2(H)</w:t>
              </w:r>
            </w:hyperlink>
          </w:p>
        </w:tc>
        <w:tc>
          <w:tcPr>
            <w:tcW w:w="7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0000FF"/>
            </w:tcBorders>
            <w:gridSpan w:val="2"/>
          </w:tcPr>
          <w:p>
            <w:pPr>
              <w:spacing w:after="0" w:line="205" w:lineRule="exact"/>
              <w:rPr>
                <w:rFonts w:ascii="Arial" w:cs="Arial" w:eastAsia="Arial" w:hAnsi="Arial"/>
                <w:sz w:val="18"/>
                <w:szCs w:val="18"/>
                <w:color w:val="0000FF"/>
                <w:w w:val="98"/>
              </w:rPr>
            </w:pPr>
            <w:hyperlink w:anchor="page69">
              <w:r>
                <w:rPr>
                  <w:rFonts w:ascii="Arial" w:cs="Arial" w:eastAsia="Arial" w:hAnsi="Arial"/>
                  <w:sz w:val="18"/>
                  <w:szCs w:val="18"/>
                  <w:color w:val="0000FF"/>
                  <w:w w:val="98"/>
                </w:rPr>
                <w:t>Section 302</w:t>
              </w:r>
            </w:hyperlink>
          </w:p>
        </w:tc>
        <w:tc>
          <w:tcPr>
            <w:tcW w:w="3040" w:type="dxa"/>
            <w:vAlign w:val="bottom"/>
            <w:tcBorders>
              <w:top w:val="single" w:sz="8" w:color="0000FF"/>
            </w:tcBorders>
            <w:gridSpan w:val="2"/>
          </w:tcPr>
          <w:p>
            <w:pPr>
              <w:ind w:left="40"/>
              <w:spacing w:after="0" w:line="205" w:lineRule="exact"/>
              <w:rPr>
                <w:rFonts w:ascii="Arial" w:cs="Arial" w:eastAsia="Arial" w:hAnsi="Arial"/>
                <w:sz w:val="18"/>
                <w:szCs w:val="18"/>
                <w:color w:val="0000FF"/>
                <w:w w:val="98"/>
              </w:rPr>
            </w:pPr>
            <w:hyperlink w:anchor="page69">
              <w:r>
                <w:rPr>
                  <w:rFonts w:ascii="Arial" w:cs="Arial" w:eastAsia="Arial" w:hAnsi="Arial"/>
                  <w:sz w:val="18"/>
                  <w:szCs w:val="18"/>
                  <w:color w:val="0000FF"/>
                  <w:w w:val="98"/>
                </w:rPr>
                <w:t>Certification of Chief Financial Officer.</w:t>
              </w:r>
            </w:hyperlink>
          </w:p>
        </w:tc>
        <w:tc>
          <w:tcPr>
            <w:tcW w:w="5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Borders>
              <w:bottom w:val="single" w:sz="8" w:color="0000FF"/>
            </w:tcBorders>
            <w:gridSpan w:val="2"/>
          </w:tcPr>
          <w:p>
            <w:pPr>
              <w:spacing w:after="0" w:line="205" w:lineRule="exact"/>
              <w:rPr>
                <w:rFonts w:ascii="Arial" w:cs="Arial" w:eastAsia="Arial" w:hAnsi="Arial"/>
                <w:sz w:val="18"/>
                <w:szCs w:val="18"/>
                <w:color w:val="0000FF"/>
              </w:rPr>
            </w:pPr>
            <w:hyperlink w:anchor="page70">
              <w:r>
                <w:rPr>
                  <w:rFonts w:ascii="Arial" w:cs="Arial" w:eastAsia="Arial" w:hAnsi="Arial"/>
                  <w:sz w:val="18"/>
                  <w:szCs w:val="18"/>
                  <w:color w:val="0000FF"/>
                </w:rPr>
                <w:t>32.</w:t>
              </w:r>
              <w:r>
                <w:rPr>
                  <w:rFonts w:ascii="Arial" w:cs="Arial" w:eastAsia="Arial" w:hAnsi="Arial"/>
                  <w:sz w:val="18"/>
                  <w:szCs w:val="18"/>
                  <w:u w:val="single" w:color="auto"/>
                  <w:color w:val="0000FF"/>
                </w:rPr>
                <w:t>1(I)</w:t>
              </w:r>
            </w:hyperlink>
          </w:p>
        </w:tc>
        <w:tc>
          <w:tcPr>
            <w:tcW w:w="7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bottom w:val="single" w:sz="8" w:color="0000FF"/>
            </w:tcBorders>
            <w:gridSpan w:val="2"/>
          </w:tcPr>
          <w:p>
            <w:pPr>
              <w:spacing w:after="0" w:line="205" w:lineRule="exact"/>
              <w:rPr>
                <w:rFonts w:ascii="Arial" w:cs="Arial" w:eastAsia="Arial" w:hAnsi="Arial"/>
                <w:sz w:val="18"/>
                <w:szCs w:val="18"/>
                <w:color w:val="0000FF"/>
                <w:w w:val="98"/>
              </w:rPr>
            </w:pPr>
            <w:hyperlink w:anchor="page70">
              <w:r>
                <w:rPr>
                  <w:rFonts w:ascii="Arial" w:cs="Arial" w:eastAsia="Arial" w:hAnsi="Arial"/>
                  <w:sz w:val="18"/>
                  <w:szCs w:val="18"/>
                  <w:color w:val="0000FF"/>
                  <w:w w:val="98"/>
                </w:rPr>
                <w:t>Section 906</w:t>
              </w:r>
            </w:hyperlink>
          </w:p>
        </w:tc>
        <w:tc>
          <w:tcPr>
            <w:tcW w:w="5260" w:type="dxa"/>
            <w:vAlign w:val="bottom"/>
            <w:tcBorders>
              <w:bottom w:val="single" w:sz="8" w:color="0000FF"/>
            </w:tcBorders>
            <w:gridSpan w:val="3"/>
          </w:tcPr>
          <w:p>
            <w:pPr>
              <w:ind w:left="40"/>
              <w:spacing w:after="0" w:line="205" w:lineRule="exact"/>
              <w:rPr>
                <w:rFonts w:ascii="Arial" w:cs="Arial" w:eastAsia="Arial" w:hAnsi="Arial"/>
                <w:sz w:val="18"/>
                <w:szCs w:val="18"/>
                <w:color w:val="0000FF"/>
                <w:w w:val="97"/>
              </w:rPr>
            </w:pPr>
            <w:hyperlink w:anchor="page70">
              <w:r>
                <w:rPr>
                  <w:rFonts w:ascii="Arial" w:cs="Arial" w:eastAsia="Arial" w:hAnsi="Arial"/>
                  <w:sz w:val="18"/>
                  <w:szCs w:val="18"/>
                  <w:color w:val="0000FF"/>
                  <w:w w:val="97"/>
                </w:rPr>
                <w:t>Certifications of Chief Executive Officer and Chief Financial Officer.</w:t>
              </w:r>
            </w:hyperlink>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5"/>
          </w:tcPr>
          <w:p>
            <w:pPr>
              <w:spacing w:after="0" w:line="205" w:lineRule="exact"/>
              <w:rPr>
                <w:rFonts w:ascii="Arial" w:cs="Arial" w:eastAsia="Arial" w:hAnsi="Arial"/>
                <w:sz w:val="18"/>
                <w:szCs w:val="18"/>
                <w:color w:val="0000FF"/>
              </w:rPr>
            </w:pPr>
            <w:hyperlink w:anchor="page71">
              <w:r>
                <w:rPr>
                  <w:rFonts w:ascii="Arial" w:cs="Arial" w:eastAsia="Arial" w:hAnsi="Arial"/>
                  <w:sz w:val="18"/>
                  <w:szCs w:val="18"/>
                  <w:color w:val="0000FF"/>
                </w:rPr>
                <w:t>99.</w:t>
              </w:r>
              <w:r>
                <w:rPr>
                  <w:rFonts w:ascii="Arial" w:cs="Arial" w:eastAsia="Arial" w:hAnsi="Arial"/>
                  <w:sz w:val="18"/>
                  <w:szCs w:val="18"/>
                  <w:u w:val="single" w:color="auto"/>
                  <w:color w:val="0000FF"/>
                </w:rPr>
                <w:t>1(I)</w:t>
              </w:r>
            </w:hyperlink>
          </w:p>
        </w:tc>
        <w:tc>
          <w:tcPr>
            <w:tcW w:w="20" w:type="dxa"/>
            <w:vAlign w:val="bottom"/>
          </w:tcPr>
          <w:p>
            <w:pPr>
              <w:spacing w:after="0"/>
              <w:rPr>
                <w:sz w:val="17"/>
                <w:szCs w:val="17"/>
                <w:color w:val="auto"/>
              </w:rPr>
            </w:pPr>
          </w:p>
        </w:tc>
        <w:tc>
          <w:tcPr>
            <w:tcW w:w="300" w:type="dxa"/>
            <w:vAlign w:val="bottom"/>
            <w:vMerge w:val="restart"/>
          </w:tcPr>
          <w:p>
            <w:pPr>
              <w:spacing w:after="0"/>
              <w:rPr>
                <w:rFonts w:ascii="Arial" w:cs="Arial" w:eastAsia="Arial" w:hAnsi="Arial"/>
                <w:sz w:val="18"/>
                <w:szCs w:val="18"/>
                <w:color w:val="0000FF"/>
                <w:w w:val="71"/>
              </w:rPr>
            </w:pPr>
            <w:hyperlink w:anchor="page71">
              <w:r>
                <w:rPr>
                  <w:rFonts w:ascii="Arial" w:cs="Arial" w:eastAsia="Arial" w:hAnsi="Arial"/>
                  <w:sz w:val="18"/>
                  <w:szCs w:val="18"/>
                  <w:color w:val="0000FF"/>
                  <w:w w:val="71"/>
                </w:rPr>
                <w:t>June</w:t>
              </w:r>
            </w:hyperlink>
          </w:p>
        </w:tc>
        <w:tc>
          <w:tcPr>
            <w:tcW w:w="9060" w:type="dxa"/>
            <w:vAlign w:val="bottom"/>
            <w:gridSpan w:val="6"/>
          </w:tcPr>
          <w:p>
            <w:pPr>
              <w:spacing w:after="0" w:line="205" w:lineRule="exact"/>
              <w:rPr>
                <w:rFonts w:ascii="Arial" w:cs="Arial" w:eastAsia="Arial" w:hAnsi="Arial"/>
                <w:sz w:val="18"/>
                <w:szCs w:val="18"/>
                <w:color w:val="0000FF"/>
              </w:rPr>
            </w:pPr>
            <w:hyperlink w:anchor="page71">
              <w:r>
                <w:rPr>
                  <w:rFonts w:ascii="Arial" w:cs="Arial" w:eastAsia="Arial" w:hAnsi="Arial"/>
                  <w:sz w:val="18"/>
                  <w:szCs w:val="18"/>
                  <w:color w:val="0000FF"/>
                </w:rPr>
                <w:t xml:space="preserve">Press release dated August </w:t>
              </w:r>
            </w:hyperlink>
            <w:r>
              <w:rPr>
                <w:rFonts w:ascii="Arial" w:cs="Arial" w:eastAsia="Arial" w:hAnsi="Arial"/>
                <w:sz w:val="18"/>
                <w:szCs w:val="18"/>
                <w:color w:val="0000FF"/>
              </w:rPr>
              <w:t xml:space="preserve">3, </w:t>
            </w:r>
            <w:hyperlink w:anchor="page71">
              <w:r>
                <w:rPr>
                  <w:rFonts w:ascii="Arial" w:cs="Arial" w:eastAsia="Arial" w:hAnsi="Arial"/>
                  <w:sz w:val="18"/>
                  <w:szCs w:val="18"/>
                  <w:color w:val="0000FF"/>
                </w:rPr>
                <w:t>2022 issued by EchoStar Corporation regarding financial results for the period end</w:t>
              </w:r>
            </w:hyperlink>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0000FF"/>
            </w:tcBorders>
            <w:vMerge w:val="continue"/>
          </w:tcPr>
          <w:p>
            <w:pPr>
              <w:spacing w:after="0"/>
              <w:rPr>
                <w:sz w:val="13"/>
                <w:szCs w:val="13"/>
                <w:color w:val="auto"/>
              </w:rPr>
            </w:pPr>
          </w:p>
        </w:tc>
        <w:tc>
          <w:tcPr>
            <w:tcW w:w="860" w:type="dxa"/>
            <w:vAlign w:val="bottom"/>
            <w:tcBorders>
              <w:top w:val="single" w:sz="8" w:color="0000FF"/>
              <w:bottom w:val="single" w:sz="8" w:color="0000FF"/>
            </w:tcBorders>
          </w:tcPr>
          <w:p>
            <w:pPr>
              <w:ind w:left="120"/>
              <w:spacing w:after="0" w:line="152" w:lineRule="exact"/>
              <w:rPr>
                <w:rFonts w:ascii="Arial" w:cs="Arial" w:eastAsia="Arial" w:hAnsi="Arial"/>
                <w:sz w:val="17"/>
                <w:szCs w:val="17"/>
                <w:color w:val="0000FF"/>
              </w:rPr>
            </w:pPr>
            <w:hyperlink w:anchor="page71">
              <w:r>
                <w:rPr>
                  <w:rFonts w:ascii="Arial" w:cs="Arial" w:eastAsia="Arial" w:hAnsi="Arial"/>
                  <w:sz w:val="17"/>
                  <w:szCs w:val="17"/>
                  <w:color w:val="0000FF"/>
                </w:rPr>
                <w:t>30, 2022.</w:t>
              </w:r>
            </w:hyperlink>
          </w:p>
        </w:tc>
        <w:tc>
          <w:tcPr>
            <w:tcW w:w="100" w:type="dxa"/>
            <w:vAlign w:val="bottom"/>
            <w:tcBorders>
              <w:top w:val="single" w:sz="8" w:color="0000FF"/>
            </w:tcBorders>
          </w:tcPr>
          <w:p>
            <w:pPr>
              <w:spacing w:after="0"/>
              <w:rPr>
                <w:sz w:val="13"/>
                <w:szCs w:val="13"/>
                <w:color w:val="auto"/>
              </w:rPr>
            </w:pPr>
          </w:p>
        </w:tc>
        <w:tc>
          <w:tcPr>
            <w:tcW w:w="29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2840" w:type="dxa"/>
            <w:vAlign w:val="bottom"/>
            <w:tcBorders>
              <w:top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5"/>
          </w:tcPr>
          <w:p>
            <w:pPr>
              <w:spacing w:after="0" w:line="205"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60" w:type="dxa"/>
            <w:vAlign w:val="bottom"/>
            <w:gridSpan w:val="6"/>
          </w:tcPr>
          <w:p>
            <w:pPr>
              <w:spacing w:after="0" w:line="205" w:lineRule="exact"/>
              <w:rPr>
                <w:sz w:val="20"/>
                <w:szCs w:val="20"/>
                <w:color w:val="auto"/>
              </w:rPr>
            </w:pPr>
            <w:r>
              <w:rPr>
                <w:rFonts w:ascii="Arial" w:cs="Arial" w:eastAsia="Arial" w:hAnsi="Arial"/>
                <w:sz w:val="18"/>
                <w:szCs w:val="18"/>
                <w:color w:val="auto"/>
                <w:w w:val="98"/>
              </w:rPr>
              <w:t>XBRL Instance Document. The instance document does not appear in the Interactive Data File because its XBRL ta</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60" w:type="dxa"/>
            <w:vAlign w:val="bottom"/>
            <w:gridSpan w:val="7"/>
          </w:tcPr>
          <w:p>
            <w:pPr>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6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60" w:hanging="354"/>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herewith.</w:t>
      </w:r>
    </w:p>
    <w:p>
      <w:pPr>
        <w:ind w:left="300" w:hanging="294"/>
        <w:spacing w:after="0" w:line="237" w:lineRule="auto"/>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Furnished herewith.</w:t>
      </w:r>
    </w:p>
    <w:p>
      <w:pPr>
        <w:ind w:left="220" w:hanging="214"/>
        <w:spacing w:after="0" w:line="237" w:lineRule="auto"/>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rPr>
          <w:sz w:val="20"/>
          <w:szCs w:val="20"/>
          <w:color w:val="auto"/>
        </w:rPr>
      </w:pPr>
      <w:r>
        <w:rPr>
          <w:rFonts w:ascii="Arial" w:cs="Arial" w:eastAsia="Arial" w:hAnsi="Arial"/>
          <w:sz w:val="14"/>
          <w:szCs w:val="14"/>
          <w:color w:val="auto"/>
        </w:rPr>
        <w:t>** Constitutes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Form 10-Q to be signed on its behalf by the undersigned thereunto duly authorized.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ECHOSTAR CORPORATION</w:t>
            </w:r>
          </w:p>
        </w:tc>
      </w:tr>
      <w:tr>
        <w:trPr>
          <w:trHeight w:val="756"/>
        </w:trPr>
        <w:tc>
          <w:tcPr>
            <w:tcW w:w="3240" w:type="dxa"/>
            <w:vAlign w:val="bottom"/>
          </w:tcPr>
          <w:p>
            <w:pPr>
              <w:spacing w:after="0"/>
              <w:rPr>
                <w:sz w:val="20"/>
                <w:szCs w:val="20"/>
                <w:color w:val="auto"/>
              </w:rPr>
            </w:pPr>
            <w:r>
              <w:rPr>
                <w:rFonts w:ascii="Arial" w:cs="Arial" w:eastAsia="Arial" w:hAnsi="Arial"/>
                <w:sz w:val="18"/>
                <w:szCs w:val="18"/>
                <w:color w:val="auto"/>
              </w:rPr>
              <w:t>Date: August 3, 2022</w:t>
            </w:r>
          </w:p>
        </w:tc>
        <w:tc>
          <w:tcPr>
            <w:tcW w:w="2200" w:type="dxa"/>
            <w:vAlign w:val="bottom"/>
          </w:tcPr>
          <w:p>
            <w:pPr>
              <w:ind w:left="1560"/>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Hamid Akhavan</w:t>
            </w:r>
          </w:p>
        </w:tc>
      </w:tr>
      <w:tr>
        <w:trPr>
          <w:trHeight w:val="218"/>
        </w:trPr>
        <w:tc>
          <w:tcPr>
            <w:tcW w:w="3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Hamid Akhavan</w:t>
            </w:r>
          </w:p>
        </w:tc>
      </w:tr>
      <w:tr>
        <w:trPr>
          <w:trHeight w:val="221"/>
        </w:trPr>
        <w:tc>
          <w:tcPr>
            <w:tcW w:w="3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56"/>
        </w:trPr>
        <w:tc>
          <w:tcPr>
            <w:tcW w:w="3240" w:type="dxa"/>
            <w:vAlign w:val="bottom"/>
          </w:tcPr>
          <w:p>
            <w:pPr>
              <w:spacing w:after="0"/>
              <w:rPr>
                <w:sz w:val="20"/>
                <w:szCs w:val="20"/>
                <w:color w:val="auto"/>
              </w:rPr>
            </w:pPr>
            <w:r>
              <w:rPr>
                <w:rFonts w:ascii="Arial" w:cs="Arial" w:eastAsia="Arial" w:hAnsi="Arial"/>
                <w:sz w:val="18"/>
                <w:szCs w:val="18"/>
                <w:color w:val="auto"/>
              </w:rPr>
              <w:t>Date: August 3, 2022</w:t>
            </w:r>
          </w:p>
        </w:tc>
        <w:tc>
          <w:tcPr>
            <w:tcW w:w="2200" w:type="dxa"/>
            <w:vAlign w:val="bottom"/>
          </w:tcPr>
          <w:p>
            <w:pPr>
              <w:ind w:left="1560"/>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r>
      <w:tr>
        <w:trPr>
          <w:trHeight w:val="218"/>
        </w:trPr>
        <w:tc>
          <w:tcPr>
            <w:tcW w:w="3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6"/>
        </w:trPr>
        <w:tc>
          <w:tcPr>
            <w:tcW w:w="32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740" w:type="dxa"/>
            <w:vAlign w:val="bottom"/>
          </w:tcPr>
          <w:p>
            <w:pPr>
              <w:ind w:left="20"/>
              <w:spacing w:after="0" w:line="186" w:lineRule="exact"/>
              <w:rPr>
                <w:sz w:val="20"/>
                <w:szCs w:val="20"/>
                <w:color w:val="auto"/>
              </w:rPr>
            </w:pPr>
            <w:r>
              <w:rPr>
                <w:rFonts w:ascii="Arial" w:cs="Arial" w:eastAsia="Arial" w:hAnsi="Arial"/>
                <w:sz w:val="18"/>
                <w:szCs w:val="18"/>
                <w:color w:val="auto"/>
                <w:w w:val="98"/>
              </w:rPr>
              <w:t>Executive Vice President, Chief Financial Officer, Chief Operating Officer</w:t>
            </w:r>
          </w:p>
        </w:tc>
      </w:tr>
      <w:tr>
        <w:trPr>
          <w:trHeight w:val="207"/>
        </w:trPr>
        <w:tc>
          <w:tcPr>
            <w:tcW w:w="3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and Treasurer</w:t>
            </w:r>
          </w:p>
        </w:tc>
      </w:tr>
      <w:tr>
        <w:trPr>
          <w:trHeight w:val="230"/>
        </w:trPr>
        <w:tc>
          <w:tcPr>
            <w:tcW w:w="3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75"/>
        </w:trPr>
        <w:tc>
          <w:tcPr>
            <w:tcW w:w="3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240"/>
          </w:cols>
          <w:pgMar w:left="320" w:top="140"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Hamid Akhavan, certify that:</w:t>
      </w:r>
    </w:p>
    <w:p>
      <w:pPr>
        <w:spacing w:after="0" w:line="217" w:lineRule="exact"/>
        <w:rPr>
          <w:sz w:val="20"/>
          <w:szCs w:val="20"/>
          <w:color w:val="auto"/>
        </w:rPr>
      </w:pPr>
    </w:p>
    <w:p>
      <w:pPr>
        <w:ind w:left="340" w:hanging="33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17" w:lineRule="exact"/>
        <w:rPr>
          <w:rFonts w:ascii="Arial" w:cs="Arial" w:eastAsia="Arial" w:hAnsi="Arial"/>
          <w:sz w:val="18"/>
          <w:szCs w:val="18"/>
          <w:color w:val="auto"/>
        </w:rPr>
      </w:pPr>
    </w:p>
    <w:p>
      <w:pPr>
        <w:jc w:val="both"/>
        <w:ind w:firstLine="6"/>
        <w:spacing w:after="0" w:line="248"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1"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48" w:lineRule="auto"/>
        <w:tabs>
          <w:tab w:leader="none" w:pos="4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7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67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713"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6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jc w:val="both"/>
        <w:ind w:firstLine="6"/>
        <w:spacing w:after="0" w:line="248" w:lineRule="auto"/>
        <w:tabs>
          <w:tab w:leader="none" w:pos="4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rFonts w:ascii="Arial" w:cs="Arial" w:eastAsia="Arial" w:hAnsi="Arial"/>
          <w:sz w:val="18"/>
          <w:szCs w:val="18"/>
          <w:color w:val="auto"/>
        </w:rPr>
      </w:pPr>
    </w:p>
    <w:p>
      <w:pPr>
        <w:ind w:left="640" w:hanging="316"/>
        <w:spacing w:after="0" w:line="251" w:lineRule="auto"/>
        <w:tabs>
          <w:tab w:leader="none" w:pos="74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hanging="316"/>
        <w:spacing w:after="0" w:line="251" w:lineRule="auto"/>
        <w:tabs>
          <w:tab w:leader="none" w:pos="67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2022</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Hamid Akhavan</w:t>
            </w:r>
          </w:p>
        </w:tc>
      </w:tr>
      <w:tr>
        <w:trPr>
          <w:trHeight w:val="218"/>
        </w:trPr>
        <w:tc>
          <w:tcPr>
            <w:tcW w:w="84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5400" w:type="dxa"/>
            <w:vAlign w:val="bottom"/>
          </w:tcPr>
          <w:p>
            <w:pPr>
              <w:ind w:left="20"/>
              <w:spacing w:after="0"/>
              <w:rPr>
                <w:sz w:val="20"/>
                <w:szCs w:val="20"/>
                <w:color w:val="auto"/>
              </w:rPr>
            </w:pPr>
            <w:r>
              <w:rPr>
                <w:rFonts w:ascii="Arial" w:cs="Arial" w:eastAsia="Arial" w:hAnsi="Arial"/>
                <w:sz w:val="18"/>
                <w:szCs w:val="18"/>
                <w:color w:val="auto"/>
              </w:rPr>
              <w:t>Hamid Akhavan</w:t>
            </w:r>
          </w:p>
        </w:tc>
      </w:tr>
      <w:tr>
        <w:trPr>
          <w:trHeight w:val="221"/>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4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8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72"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17" w:lineRule="exact"/>
        <w:rPr>
          <w:sz w:val="20"/>
          <w:szCs w:val="20"/>
          <w:color w:val="auto"/>
        </w:rPr>
      </w:pPr>
    </w:p>
    <w:p>
      <w:pPr>
        <w:ind w:left="340" w:hanging="33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17" w:lineRule="exact"/>
        <w:rPr>
          <w:rFonts w:ascii="Arial" w:cs="Arial" w:eastAsia="Arial" w:hAnsi="Arial"/>
          <w:sz w:val="18"/>
          <w:szCs w:val="18"/>
          <w:color w:val="auto"/>
        </w:rPr>
      </w:pPr>
    </w:p>
    <w:p>
      <w:pPr>
        <w:jc w:val="both"/>
        <w:ind w:firstLine="6"/>
        <w:spacing w:after="0" w:line="248"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1"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48" w:lineRule="auto"/>
        <w:tabs>
          <w:tab w:leader="none" w:pos="4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7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67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713"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6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jc w:val="both"/>
        <w:ind w:firstLine="6"/>
        <w:spacing w:after="0" w:line="248" w:lineRule="auto"/>
        <w:tabs>
          <w:tab w:leader="none" w:pos="4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rFonts w:ascii="Arial" w:cs="Arial" w:eastAsia="Arial" w:hAnsi="Arial"/>
          <w:sz w:val="18"/>
          <w:szCs w:val="18"/>
          <w:color w:val="auto"/>
        </w:rPr>
      </w:pPr>
    </w:p>
    <w:p>
      <w:pPr>
        <w:ind w:left="640" w:hanging="316"/>
        <w:spacing w:after="0" w:line="251" w:lineRule="auto"/>
        <w:tabs>
          <w:tab w:leader="none" w:pos="74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hanging="316"/>
        <w:spacing w:after="0" w:line="251" w:lineRule="auto"/>
        <w:tabs>
          <w:tab w:leader="none" w:pos="6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2022</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 David J. Rayner</w:t>
            </w:r>
          </w:p>
        </w:tc>
      </w:tr>
      <w:tr>
        <w:trPr>
          <w:trHeight w:val="218"/>
        </w:trPr>
        <w:tc>
          <w:tcPr>
            <w:tcW w:w="84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540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6"/>
        </w:trPr>
        <w:tc>
          <w:tcPr>
            <w:tcW w:w="840" w:type="dxa"/>
            <w:vAlign w:val="bottom"/>
          </w:tcPr>
          <w:p>
            <w:pPr>
              <w:spacing w:after="0" w:line="186" w:lineRule="exact"/>
              <w:rPr>
                <w:sz w:val="20"/>
                <w:szCs w:val="20"/>
                <w:color w:val="auto"/>
              </w:rPr>
            </w:pPr>
            <w:r>
              <w:rPr>
                <w:rFonts w:ascii="Arial" w:cs="Arial" w:eastAsia="Arial" w:hAnsi="Arial"/>
                <w:sz w:val="18"/>
                <w:szCs w:val="18"/>
                <w:color w:val="auto"/>
              </w:rPr>
              <w:t>Title:</w:t>
            </w:r>
          </w:p>
        </w:tc>
        <w:tc>
          <w:tcPr>
            <w:tcW w:w="5400" w:type="dxa"/>
            <w:vAlign w:val="bottom"/>
          </w:tcPr>
          <w:p>
            <w:pPr>
              <w:ind w:left="20"/>
              <w:spacing w:after="0" w:line="186" w:lineRule="exact"/>
              <w:rPr>
                <w:sz w:val="20"/>
                <w:szCs w:val="20"/>
                <w:color w:val="auto"/>
              </w:rPr>
            </w:pPr>
            <w:r>
              <w:rPr>
                <w:rFonts w:ascii="Arial" w:cs="Arial" w:eastAsia="Arial" w:hAnsi="Arial"/>
                <w:sz w:val="18"/>
                <w:szCs w:val="18"/>
                <w:color w:val="auto"/>
              </w:rPr>
              <w:t>Executive Vice President, Chief Financial Officer, Chief Operating</w:t>
            </w:r>
          </w:p>
        </w:tc>
      </w:tr>
      <w:tr>
        <w:trPr>
          <w:trHeight w:val="212"/>
        </w:trPr>
        <w:tc>
          <w:tcPr>
            <w:tcW w:w="840" w:type="dxa"/>
            <w:vAlign w:val="bottom"/>
          </w:tcPr>
          <w:p>
            <w:pPr>
              <w:spacing w:after="0"/>
              <w:rPr>
                <w:sz w:val="18"/>
                <w:szCs w:val="18"/>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25"/>
        </w:trPr>
        <w:tc>
          <w:tcPr>
            <w:tcW w:w="8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72"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quarterly report for the quarter ended June 30, 2022 on Form 10-Q (the “Report”), of EchoStar Corporation (the “Company”) as filed with the Securities and Exchange Commission on the date hereof, we, Hamid Akhavan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208" w:lineRule="exact"/>
        <w:rPr>
          <w:sz w:val="20"/>
          <w:szCs w:val="20"/>
          <w:color w:val="auto"/>
        </w:rPr>
      </w:pPr>
    </w:p>
    <w:p>
      <w:pPr>
        <w:ind w:left="640" w:hanging="316"/>
        <w:spacing w:after="0" w:line="251" w:lineRule="auto"/>
        <w:tabs>
          <w:tab w:leader="none" w:pos="7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as applicable, of the Securities Exchange Act of 1934; and</w:t>
      </w:r>
    </w:p>
    <w:p>
      <w:pPr>
        <w:spacing w:after="0" w:line="203" w:lineRule="exact"/>
        <w:rPr>
          <w:rFonts w:ascii="Arial" w:cs="Arial" w:eastAsia="Arial" w:hAnsi="Arial"/>
          <w:sz w:val="18"/>
          <w:szCs w:val="18"/>
          <w:color w:val="auto"/>
        </w:rPr>
      </w:pPr>
    </w:p>
    <w:p>
      <w:pPr>
        <w:ind w:left="640" w:hanging="316"/>
        <w:spacing w:after="0" w:line="251" w:lineRule="auto"/>
        <w:tabs>
          <w:tab w:leader="none" w:pos="7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2022</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Hamid Akhavan</w:t>
            </w:r>
          </w:p>
        </w:tc>
      </w:tr>
      <w:tr>
        <w:trPr>
          <w:trHeight w:val="218"/>
        </w:trPr>
        <w:tc>
          <w:tcPr>
            <w:tcW w:w="96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5200" w:type="dxa"/>
            <w:vAlign w:val="bottom"/>
          </w:tcPr>
          <w:p>
            <w:pPr>
              <w:ind w:left="20"/>
              <w:spacing w:after="0"/>
              <w:rPr>
                <w:sz w:val="20"/>
                <w:szCs w:val="20"/>
                <w:color w:val="auto"/>
              </w:rPr>
            </w:pPr>
            <w:r>
              <w:rPr>
                <w:rFonts w:ascii="Arial" w:cs="Arial" w:eastAsia="Arial" w:hAnsi="Arial"/>
                <w:sz w:val="18"/>
                <w:szCs w:val="18"/>
                <w:color w:val="auto"/>
              </w:rPr>
              <w:t>Hamid Akhavan</w:t>
            </w:r>
          </w:p>
        </w:tc>
      </w:tr>
      <w:tr>
        <w:trPr>
          <w:trHeight w:val="221"/>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52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9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29"/>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David J. Rayner</w:t>
            </w:r>
          </w:p>
        </w:tc>
      </w:tr>
      <w:tr>
        <w:trPr>
          <w:trHeight w:val="219"/>
        </w:trPr>
        <w:tc>
          <w:tcPr>
            <w:tcW w:w="96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520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6"/>
        </w:trPr>
        <w:tc>
          <w:tcPr>
            <w:tcW w:w="960" w:type="dxa"/>
            <w:vAlign w:val="bottom"/>
          </w:tcPr>
          <w:p>
            <w:pPr>
              <w:spacing w:after="0" w:line="186" w:lineRule="exact"/>
              <w:rPr>
                <w:sz w:val="20"/>
                <w:szCs w:val="20"/>
                <w:color w:val="auto"/>
              </w:rPr>
            </w:pPr>
            <w:r>
              <w:rPr>
                <w:rFonts w:ascii="Arial" w:cs="Arial" w:eastAsia="Arial" w:hAnsi="Arial"/>
                <w:sz w:val="18"/>
                <w:szCs w:val="18"/>
                <w:color w:val="auto"/>
              </w:rPr>
              <w:t>Title:</w:t>
            </w:r>
          </w:p>
        </w:tc>
        <w:tc>
          <w:tcPr>
            <w:tcW w:w="5200" w:type="dxa"/>
            <w:vAlign w:val="bottom"/>
          </w:tcPr>
          <w:p>
            <w:pPr>
              <w:ind w:left="20"/>
              <w:spacing w:after="0" w:line="186" w:lineRule="exact"/>
              <w:rPr>
                <w:sz w:val="20"/>
                <w:szCs w:val="20"/>
                <w:color w:val="auto"/>
              </w:rPr>
            </w:pPr>
            <w:r>
              <w:rPr>
                <w:rFonts w:ascii="Arial" w:cs="Arial" w:eastAsia="Arial" w:hAnsi="Arial"/>
                <w:sz w:val="18"/>
                <w:szCs w:val="18"/>
                <w:color w:val="auto"/>
                <w:w w:val="98"/>
              </w:rPr>
              <w:t>Executive Vice President, Chief Financial Officer, Chief Operating</w:t>
            </w:r>
          </w:p>
        </w:tc>
      </w:tr>
      <w:tr>
        <w:trPr>
          <w:trHeight w:val="207"/>
        </w:trPr>
        <w:tc>
          <w:tcPr>
            <w:tcW w:w="9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30"/>
        </w:trPr>
        <w:tc>
          <w:tcPr>
            <w:tcW w:w="9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9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2"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Announces Financial Results for the Three and Six Months Ended June 30, 2022</w:t>
      </w:r>
    </w:p>
    <w:p>
      <w:pPr>
        <w:spacing w:after="0" w:line="244"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color w:val="auto"/>
        </w:rPr>
        <w:t>Englewood, CO, August 3, 2022—</w:t>
      </w:r>
      <w:r>
        <w:rPr>
          <w:rFonts w:ascii="Arial" w:cs="Arial" w:eastAsia="Arial" w:hAnsi="Arial"/>
          <w:sz w:val="18"/>
          <w:szCs w:val="18"/>
          <w:color w:val="auto"/>
        </w:rPr>
        <w:t>EchoStar Corporation (NASDAQ: SATS) announced its financial results for the three and six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2022 Financial Highlights:</w:t>
      </w:r>
    </w:p>
    <w:p>
      <w:pPr>
        <w:spacing w:after="0" w:line="266"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revenue of $499.3 million.</w:t>
      </w:r>
    </w:p>
    <w:p>
      <w:pPr>
        <w:spacing w:after="0" w:line="12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of $10.5 million, consolidated net income attributable to EchoStar common stock of $13.9 million and basic and diluted earnings per share of common stock of $0.16.</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Adjusted EBITDA of $167.7 million (see discussion and the reconciliation of GAAP to this non-GAAP measure below).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2022 Financial Highlights:</w:t>
      </w:r>
    </w:p>
    <w:p>
      <w:pPr>
        <w:spacing w:after="0" w:line="266"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Consolidated revenue of $1,000.9 million.</w:t>
      </w:r>
    </w:p>
    <w:p>
      <w:pPr>
        <w:spacing w:after="0" w:line="12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of $99.4 million, consolidated net income attributable to EchoStar common stock of $105.3 million, and basic and diluted earnings per share of common stock of $1.24.</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Consolidated Adjusted EBITDA of $333.6 million (see discussion and the reconciliation of GAAP to this non-GAAP measure below).</w:t>
      </w:r>
    </w:p>
    <w:p>
      <w:pPr>
        <w:spacing w:after="0" w:line="2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“Once again, the EchoStar team delivered a solid performance in the second quarter,” said Hamid Akhavan, CEO and President of EchoStar. “We are focused on optimizing operations and asset yields in order to maintain our track record of excellent fiscal responsibility, and are leveraging our engineering expertise to innovate new solutions and applications across the market segments we serve.”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2022 - Additional Information:</w:t>
      </w:r>
    </w:p>
    <w:p>
      <w:pPr>
        <w:spacing w:after="0" w:line="266" w:lineRule="exact"/>
        <w:rPr>
          <w:sz w:val="20"/>
          <w:szCs w:val="20"/>
          <w:color w:val="auto"/>
        </w:rPr>
      </w:pPr>
    </w:p>
    <w:p>
      <w:pPr>
        <w:ind w:left="640" w:hanging="316"/>
        <w:spacing w:after="0" w:line="25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Consolidated revenue was flat year over year. Higher equipment sales of $16.1 million to our domestic and international enterprise customers was offset by lower service revenues of $16.6 million, primarily due to lower broadband consumer customers.</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decreased 10.2% or $19.0 million year over year.</w:t>
      </w:r>
    </w:p>
    <w:p>
      <w:pPr>
        <w:spacing w:after="0" w:line="124" w:lineRule="exact"/>
        <w:rPr>
          <w:rFonts w:ascii="Arial" w:cs="Arial" w:eastAsia="Arial" w:hAnsi="Arial"/>
          <w:sz w:val="18"/>
          <w:szCs w:val="18"/>
          <w:color w:val="auto"/>
        </w:rPr>
      </w:pPr>
    </w:p>
    <w:p>
      <w:pPr>
        <w:ind w:left="1280" w:hanging="320"/>
        <w:spacing w:after="0" w:line="251" w:lineRule="auto"/>
        <w:tabs>
          <w:tab w:leader="none" w:pos="1276" w:val="left"/>
        </w:tabs>
        <w:numPr>
          <w:ilvl w:val="1"/>
          <w:numId w:val="22"/>
        </w:numPr>
        <w:rPr>
          <w:rFonts w:ascii="Arial" w:cs="Arial" w:eastAsia="Arial" w:hAnsi="Arial"/>
          <w:sz w:val="18"/>
          <w:szCs w:val="18"/>
          <w:color w:val="auto"/>
        </w:rPr>
      </w:pPr>
      <w:r>
        <w:rPr>
          <w:rFonts w:ascii="Arial" w:cs="Arial" w:eastAsia="Arial" w:hAnsi="Arial"/>
          <w:sz w:val="18"/>
          <w:szCs w:val="18"/>
          <w:color w:val="auto"/>
        </w:rPr>
        <w:t>Hughes segment Adjusted EBITDA decreased $24.9 million year over year. The decrease was driven primarily by lower gross margin due to a change in revenue mix.</w:t>
      </w:r>
    </w:p>
    <w:p>
      <w:pPr>
        <w:spacing w:after="0" w:line="110" w:lineRule="exact"/>
        <w:rPr>
          <w:rFonts w:ascii="Arial" w:cs="Arial" w:eastAsia="Arial" w:hAnsi="Arial"/>
          <w:sz w:val="18"/>
          <w:szCs w:val="18"/>
          <w:color w:val="auto"/>
        </w:rPr>
      </w:pPr>
    </w:p>
    <w:p>
      <w:pPr>
        <w:ind w:left="1280" w:hanging="320"/>
        <w:spacing w:after="0"/>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ESS segment Adjusted EBITDA increased $1.3 million year over year.</w:t>
      </w:r>
    </w:p>
    <w:p>
      <w:pPr>
        <w:spacing w:after="0" w:line="137" w:lineRule="exact"/>
        <w:rPr>
          <w:rFonts w:ascii="Arial" w:cs="Arial" w:eastAsia="Arial" w:hAnsi="Arial"/>
          <w:sz w:val="18"/>
          <w:szCs w:val="18"/>
          <w:color w:val="auto"/>
        </w:rPr>
      </w:pPr>
    </w:p>
    <w:p>
      <w:pPr>
        <w:ind w:left="1280" w:hanging="320"/>
        <w:spacing w:after="0" w:line="251" w:lineRule="auto"/>
        <w:tabs>
          <w:tab w:leader="none" w:pos="1303"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Corporate and Other segment Adjusted EBITDA increased $4.6 million year over year. The increase was primarily due to higher earnings of unconsolidated affiliates, net, of $2.7 million and lower legal expenses.</w:t>
      </w:r>
    </w:p>
    <w:p>
      <w:pPr>
        <w:spacing w:after="0" w:line="110" w:lineRule="exact"/>
        <w:rPr>
          <w:rFonts w:ascii="Arial" w:cs="Arial" w:eastAsia="Arial" w:hAnsi="Arial"/>
          <w:sz w:val="18"/>
          <w:szCs w:val="18"/>
          <w:color w:val="auto"/>
        </w:rPr>
      </w:pPr>
    </w:p>
    <w:p>
      <w:pPr>
        <w:jc w:val="both"/>
        <w:ind w:left="640" w:hanging="316"/>
        <w:spacing w:after="0" w:line="247"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income decreased $24.5 million year over year. The decrease was primarily due to an unfavorable change in investments of $53.2 million, lower operating income of $19.4 million, and losses on foreign exchange of $4.3 million. These items were partially offset by lower net interest expense of $18.4 million, lower net income tax expense of $15.8 million, and lower losses in Other, net, of $15.4 million, which included litigation expense of $16.8 million in the second quarter of 2021.</w:t>
      </w:r>
    </w:p>
    <w:p>
      <w:pPr>
        <w:spacing w:after="0" w:line="115" w:lineRule="exact"/>
        <w:rPr>
          <w:rFonts w:ascii="Arial" w:cs="Arial" w:eastAsia="Arial" w:hAnsi="Arial"/>
          <w:sz w:val="18"/>
          <w:szCs w:val="18"/>
          <w:color w:val="auto"/>
        </w:rPr>
      </w:pPr>
    </w:p>
    <w:p>
      <w:pPr>
        <w:jc w:val="both"/>
        <w:ind w:left="640" w:hanging="316"/>
        <w:spacing w:after="0" w:line="247"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Hughes broadband subscribers totaled approximately 1,346,000, declining 60,000 from March 31, 2022. Our current capacity limitations require a balancing of capacity utilization with subscriber levels in areas of high bandwidth demand. These constraints, and increased competitive pressures, are impacting our consumer subscriber levels. In Latin America, subscriber levels were also impacted by adverse economic conditions, more selective customer screening, and capacity allocation to community WiFi and enterprise opportunities.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3" w:right="339" w:bottom="1440" w:gutter="0" w:footer="0" w:header="0"/>
        </w:sectPr>
      </w:pPr>
    </w:p>
    <w:bookmarkStart w:id="71" w:name="page72"/>
    <w:bookmarkEnd w:id="71"/>
    <w:p>
      <w:pPr>
        <w:ind w:left="6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three months ended June 30, 2022, approximately 63% of Hughes segment revenue was attributable to our consumer customers with approximately 37% attributable to our enterprise customers.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were $1.5 billion as of June 30, 2022.</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three months ended June 30, 2022, we purchased 1,924,875 shares of our Class A common stock in open market trades.</w:t>
      </w:r>
    </w:p>
    <w:p>
      <w:pPr>
        <w:spacing w:after="0" w:line="12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Jupiter 3/EchoStar XXIV satellite continues to progress at Maxar and is expected to be launched during the first half of 2023</w:t>
      </w:r>
    </w:p>
    <w:p>
      <w:pPr>
        <w:spacing w:after="0" w:line="1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Set forth below is a table highlighting certain of EchoStar’s segment results for the three and six months ended June 30, 2022 and 2021 (amounts in thousands) (all US GAAP amounts reference results from operations):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840" w:type="dxa"/>
            <w:vAlign w:val="bottom"/>
            <w:gridSpan w:val="5"/>
          </w:tcPr>
          <w:p>
            <w:pPr>
              <w:jc w:val="right"/>
              <w:ind w:right="32"/>
              <w:spacing w:after="0"/>
              <w:rPr>
                <w:sz w:val="20"/>
                <w:szCs w:val="20"/>
                <w:color w:val="auto"/>
              </w:rPr>
            </w:pPr>
            <w:r>
              <w:rPr>
                <w:rFonts w:ascii="Arial" w:cs="Arial" w:eastAsia="Arial" w:hAnsi="Arial"/>
                <w:sz w:val="18"/>
                <w:szCs w:val="18"/>
                <w:b w:val="1"/>
                <w:bCs w:val="1"/>
                <w:color w:val="auto"/>
              </w:rPr>
              <w:t>For the six months ended June</w:t>
            </w:r>
          </w:p>
        </w:tc>
        <w:tc>
          <w:tcPr>
            <w:tcW w:w="0" w:type="dxa"/>
            <w:vAlign w:val="bottom"/>
          </w:tcPr>
          <w:p>
            <w:pPr>
              <w:spacing w:after="0"/>
              <w:rPr>
                <w:sz w:val="1"/>
                <w:szCs w:val="1"/>
                <w:color w:val="auto"/>
              </w:rPr>
            </w:pPr>
          </w:p>
        </w:tc>
      </w:tr>
      <w:tr>
        <w:trPr>
          <w:trHeight w:val="225"/>
        </w:trPr>
        <w:tc>
          <w:tcPr>
            <w:tcW w:w="5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b w:val="1"/>
                <w:bCs w:val="1"/>
                <w:color w:val="auto"/>
              </w:rPr>
              <w:t>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69"/>
        </w:trPr>
        <w:tc>
          <w:tcPr>
            <w:tcW w:w="54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480" w:type="dxa"/>
            <w:vAlign w:val="bottom"/>
          </w:tcPr>
          <w:p>
            <w:pPr>
              <w:ind w:left="200"/>
              <w:spacing w:after="0"/>
              <w:rPr>
                <w:sz w:val="20"/>
                <w:szCs w:val="20"/>
                <w:color w:val="auto"/>
              </w:rPr>
            </w:pPr>
            <w:r>
              <w:rPr>
                <w:rFonts w:ascii="Arial" w:cs="Arial" w:eastAsia="Arial" w:hAnsi="Arial"/>
                <w:sz w:val="18"/>
                <w:szCs w:val="18"/>
                <w:color w:val="auto"/>
              </w:rPr>
              <w:t>Hughes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491,841</w:t>
            </w:r>
          </w:p>
        </w:tc>
        <w:tc>
          <w:tcPr>
            <w:tcW w:w="120" w:type="dxa"/>
            <w:vAlign w:val="bottom"/>
          </w:tcPr>
          <w:p>
            <w:pPr>
              <w:spacing w:after="0"/>
              <w:rPr>
                <w:sz w:val="24"/>
                <w:szCs w:val="24"/>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492,276</w:t>
            </w:r>
          </w:p>
        </w:tc>
        <w:tc>
          <w:tcPr>
            <w:tcW w:w="8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985,947</w:t>
            </w:r>
          </w:p>
        </w:tc>
        <w:tc>
          <w:tcPr>
            <w:tcW w:w="1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968,136</w:t>
            </w:r>
          </w:p>
        </w:tc>
        <w:tc>
          <w:tcPr>
            <w:tcW w:w="0" w:type="dxa"/>
            <w:vAlign w:val="bottom"/>
          </w:tcPr>
          <w:p>
            <w:pPr>
              <w:spacing w:after="0"/>
              <w:rPr>
                <w:sz w:val="1"/>
                <w:szCs w:val="1"/>
                <w:color w:val="auto"/>
              </w:rPr>
            </w:pPr>
          </w:p>
        </w:tc>
      </w:tr>
      <w:tr>
        <w:trPr>
          <w:trHeight w:val="265"/>
        </w:trPr>
        <w:tc>
          <w:tcPr>
            <w:tcW w:w="548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9,324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8,372</w:t>
            </w:r>
          </w:p>
        </w:tc>
        <w:tc>
          <w:tcPr>
            <w:tcW w:w="0" w:type="dxa"/>
            <w:vAlign w:val="bottom"/>
          </w:tcPr>
          <w:p>
            <w:pPr>
              <w:spacing w:after="0"/>
              <w:rPr>
                <w:sz w:val="1"/>
                <w:szCs w:val="1"/>
                <w:color w:val="auto"/>
              </w:rPr>
            </w:pPr>
          </w:p>
        </w:tc>
      </w:tr>
      <w:tr>
        <w:trPr>
          <w:trHeight w:val="265"/>
        </w:trPr>
        <w:tc>
          <w:tcPr>
            <w:tcW w:w="548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18"/>
        </w:trPr>
        <w:tc>
          <w:tcPr>
            <w:tcW w:w="5480" w:type="dxa"/>
            <w:vAlign w:val="bottom"/>
          </w:tcPr>
          <w:p>
            <w:pPr>
              <w:ind w:left="840"/>
              <w:spacing w:after="0" w:line="205" w:lineRule="exact"/>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499,316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499,834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1,000,850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982,416</w:t>
            </w:r>
          </w:p>
        </w:tc>
        <w:tc>
          <w:tcPr>
            <w:tcW w:w="0" w:type="dxa"/>
            <w:vAlign w:val="bottom"/>
          </w:tcPr>
          <w:p>
            <w:pPr>
              <w:spacing w:after="0"/>
              <w:rPr>
                <w:sz w:val="1"/>
                <w:szCs w:val="1"/>
                <w:color w:val="auto"/>
              </w:rPr>
            </w:pPr>
          </w:p>
        </w:tc>
      </w:tr>
      <w:tr>
        <w:trPr>
          <w:trHeight w:val="21"/>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5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480" w:type="dxa"/>
            <w:vAlign w:val="bottom"/>
          </w:tcPr>
          <w:p>
            <w:pPr>
              <w:ind w:left="200"/>
              <w:spacing w:after="0"/>
              <w:rPr>
                <w:sz w:val="20"/>
                <w:szCs w:val="20"/>
                <w:color w:val="auto"/>
              </w:rPr>
            </w:pPr>
            <w:r>
              <w:rPr>
                <w:rFonts w:ascii="Arial" w:cs="Arial" w:eastAsia="Arial" w:hAnsi="Arial"/>
                <w:sz w:val="18"/>
                <w:szCs w:val="18"/>
                <w:color w:val="auto"/>
              </w:rPr>
              <w:t>Hughes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182,423</w:t>
            </w:r>
          </w:p>
        </w:tc>
        <w:tc>
          <w:tcPr>
            <w:tcW w:w="120" w:type="dxa"/>
            <w:vAlign w:val="bottom"/>
          </w:tcPr>
          <w:p>
            <w:pPr>
              <w:spacing w:after="0"/>
              <w:rPr>
                <w:sz w:val="24"/>
                <w:szCs w:val="24"/>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207,317</w:t>
            </w:r>
          </w:p>
        </w:tc>
        <w:tc>
          <w:tcPr>
            <w:tcW w:w="8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366,710</w:t>
            </w:r>
          </w:p>
        </w:tc>
        <w:tc>
          <w:tcPr>
            <w:tcW w:w="1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409,253</w:t>
            </w:r>
          </w:p>
        </w:tc>
        <w:tc>
          <w:tcPr>
            <w:tcW w:w="0" w:type="dxa"/>
            <w:vAlign w:val="bottom"/>
          </w:tcPr>
          <w:p>
            <w:pPr>
              <w:spacing w:after="0"/>
              <w:rPr>
                <w:sz w:val="1"/>
                <w:szCs w:val="1"/>
                <w:color w:val="auto"/>
              </w:rPr>
            </w:pPr>
          </w:p>
        </w:tc>
      </w:tr>
      <w:tr>
        <w:trPr>
          <w:trHeight w:val="265"/>
        </w:trPr>
        <w:tc>
          <w:tcPr>
            <w:tcW w:w="548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25"/>
        </w:trPr>
        <w:tc>
          <w:tcPr>
            <w:tcW w:w="5480" w:type="dxa"/>
            <w:vAlign w:val="bottom"/>
          </w:tcPr>
          <w:p>
            <w:pPr>
              <w:ind w:left="200"/>
              <w:spacing w:after="0"/>
              <w:rPr>
                <w:sz w:val="20"/>
                <w:szCs w:val="20"/>
                <w:color w:val="auto"/>
              </w:rPr>
            </w:pPr>
            <w:r>
              <w:rPr>
                <w:rFonts w:ascii="Arial" w:cs="Arial" w:eastAsia="Arial" w:hAnsi="Arial"/>
                <w:sz w:val="18"/>
                <w:szCs w:val="18"/>
                <w:color w:val="auto"/>
              </w:rPr>
              <w:t>Corporate &amp; Other:</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5480" w:type="dxa"/>
            <w:vAlign w:val="bottom"/>
          </w:tcPr>
          <w:p>
            <w:pPr>
              <w:ind w:left="440"/>
              <w:spacing w:after="0"/>
              <w:rPr>
                <w:sz w:val="20"/>
                <w:szCs w:val="20"/>
                <w:color w:val="auto"/>
              </w:rPr>
            </w:pPr>
            <w:r>
              <w:rPr>
                <w:rFonts w:ascii="Arial" w:cs="Arial" w:eastAsia="Arial" w:hAnsi="Arial"/>
                <w:sz w:val="18"/>
                <w:szCs w:val="18"/>
                <w:color w:val="auto"/>
              </w:rPr>
              <w:t>Corporate overhead, operating and other</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(18,554)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(20,497)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(39,745)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(41,964)</w:t>
            </w:r>
          </w:p>
        </w:tc>
        <w:tc>
          <w:tcPr>
            <w:tcW w:w="0" w:type="dxa"/>
            <w:vAlign w:val="bottom"/>
          </w:tcPr>
          <w:p>
            <w:pPr>
              <w:spacing w:after="0"/>
              <w:rPr>
                <w:sz w:val="1"/>
                <w:szCs w:val="1"/>
                <w:color w:val="auto"/>
              </w:rPr>
            </w:pPr>
          </w:p>
        </w:tc>
      </w:tr>
      <w:tr>
        <w:trPr>
          <w:trHeight w:val="265"/>
        </w:trPr>
        <w:tc>
          <w:tcPr>
            <w:tcW w:w="5480" w:type="dxa"/>
            <w:vAlign w:val="bottom"/>
          </w:tcPr>
          <w:p>
            <w:pPr>
              <w:ind w:left="440"/>
              <w:spacing w:after="0"/>
              <w:rPr>
                <w:sz w:val="20"/>
                <w:szCs w:val="20"/>
                <w:color w:val="auto"/>
              </w:rPr>
            </w:pPr>
            <w:r>
              <w:rPr>
                <w:rFonts w:ascii="Arial" w:cs="Arial" w:eastAsia="Arial" w:hAnsi="Arial"/>
                <w:sz w:val="18"/>
                <w:szCs w:val="18"/>
                <w:color w:val="auto"/>
              </w:rPr>
              <w:t>Equity in earnings (losses) of unconsolidated affiliates, net</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45"/>
        </w:trPr>
        <w:tc>
          <w:tcPr>
            <w:tcW w:w="5480" w:type="dxa"/>
            <w:vAlign w:val="bottom"/>
          </w:tcPr>
          <w:p>
            <w:pPr>
              <w:ind w:left="640"/>
              <w:spacing w:after="0" w:line="205" w:lineRule="exact"/>
              <w:rPr>
                <w:sz w:val="20"/>
                <w:szCs w:val="20"/>
                <w:color w:val="auto"/>
              </w:rPr>
            </w:pPr>
            <w:r>
              <w:rPr>
                <w:rFonts w:ascii="Arial" w:cs="Arial" w:eastAsia="Arial" w:hAnsi="Arial"/>
                <w:sz w:val="18"/>
                <w:szCs w:val="18"/>
                <w:color w:val="auto"/>
              </w:rPr>
              <w:t>Total Corporate &amp; Other</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(18,216)</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(22,866)</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(40,980)</w:t>
            </w:r>
          </w:p>
        </w:tc>
        <w:tc>
          <w:tcPr>
            <w:tcW w:w="0" w:type="dxa"/>
            <w:vAlign w:val="bottom"/>
          </w:tcPr>
          <w:p>
            <w:pPr>
              <w:spacing w:after="0"/>
              <w:rPr>
                <w:sz w:val="1"/>
                <w:szCs w:val="1"/>
                <w:color w:val="auto"/>
              </w:rPr>
            </w:pPr>
          </w:p>
        </w:tc>
      </w:tr>
      <w:tr>
        <w:trPr>
          <w:trHeight w:val="219"/>
        </w:trPr>
        <w:tc>
          <w:tcPr>
            <w:tcW w:w="5480" w:type="dxa"/>
            <w:vAlign w:val="bottom"/>
          </w:tcPr>
          <w:p>
            <w:pPr>
              <w:ind w:left="840"/>
              <w:spacing w:after="0" w:line="205" w:lineRule="exact"/>
              <w:rPr>
                <w:sz w:val="20"/>
                <w:szCs w:val="20"/>
                <w:color w:val="auto"/>
              </w:rPr>
            </w:pPr>
            <w:r>
              <w:rPr>
                <w:rFonts w:ascii="Arial" w:cs="Arial" w:eastAsia="Arial" w:hAnsi="Arial"/>
                <w:sz w:val="18"/>
                <w:szCs w:val="18"/>
                <w:color w:val="auto"/>
              </w:rPr>
              <w:t>Total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167,728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186,694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333,617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372,435</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7"/>
        </w:trPr>
        <w:tc>
          <w:tcPr>
            <w:tcW w:w="54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10,473</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35,015</w:t>
            </w: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99,418</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112,587</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rPr>
              <w:t>Expenditures for property and equipment</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48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75,779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187,917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262,466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69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Reconciliation of GAAP to Non-GAAP Measurement (amounts in thousands):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5"/>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820" w:type="dxa"/>
            <w:vAlign w:val="bottom"/>
            <w:gridSpan w:val="5"/>
          </w:tcPr>
          <w:p>
            <w:pPr>
              <w:jc w:val="right"/>
              <w:ind w:right="12"/>
              <w:spacing w:after="0"/>
              <w:rPr>
                <w:sz w:val="20"/>
                <w:szCs w:val="20"/>
                <w:color w:val="auto"/>
              </w:rPr>
            </w:pPr>
            <w:r>
              <w:rPr>
                <w:rFonts w:ascii="Arial" w:cs="Arial" w:eastAsia="Arial" w:hAnsi="Arial"/>
                <w:sz w:val="18"/>
                <w:szCs w:val="18"/>
                <w:b w:val="1"/>
                <w:bCs w:val="1"/>
                <w:color w:val="auto"/>
              </w:rPr>
              <w:t>For the six months ended June</w:t>
            </w:r>
          </w:p>
        </w:tc>
      </w:tr>
      <w:tr>
        <w:trPr>
          <w:trHeight w:val="225"/>
        </w:trPr>
        <w:tc>
          <w:tcPr>
            <w:tcW w:w="5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b w:val="1"/>
                <w:bCs w:val="1"/>
                <w:color w:val="auto"/>
              </w:rPr>
              <w:t>30,</w:t>
            </w:r>
          </w:p>
        </w:tc>
        <w:tc>
          <w:tcPr>
            <w:tcW w:w="1060" w:type="dxa"/>
            <w:vAlign w:val="bottom"/>
            <w:tcBorders>
              <w:bottom w:val="single" w:sz="8" w:color="auto"/>
            </w:tcBorders>
          </w:tcPr>
          <w:p>
            <w:pPr>
              <w:spacing w:after="0"/>
              <w:rPr>
                <w:sz w:val="19"/>
                <w:szCs w:val="19"/>
                <w:color w:val="auto"/>
              </w:rPr>
            </w:pPr>
          </w:p>
        </w:tc>
      </w:tr>
      <w:tr>
        <w:trPr>
          <w:trHeight w:val="219"/>
        </w:trPr>
        <w:tc>
          <w:tcPr>
            <w:tcW w:w="5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r>
      <w:tr>
        <w:trPr>
          <w:trHeight w:val="469"/>
        </w:trPr>
        <w:tc>
          <w:tcPr>
            <w:tcW w:w="546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10,473</w:t>
            </w:r>
          </w:p>
        </w:tc>
        <w:tc>
          <w:tcPr>
            <w:tcW w:w="120" w:type="dxa"/>
            <w:vAlign w:val="bottom"/>
          </w:tcPr>
          <w:p>
            <w:pPr>
              <w:spacing w:after="0"/>
              <w:rPr>
                <w:sz w:val="24"/>
                <w:szCs w:val="24"/>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35,015</w:t>
            </w:r>
          </w:p>
        </w:tc>
        <w:tc>
          <w:tcPr>
            <w:tcW w:w="12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99,418</w:t>
            </w:r>
          </w:p>
        </w:tc>
        <w:tc>
          <w:tcPr>
            <w:tcW w:w="1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112,587</w:t>
            </w:r>
          </w:p>
        </w:tc>
      </w:tr>
      <w:tr>
        <w:trPr>
          <w:trHeight w:val="225"/>
        </w:trPr>
        <w:tc>
          <w:tcPr>
            <w:tcW w:w="546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(11,189)</w:t>
            </w:r>
          </w:p>
        </w:tc>
      </w:tr>
      <w:tr>
        <w:trPr>
          <w:trHeight w:val="225"/>
        </w:trPr>
        <w:tc>
          <w:tcPr>
            <w:tcW w:w="5460" w:type="dxa"/>
            <w:vAlign w:val="bottom"/>
          </w:tcPr>
          <w:p>
            <w:pPr>
              <w:ind w:left="200"/>
              <w:spacing w:after="0"/>
              <w:rPr>
                <w:sz w:val="20"/>
                <w:szCs w:val="20"/>
                <w:color w:val="auto"/>
              </w:rPr>
            </w:pPr>
            <w:r>
              <w:rPr>
                <w:rFonts w:ascii="Arial" w:cs="Arial" w:eastAsia="Arial" w:hAnsi="Arial"/>
                <w:sz w:val="18"/>
                <w:szCs w:val="18"/>
                <w:color w:val="auto"/>
              </w:rPr>
              <w:t>Interest expense, net of amounts capitalized</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63,535</w:t>
            </w:r>
          </w:p>
        </w:tc>
      </w:tr>
      <w:tr>
        <w:trPr>
          <w:trHeight w:val="225"/>
        </w:trPr>
        <w:tc>
          <w:tcPr>
            <w:tcW w:w="5460" w:type="dxa"/>
            <w:vAlign w:val="bottom"/>
          </w:tcPr>
          <w:p>
            <w:pPr>
              <w:ind w:left="200"/>
              <w:spacing w:after="0"/>
              <w:rPr>
                <w:sz w:val="20"/>
                <w:szCs w:val="20"/>
                <w:color w:val="auto"/>
              </w:rPr>
            </w:pPr>
            <w:r>
              <w:rPr>
                <w:rFonts w:ascii="Arial" w:cs="Arial" w:eastAsia="Arial" w:hAnsi="Arial"/>
                <w:sz w:val="18"/>
                <w:szCs w:val="18"/>
                <w:color w:val="auto"/>
              </w:rPr>
              <w:t>Income tax provision (benefit), net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43,299</w:t>
            </w:r>
          </w:p>
        </w:tc>
      </w:tr>
      <w:tr>
        <w:trPr>
          <w:trHeight w:val="225"/>
        </w:trPr>
        <w:tc>
          <w:tcPr>
            <w:tcW w:w="54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116,555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118,982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236,991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248,268</w:t>
            </w:r>
          </w:p>
        </w:tc>
      </w:tr>
      <w:tr>
        <w:trPr>
          <w:trHeight w:val="225"/>
        </w:trPr>
        <w:tc>
          <w:tcPr>
            <w:tcW w:w="5460" w:type="dxa"/>
            <w:vAlign w:val="bottom"/>
          </w:tcPr>
          <w:p>
            <w:pPr>
              <w:ind w:left="260"/>
              <w:spacing w:after="0"/>
              <w:rPr>
                <w:sz w:val="20"/>
                <w:szCs w:val="20"/>
                <w:color w:val="auto"/>
              </w:rPr>
            </w:pPr>
            <w:r>
              <w:rPr>
                <w:rFonts w:ascii="Arial" w:cs="Arial" w:eastAsia="Arial" w:hAnsi="Arial"/>
                <w:sz w:val="18"/>
                <w:szCs w:val="18"/>
                <w:color w:val="auto"/>
              </w:rPr>
              <w:t>Net loss (income) attributable to non-controlling interests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r>
      <w:tr>
        <w:trPr>
          <w:trHeight w:val="245"/>
        </w:trPr>
        <w:tc>
          <w:tcPr>
            <w:tcW w:w="5460" w:type="dxa"/>
            <w:vAlign w:val="bottom"/>
          </w:tcPr>
          <w:p>
            <w:pPr>
              <w:ind w:left="440"/>
              <w:spacing w:after="0" w:line="205" w:lineRule="exact"/>
              <w:rPr>
                <w:sz w:val="20"/>
                <w:szCs w:val="20"/>
                <w:color w:val="auto"/>
              </w:rPr>
            </w:pPr>
            <w:r>
              <w:rPr>
                <w:rFonts w:ascii="Arial" w:cs="Arial" w:eastAsia="Arial" w:hAnsi="Arial"/>
                <w:sz w:val="18"/>
                <w:szCs w:val="18"/>
                <w:color w:val="auto"/>
              </w:rPr>
              <w:t>EBITDA</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141,048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201,057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394,250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459,727</w:t>
            </w:r>
          </w:p>
        </w:tc>
      </w:tr>
      <w:tr>
        <w:trPr>
          <w:trHeight w:val="265"/>
        </w:trPr>
        <w:tc>
          <w:tcPr>
            <w:tcW w:w="5460" w:type="dxa"/>
            <w:vAlign w:val="bottom"/>
          </w:tcPr>
          <w:p>
            <w:pPr>
              <w:ind w:left="440"/>
              <w:spacing w:after="0"/>
              <w:rPr>
                <w:sz w:val="20"/>
                <w:szCs w:val="20"/>
                <w:color w:val="auto"/>
              </w:rPr>
            </w:pPr>
            <w:r>
              <w:rPr>
                <w:rFonts w:ascii="Arial" w:cs="Arial" w:eastAsia="Arial" w:hAnsi="Arial"/>
                <w:sz w:val="18"/>
                <w:szCs w:val="18"/>
                <w:color w:val="auto"/>
              </w:rPr>
              <w:t>(Gains) losses on investments, net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22,538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(58,148)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(109,233)</w:t>
            </w:r>
          </w:p>
        </w:tc>
      </w:tr>
      <w:tr>
        <w:trPr>
          <w:trHeight w:val="225"/>
        </w:trPr>
        <w:tc>
          <w:tcPr>
            <w:tcW w:w="5460" w:type="dxa"/>
            <w:vAlign w:val="bottom"/>
          </w:tcPr>
          <w:p>
            <w:pPr>
              <w:ind w:left="440"/>
              <w:spacing w:after="0"/>
              <w:rPr>
                <w:sz w:val="20"/>
                <w:szCs w:val="20"/>
                <w:color w:val="auto"/>
              </w:rPr>
            </w:pPr>
            <w:r>
              <w:rPr>
                <w:rFonts w:ascii="Arial" w:cs="Arial" w:eastAsia="Arial" w:hAnsi="Arial"/>
                <w:sz w:val="18"/>
                <w:szCs w:val="18"/>
                <w:color w:val="auto"/>
              </w:rPr>
              <w:t>Impairment of long-lived assets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5"/>
        </w:trPr>
        <w:tc>
          <w:tcPr>
            <w:tcW w:w="5460" w:type="dxa"/>
            <w:vAlign w:val="bottom"/>
          </w:tcPr>
          <w:p>
            <w:pPr>
              <w:ind w:left="440"/>
              <w:spacing w:after="0"/>
              <w:rPr>
                <w:sz w:val="20"/>
                <w:szCs w:val="20"/>
                <w:color w:val="auto"/>
              </w:rPr>
            </w:pPr>
            <w:r>
              <w:rPr>
                <w:rFonts w:ascii="Arial" w:cs="Arial" w:eastAsia="Arial" w:hAnsi="Arial"/>
                <w:sz w:val="18"/>
                <w:szCs w:val="18"/>
                <w:color w:val="auto"/>
              </w:rPr>
              <w:t>Litigation Expense</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16,800</w:t>
            </w:r>
          </w:p>
        </w:tc>
      </w:tr>
      <w:tr>
        <w:trPr>
          <w:trHeight w:val="265"/>
        </w:trPr>
        <w:tc>
          <w:tcPr>
            <w:tcW w:w="5460" w:type="dxa"/>
            <w:vAlign w:val="bottom"/>
          </w:tcPr>
          <w:p>
            <w:pPr>
              <w:ind w:left="440"/>
              <w:spacing w:after="0"/>
              <w:rPr>
                <w:sz w:val="20"/>
                <w:szCs w:val="20"/>
                <w:color w:val="auto"/>
              </w:rPr>
            </w:pPr>
            <w:r>
              <w:rPr>
                <w:rFonts w:ascii="Arial" w:cs="Arial" w:eastAsia="Arial" w:hAnsi="Arial"/>
                <w:sz w:val="18"/>
                <w:szCs w:val="18"/>
                <w:color w:val="auto"/>
              </w:rPr>
              <w:t>License fee dispute - India, net of non-controlling interests</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25"/>
        </w:trPr>
        <w:tc>
          <w:tcPr>
            <w:tcW w:w="5460" w:type="dxa"/>
            <w:vAlign w:val="bottom"/>
          </w:tcPr>
          <w:p>
            <w:pPr>
              <w:ind w:left="440"/>
              <w:spacing w:after="0"/>
              <w:rPr>
                <w:sz w:val="20"/>
                <w:szCs w:val="20"/>
                <w:color w:val="auto"/>
              </w:rPr>
            </w:pPr>
            <w:r>
              <w:rPr>
                <w:rFonts w:ascii="Arial" w:cs="Arial" w:eastAsia="Arial" w:hAnsi="Arial"/>
                <w:sz w:val="18"/>
                <w:szCs w:val="18"/>
                <w:color w:val="auto"/>
              </w:rPr>
              <w:t>Loss on Debt Repurchase</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1,938</w:t>
            </w:r>
          </w:p>
        </w:tc>
      </w:tr>
      <w:tr>
        <w:trPr>
          <w:trHeight w:val="265"/>
        </w:trPr>
        <w:tc>
          <w:tcPr>
            <w:tcW w:w="5460" w:type="dxa"/>
            <w:vAlign w:val="bottom"/>
          </w:tcPr>
          <w:p>
            <w:pPr>
              <w:ind w:left="440"/>
              <w:spacing w:after="0"/>
              <w:rPr>
                <w:sz w:val="20"/>
                <w:szCs w:val="20"/>
                <w:color w:val="auto"/>
              </w:rPr>
            </w:pPr>
            <w:r>
              <w:rPr>
                <w:rFonts w:ascii="Arial" w:cs="Arial" w:eastAsia="Arial" w:hAnsi="Arial"/>
                <w:sz w:val="18"/>
                <w:szCs w:val="18"/>
                <w:color w:val="auto"/>
              </w:rPr>
              <w:t>Foreign currency transaction (gains) losses, net</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r>
      <w:tr>
        <w:trPr>
          <w:trHeight w:val="219"/>
        </w:trPr>
        <w:tc>
          <w:tcPr>
            <w:tcW w:w="5460" w:type="dxa"/>
            <w:vAlign w:val="bottom"/>
          </w:tcPr>
          <w:p>
            <w:pPr>
              <w:ind w:left="640"/>
              <w:spacing w:after="0" w:line="205" w:lineRule="exact"/>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167,728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186,694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333,617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372,435</w:t>
            </w: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EBITDA is defined as “Net income (loss)” excluding “Interest income, net,” “Interest expense, net of amounts capitalized,” “Income tax benefit (provision), net,” “Depreciation and amortization,” and “Net income (loss) attributable to non-controlling interests.”</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Adjusted EBITDA is defined as EBITDA excluding Gains and losses on investments, net, Foreign currency transaction gains (losses), net, and other non-recurring or non-operational items. 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 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consolidated financial statements of EchoStar for the periods ended June 30, 2022 and 2021 are attached to this press release. Detailed financial data and other information are available in EchoStar’s Quarterly Report on Form 10-Q for the period ended June 30, 2022 filed today with the Securities and Exchange Commission.</w:t>
      </w:r>
    </w:p>
    <w:p>
      <w:pPr>
        <w:spacing w:after="0" w:line="2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EchoStar will host a conference call to discuss its earnings on Thursday, August 4, 2022 at 11:00 a.m. Eastern Time. The conference call will be broadcast live in listen-only mode on EchoStar’s investor relations website at ir.echostar.com. To participate via telephone and ask a question, participants must register using an online form found at https://register.vevent.com/register/BI6304e454ed1d4d30a1618d0a317c94a0.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69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About EchoStar Corporation</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66" w:lineRule="exact"/>
        <w:rPr>
          <w:sz w:val="20"/>
          <w:szCs w:val="20"/>
          <w:color w:val="auto"/>
        </w:rPr>
      </w:pPr>
    </w:p>
    <w:p>
      <w:pPr>
        <w:jc w:val="both"/>
        <w:spacing w:after="0" w:line="212" w:lineRule="exact"/>
        <w:rPr>
          <w:sz w:val="20"/>
          <w:szCs w:val="20"/>
          <w:color w:val="auto"/>
        </w:rPr>
      </w:pPr>
      <w:r>
        <w:rPr>
          <w:rFonts w:ascii="Arial" w:cs="Arial" w:eastAsia="Arial" w:hAnsi="Arial"/>
          <w:sz w:val="18"/>
          <w:szCs w:val="18"/>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“goal,” “seek,” “estimate,” “expect,” “intend,” “project,” “continue,” “future,” “will,” “would,” “can,” “may,” “plans,” and similar expressions and the use of future dates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management believes that the expectations reflected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2021 as filed with the Securities and Exchange Commission and in the other documents EchoStar files with the Securities and Exchange Commission from time to time.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40"/>
          </w:cols>
          <w:pgMar w:left="320" w:top="673" w:right="339" w:bottom="1440" w:gutter="0" w:footer="0" w:header="0"/>
        </w:sectPr>
      </w:pPr>
    </w:p>
    <w:p>
      <w:pPr>
        <w:spacing w:after="0" w:line="4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3420"/>
        <w:spacing w:after="0"/>
        <w:rPr>
          <w:sz w:val="20"/>
          <w:szCs w:val="20"/>
          <w:color w:val="auto"/>
        </w:rPr>
      </w:pPr>
      <w:r>
        <w:rPr>
          <w:rFonts w:ascii="Arial" w:cs="Arial" w:eastAsia="Arial" w:hAnsi="Arial"/>
          <w:sz w:val="17"/>
          <w:szCs w:val="17"/>
          <w:b w:val="1"/>
          <w:bCs w:val="1"/>
          <w:color w:val="auto"/>
        </w:rPr>
        <w:t>EchoStar Media Relations</w:t>
      </w:r>
    </w:p>
    <w:p>
      <w:pPr>
        <w:spacing w:after="0" w:line="97" w:lineRule="exact"/>
        <w:rPr>
          <w:sz w:val="20"/>
          <w:szCs w:val="20"/>
          <w:color w:val="auto"/>
        </w:rPr>
      </w:pPr>
    </w:p>
    <w:p>
      <w:pPr>
        <w:sectPr>
          <w:pgSz w:w="11900" w:h="16838" w:orient="portrait"/>
          <w:cols w:equalWidth="0" w:num="2">
            <w:col w:w="4940" w:space="720"/>
            <w:col w:w="5580"/>
          </w:cols>
          <w:pgMar w:left="320" w:top="673" w:right="3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Terry Brown</w:t>
      </w:r>
    </w:p>
    <w:p>
      <w:pPr>
        <w:ind w:left="60"/>
        <w:spacing w:after="0" w:line="199" w:lineRule="auto"/>
        <w:rPr>
          <w:sz w:val="20"/>
          <w:szCs w:val="20"/>
          <w:color w:val="auto"/>
        </w:rPr>
      </w:pPr>
      <w:r>
        <w:rPr>
          <w:rFonts w:ascii="Arial" w:cs="Arial" w:eastAsia="Arial" w:hAnsi="Arial"/>
          <w:sz w:val="18"/>
          <w:szCs w:val="18"/>
          <w:color w:val="auto"/>
        </w:rPr>
        <w:t>Phone: +1 303-728-5179</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Email: terry.brown@echostar.com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Sharyn Nerenberg</w:t>
      </w:r>
    </w:p>
    <w:p>
      <w:pPr>
        <w:spacing w:after="0" w:line="199" w:lineRule="auto"/>
        <w:rPr>
          <w:sz w:val="20"/>
          <w:szCs w:val="20"/>
          <w:color w:val="auto"/>
        </w:rPr>
      </w:pPr>
      <w:r>
        <w:rPr>
          <w:rFonts w:ascii="Arial" w:cs="Arial" w:eastAsia="Arial" w:hAnsi="Arial"/>
          <w:sz w:val="18"/>
          <w:szCs w:val="18"/>
          <w:color w:val="auto"/>
        </w:rPr>
        <w:t>Phone: +1 301-428-7124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Email: sharyn.nerenberg@echostar.com</w:t>
      </w:r>
    </w:p>
    <w:p>
      <w:pPr>
        <w:spacing w:after="0" w:line="200" w:lineRule="exact"/>
        <w:rPr>
          <w:sz w:val="20"/>
          <w:szCs w:val="20"/>
          <w:color w:val="auto"/>
        </w:rPr>
      </w:pPr>
    </w:p>
    <w:p>
      <w:pPr>
        <w:sectPr>
          <w:pgSz w:w="11900" w:h="16838" w:orient="portrait"/>
          <w:cols w:equalWidth="0" w:num="2">
            <w:col w:w="4940" w:space="720"/>
            <w:col w:w="5580"/>
          </w:cols>
          <w:pgMar w:left="320" w:top="673" w:right="339" w:bottom="144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673" w:right="339" w:bottom="1440" w:gutter="0" w:footer="0" w:header="0"/>
          <w:type w:val="continuous"/>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1421"/>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06"/>
        </w:trPr>
        <w:tc>
          <w:tcPr>
            <w:tcW w:w="7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Pr>
          <w:p>
            <w:pPr>
              <w:spacing w:after="0"/>
              <w:rPr>
                <w:sz w:val="17"/>
                <w:szCs w:val="17"/>
                <w:color w:val="auto"/>
              </w:rPr>
            </w:pPr>
          </w:p>
        </w:tc>
        <w:tc>
          <w:tcPr>
            <w:tcW w:w="1560" w:type="dxa"/>
            <w:vAlign w:val="bottom"/>
          </w:tcPr>
          <w:p>
            <w:pPr>
              <w:jc w:val="right"/>
              <w:ind w:right="41"/>
              <w:spacing w:after="0"/>
              <w:rPr>
                <w:sz w:val="20"/>
                <w:szCs w:val="20"/>
                <w:color w:val="auto"/>
              </w:rPr>
            </w:pPr>
            <w:r>
              <w:rPr>
                <w:rFonts w:ascii="Arial" w:cs="Arial" w:eastAsia="Arial" w:hAnsi="Arial"/>
                <w:sz w:val="16"/>
                <w:szCs w:val="16"/>
                <w:b w:val="1"/>
                <w:bCs w:val="1"/>
                <w:color w:val="auto"/>
                <w:w w:val="98"/>
              </w:rPr>
              <w:t>December 31, 2021</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991,595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535,894</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Marketable investment securities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529,854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1,010,496</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receivable and contract assets, net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224,016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182,063</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current assets, net</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211,877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198,444</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1,957,342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1,926,897</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2,312,526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2,338,285</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151,967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149,198</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533,505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511,086</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Regulatory authorizations, net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464,523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469,766</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intangible assets, net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13,984</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investments, net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352,078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297,747</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assets, net</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329,564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338,241</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non-current assets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4,161,181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4,118,307</w:t>
            </w:r>
          </w:p>
        </w:tc>
        <w:tc>
          <w:tcPr>
            <w:tcW w:w="0" w:type="dxa"/>
            <w:vAlign w:val="bottom"/>
          </w:tcPr>
          <w:p>
            <w:pPr>
              <w:spacing w:after="0"/>
              <w:rPr>
                <w:sz w:val="1"/>
                <w:szCs w:val="1"/>
                <w:color w:val="auto"/>
              </w:rPr>
            </w:pPr>
          </w:p>
        </w:tc>
      </w:tr>
      <w:tr>
        <w:trPr>
          <w:trHeight w:val="205"/>
        </w:trPr>
        <w:tc>
          <w:tcPr>
            <w:tcW w:w="7760" w:type="dxa"/>
            <w:vAlign w:val="bottom"/>
          </w:tcPr>
          <w:p>
            <w:pPr>
              <w:ind w:left="6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6,118,523</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6,045,204</w:t>
            </w:r>
          </w:p>
        </w:tc>
        <w:tc>
          <w:tcPr>
            <w:tcW w:w="0" w:type="dxa"/>
            <w:vAlign w:val="bottom"/>
          </w:tcPr>
          <w:p>
            <w:pPr>
              <w:spacing w:after="0"/>
              <w:rPr>
                <w:sz w:val="1"/>
                <w:szCs w:val="1"/>
                <w:color w:val="auto"/>
              </w:rPr>
            </w:pPr>
          </w:p>
        </w:tc>
      </w:tr>
      <w:tr>
        <w:trPr>
          <w:trHeight w:val="25"/>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payable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103,680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109,338</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134,856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141,343</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195,827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209,442</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434,363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460,123</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20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1,496,379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1,495,994</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Deferred tax liabilities, net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428,600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403,684</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137,446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134,897</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122,179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136,426</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non-current liabilities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2,184,604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2,171,001</w:t>
            </w:r>
          </w:p>
        </w:tc>
        <w:tc>
          <w:tcPr>
            <w:tcW w:w="0" w:type="dxa"/>
            <w:vAlign w:val="bottom"/>
          </w:tcPr>
          <w:p>
            <w:pPr>
              <w:spacing w:after="0"/>
              <w:rPr>
                <w:sz w:val="1"/>
                <w:szCs w:val="1"/>
                <w:color w:val="auto"/>
              </w:rPr>
            </w:pPr>
          </w:p>
        </w:tc>
      </w:tr>
      <w:tr>
        <w:trPr>
          <w:trHeight w:val="208"/>
        </w:trPr>
        <w:tc>
          <w:tcPr>
            <w:tcW w:w="7760" w:type="dxa"/>
            <w:vAlign w:val="bottom"/>
          </w:tcPr>
          <w:p>
            <w:pPr>
              <w:ind w:left="64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2,618,967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2,631,124</w:t>
            </w: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ectPr>
          <w:pgSz w:w="11900" w:h="16838" w:orient="portrait"/>
          <w:cols w:equalWidth="0" w:num="1">
            <w:col w:w="11220"/>
          </w:cols>
          <w:pgMar w:left="340" w:top="6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340" w:top="673" w:right="339" w:bottom="1440" w:gutter="0" w:footer="0" w:header="0"/>
          <w:type w:val="continuous"/>
        </w:sectPr>
      </w:pPr>
    </w:p>
    <w:bookmarkStart w:id="75" w:name="page76"/>
    <w:bookmarkEnd w:id="75"/>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79"/>
        </w:trPr>
        <w:tc>
          <w:tcPr>
            <w:tcW w:w="7440" w:type="dxa"/>
            <w:vAlign w:val="bottom"/>
          </w:tcPr>
          <w:p>
            <w:pPr>
              <w:ind w:left="200"/>
              <w:spacing w:after="0" w:line="179" w:lineRule="exact"/>
              <w:rPr>
                <w:sz w:val="20"/>
                <w:szCs w:val="20"/>
                <w:color w:val="auto"/>
              </w:rPr>
            </w:pPr>
            <w:r>
              <w:rPr>
                <w:rFonts w:ascii="Arial" w:cs="Arial" w:eastAsia="Arial" w:hAnsi="Arial"/>
                <w:sz w:val="16"/>
                <w:szCs w:val="16"/>
                <w:color w:val="auto"/>
              </w:rPr>
              <w:t>Preferred stock, $0.001 par value, 20,000,000 shares authorized, none issued and outstanding at</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7"/>
        </w:trPr>
        <w:tc>
          <w:tcPr>
            <w:tcW w:w="7440" w:type="dxa"/>
            <w:vAlign w:val="bottom"/>
          </w:tcPr>
          <w:p>
            <w:pPr>
              <w:ind w:left="200"/>
              <w:spacing w:after="0"/>
              <w:rPr>
                <w:sz w:val="20"/>
                <w:szCs w:val="20"/>
                <w:color w:val="auto"/>
              </w:rPr>
            </w:pPr>
            <w:r>
              <w:rPr>
                <w:rFonts w:ascii="Arial" w:cs="Arial" w:eastAsia="Arial" w:hAnsi="Arial"/>
                <w:sz w:val="16"/>
                <w:szCs w:val="16"/>
                <w:color w:val="auto"/>
              </w:rPr>
              <w:t>both June 30, 2022 and December 31, 2021</w:t>
            </w:r>
          </w:p>
        </w:tc>
        <w:tc>
          <w:tcPr>
            <w:tcW w:w="58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7440" w:type="dxa"/>
            <w:vAlign w:val="bottom"/>
          </w:tcPr>
          <w:p>
            <w:pPr>
              <w:ind w:left="20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75"/>
        </w:trPr>
        <w:tc>
          <w:tcPr>
            <w:tcW w:w="7440" w:type="dxa"/>
            <w:vAlign w:val="bottom"/>
          </w:tcPr>
          <w:p>
            <w:pPr>
              <w:ind w:left="440"/>
              <w:spacing w:after="0" w:line="175" w:lineRule="exact"/>
              <w:rPr>
                <w:sz w:val="20"/>
                <w:szCs w:val="20"/>
                <w:color w:val="auto"/>
              </w:rPr>
            </w:pPr>
            <w:r>
              <w:rPr>
                <w:rFonts w:ascii="Arial" w:cs="Arial" w:eastAsia="Arial" w:hAnsi="Arial"/>
                <w:sz w:val="16"/>
                <w:szCs w:val="16"/>
                <w:color w:val="auto"/>
              </w:rPr>
              <w:t>Class A common stock, $0.001 par value, 1,600,000,000 shares authorized, 58,604,747 shares</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59"/>
        </w:trPr>
        <w:tc>
          <w:tcPr>
            <w:tcW w:w="7440" w:type="dxa"/>
            <w:vAlign w:val="bottom"/>
          </w:tcPr>
          <w:p>
            <w:pPr>
              <w:ind w:left="440"/>
              <w:spacing w:after="0" w:line="159" w:lineRule="exact"/>
              <w:rPr>
                <w:sz w:val="20"/>
                <w:szCs w:val="20"/>
                <w:color w:val="auto"/>
              </w:rPr>
            </w:pPr>
            <w:r>
              <w:rPr>
                <w:rFonts w:ascii="Arial" w:cs="Arial" w:eastAsia="Arial" w:hAnsi="Arial"/>
                <w:sz w:val="16"/>
                <w:szCs w:val="16"/>
                <w:color w:val="auto"/>
              </w:rPr>
              <w:t>issued and 35,885,079 shares outstanding at June 30, 2022 and 58,059,622 shares issued and</w:t>
            </w:r>
          </w:p>
        </w:tc>
        <w:tc>
          <w:tcPr>
            <w:tcW w:w="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2"/>
        </w:trPr>
        <w:tc>
          <w:tcPr>
            <w:tcW w:w="7440" w:type="dxa"/>
            <w:vAlign w:val="bottom"/>
          </w:tcPr>
          <w:p>
            <w:pPr>
              <w:ind w:left="440"/>
              <w:spacing w:after="0"/>
              <w:rPr>
                <w:sz w:val="20"/>
                <w:szCs w:val="20"/>
                <w:color w:val="auto"/>
              </w:rPr>
            </w:pPr>
            <w:r>
              <w:rPr>
                <w:rFonts w:ascii="Arial" w:cs="Arial" w:eastAsia="Arial" w:hAnsi="Arial"/>
                <w:sz w:val="16"/>
                <w:szCs w:val="16"/>
                <w:color w:val="auto"/>
              </w:rPr>
              <w:t>38,726,923 shares outstanding at December 31, 2021</w:t>
            </w:r>
          </w:p>
        </w:tc>
        <w:tc>
          <w:tcPr>
            <w:tcW w:w="580" w:type="dxa"/>
            <w:vAlign w:val="bottom"/>
          </w:tcPr>
          <w:p>
            <w:pPr>
              <w:spacing w:after="0"/>
              <w:rPr>
                <w:sz w:val="16"/>
                <w:szCs w:val="16"/>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179"/>
        </w:trPr>
        <w:tc>
          <w:tcPr>
            <w:tcW w:w="7440" w:type="dxa"/>
            <w:vAlign w:val="bottom"/>
          </w:tcPr>
          <w:p>
            <w:pPr>
              <w:ind w:left="440"/>
              <w:spacing w:after="0" w:line="179" w:lineRule="exact"/>
              <w:rPr>
                <w:sz w:val="20"/>
                <w:szCs w:val="20"/>
                <w:color w:val="auto"/>
              </w:rPr>
            </w:pPr>
            <w:r>
              <w:rPr>
                <w:rFonts w:ascii="Arial" w:cs="Arial" w:eastAsia="Arial" w:hAnsi="Arial"/>
                <w:sz w:val="16"/>
                <w:szCs w:val="16"/>
                <w:color w:val="auto"/>
              </w:rPr>
              <w:t>Class B convertible common stock, $0.001 par value, 800,000,000 shares authorized, 47,687,039</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2"/>
        </w:trPr>
        <w:tc>
          <w:tcPr>
            <w:tcW w:w="7440" w:type="dxa"/>
            <w:vAlign w:val="bottom"/>
          </w:tcPr>
          <w:p>
            <w:pPr>
              <w:ind w:left="440"/>
              <w:spacing w:after="0"/>
              <w:rPr>
                <w:sz w:val="20"/>
                <w:szCs w:val="20"/>
                <w:color w:val="auto"/>
              </w:rPr>
            </w:pPr>
            <w:r>
              <w:rPr>
                <w:rFonts w:ascii="Arial" w:cs="Arial" w:eastAsia="Arial" w:hAnsi="Arial"/>
                <w:sz w:val="16"/>
                <w:szCs w:val="16"/>
                <w:color w:val="auto"/>
              </w:rPr>
              <w:t>shares issued and outstanding at both June 30, 2022 and December 31, 2021</w:t>
            </w:r>
          </w:p>
        </w:tc>
        <w:tc>
          <w:tcPr>
            <w:tcW w:w="580" w:type="dxa"/>
            <w:vAlign w:val="bottom"/>
          </w:tcPr>
          <w:p>
            <w:pPr>
              <w:spacing w:after="0"/>
              <w:rPr>
                <w:sz w:val="16"/>
                <w:szCs w:val="16"/>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79"/>
        </w:trPr>
        <w:tc>
          <w:tcPr>
            <w:tcW w:w="7440" w:type="dxa"/>
            <w:vAlign w:val="bottom"/>
          </w:tcPr>
          <w:p>
            <w:pPr>
              <w:ind w:left="440"/>
              <w:spacing w:after="0" w:line="179" w:lineRule="exact"/>
              <w:rPr>
                <w:sz w:val="20"/>
                <w:szCs w:val="20"/>
                <w:color w:val="auto"/>
              </w:rPr>
            </w:pPr>
            <w:r>
              <w:rPr>
                <w:rFonts w:ascii="Arial" w:cs="Arial" w:eastAsia="Arial" w:hAnsi="Arial"/>
                <w:sz w:val="16"/>
                <w:szCs w:val="16"/>
                <w:color w:val="auto"/>
              </w:rPr>
              <w:t>Class C convertible common stock, $0.001 par value, 800,000,000 shares authorized, none</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2"/>
        </w:trPr>
        <w:tc>
          <w:tcPr>
            <w:tcW w:w="7440" w:type="dxa"/>
            <w:vAlign w:val="bottom"/>
          </w:tcPr>
          <w:p>
            <w:pPr>
              <w:ind w:left="440"/>
              <w:spacing w:after="0"/>
              <w:rPr>
                <w:sz w:val="20"/>
                <w:szCs w:val="20"/>
                <w:color w:val="auto"/>
              </w:rPr>
            </w:pPr>
            <w:r>
              <w:rPr>
                <w:rFonts w:ascii="Arial" w:cs="Arial" w:eastAsia="Arial" w:hAnsi="Arial"/>
                <w:sz w:val="16"/>
                <w:szCs w:val="16"/>
                <w:color w:val="auto"/>
              </w:rPr>
              <w:t>issued and outstanding at both June 30, 2022 and December 31, 2021</w:t>
            </w:r>
          </w:p>
        </w:tc>
        <w:tc>
          <w:tcPr>
            <w:tcW w:w="58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9"/>
        </w:trPr>
        <w:tc>
          <w:tcPr>
            <w:tcW w:w="7440" w:type="dxa"/>
            <w:vAlign w:val="bottom"/>
          </w:tcPr>
          <w:p>
            <w:pPr>
              <w:ind w:left="440"/>
              <w:spacing w:after="0" w:line="179" w:lineRule="exact"/>
              <w:rPr>
                <w:sz w:val="20"/>
                <w:szCs w:val="20"/>
                <w:color w:val="auto"/>
              </w:rPr>
            </w:pPr>
            <w:r>
              <w:rPr>
                <w:rFonts w:ascii="Arial" w:cs="Arial" w:eastAsia="Arial" w:hAnsi="Arial"/>
                <w:sz w:val="16"/>
                <w:szCs w:val="16"/>
                <w:color w:val="auto"/>
              </w:rPr>
              <w:t>Class D common stock, $0.001 par value, 800,000,000 shares authorized, none issued and</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2"/>
        </w:trPr>
        <w:tc>
          <w:tcPr>
            <w:tcW w:w="7440" w:type="dxa"/>
            <w:vAlign w:val="bottom"/>
          </w:tcPr>
          <w:p>
            <w:pPr>
              <w:ind w:left="440"/>
              <w:spacing w:after="0"/>
              <w:rPr>
                <w:sz w:val="20"/>
                <w:szCs w:val="20"/>
                <w:color w:val="auto"/>
              </w:rPr>
            </w:pPr>
            <w:r>
              <w:rPr>
                <w:rFonts w:ascii="Arial" w:cs="Arial" w:eastAsia="Arial" w:hAnsi="Arial"/>
                <w:sz w:val="16"/>
                <w:szCs w:val="16"/>
                <w:color w:val="auto"/>
              </w:rPr>
              <w:t>outstanding at both June 30, 2022 and December 31, 2021</w:t>
            </w:r>
          </w:p>
        </w:tc>
        <w:tc>
          <w:tcPr>
            <w:tcW w:w="58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5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3,355,238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3,345,878</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5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(204,465)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(212,102)</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Accumulated earnings (losses)</w:t>
            </w:r>
          </w:p>
        </w:tc>
        <w:tc>
          <w:tcPr>
            <w:tcW w:w="5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761,767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656,466</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Treasury shares, at cost</w:t>
            </w: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(514,418)</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(436,521)</w:t>
            </w:r>
          </w:p>
        </w:tc>
      </w:tr>
      <w:tr>
        <w:trPr>
          <w:trHeight w:val="205"/>
        </w:trPr>
        <w:tc>
          <w:tcPr>
            <w:tcW w:w="7440" w:type="dxa"/>
            <w:vAlign w:val="bottom"/>
          </w:tcPr>
          <w:p>
            <w:pPr>
              <w:ind w:left="440"/>
              <w:spacing w:after="0"/>
              <w:rPr>
                <w:sz w:val="20"/>
                <w:szCs w:val="20"/>
                <w:color w:val="auto"/>
              </w:rPr>
            </w:pPr>
            <w:r>
              <w:rPr>
                <w:rFonts w:ascii="Arial" w:cs="Arial" w:eastAsia="Arial" w:hAnsi="Arial"/>
                <w:sz w:val="16"/>
                <w:szCs w:val="16"/>
                <w:color w:val="auto"/>
              </w:rPr>
              <w:t>Total EchoStar Corporation stockholders' equity</w:t>
            </w:r>
          </w:p>
        </w:tc>
        <w:tc>
          <w:tcPr>
            <w:tcW w:w="5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3,398,229</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3,353,827</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101,327</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60,253</w:t>
            </w:r>
          </w:p>
        </w:tc>
      </w:tr>
      <w:tr>
        <w:trPr>
          <w:trHeight w:val="205"/>
        </w:trPr>
        <w:tc>
          <w:tcPr>
            <w:tcW w:w="7440" w:type="dxa"/>
            <w:vAlign w:val="bottom"/>
          </w:tcPr>
          <w:p>
            <w:pPr>
              <w:ind w:left="440"/>
              <w:spacing w:after="0"/>
              <w:rPr>
                <w:sz w:val="20"/>
                <w:szCs w:val="20"/>
                <w:color w:val="auto"/>
              </w:rPr>
            </w:pPr>
            <w:r>
              <w:rPr>
                <w:rFonts w:ascii="Arial" w:cs="Arial" w:eastAsia="Arial" w:hAnsi="Arial"/>
                <w:sz w:val="16"/>
                <w:szCs w:val="16"/>
                <w:b w:val="1"/>
                <w:bCs w:val="1"/>
                <w:color w:val="auto"/>
              </w:rPr>
              <w:t>Total stockholders' equity</w:t>
            </w:r>
          </w:p>
        </w:tc>
        <w:tc>
          <w:tcPr>
            <w:tcW w:w="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3,499,556</w:t>
            </w:r>
          </w:p>
        </w:tc>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3,414,080</w:t>
            </w:r>
          </w:p>
        </w:tc>
      </w:tr>
      <w:tr>
        <w:trPr>
          <w:trHeight w:val="208"/>
        </w:trPr>
        <w:tc>
          <w:tcPr>
            <w:tcW w:w="7440" w:type="dxa"/>
            <w:vAlign w:val="bottom"/>
          </w:tcPr>
          <w:p>
            <w:pPr>
              <w:ind w:left="440"/>
              <w:spacing w:after="0"/>
              <w:rPr>
                <w:sz w:val="20"/>
                <w:szCs w:val="20"/>
                <w:color w:val="auto"/>
              </w:rPr>
            </w:pPr>
            <w:r>
              <w:rPr>
                <w:rFonts w:ascii="Arial" w:cs="Arial" w:eastAsia="Arial" w:hAnsi="Arial"/>
                <w:sz w:val="16"/>
                <w:szCs w:val="16"/>
                <w:b w:val="1"/>
                <w:bCs w:val="1"/>
                <w:color w:val="auto"/>
              </w:rPr>
              <w:t>Total liabilities and stockholders' equity</w:t>
            </w:r>
          </w:p>
        </w:tc>
        <w:tc>
          <w:tcPr>
            <w:tcW w:w="5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6,118,523</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6,045,204</w:t>
            </w:r>
          </w:p>
        </w:tc>
      </w:tr>
      <w:tr>
        <w:trPr>
          <w:trHeight w:val="22"/>
        </w:trPr>
        <w:tc>
          <w:tcPr>
            <w:tcW w:w="7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673" w:right="339" w:bottom="1440" w:gutter="0" w:footer="0" w:header="0"/>
        </w:sectPr>
      </w:pPr>
    </w:p>
    <w:bookmarkStart w:id="76" w:name="page77"/>
    <w:bookmarkEnd w:id="76"/>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9"/>
              </w:rPr>
              <w:t>For the three months ended</w:t>
            </w:r>
          </w:p>
        </w:tc>
        <w:tc>
          <w:tcPr>
            <w:tcW w:w="120" w:type="dxa"/>
            <w:vAlign w:val="bottom"/>
          </w:tcPr>
          <w:p>
            <w:pPr>
              <w:spacing w:after="0"/>
              <w:rPr>
                <w:sz w:val="17"/>
                <w:szCs w:val="17"/>
                <w:color w:val="auto"/>
              </w:rPr>
            </w:pPr>
          </w:p>
        </w:tc>
        <w:tc>
          <w:tcPr>
            <w:tcW w:w="2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7"/>
              </w:rPr>
              <w:t>For the six months ended June</w:t>
            </w:r>
          </w:p>
        </w:tc>
        <w:tc>
          <w:tcPr>
            <w:tcW w:w="0" w:type="dxa"/>
            <w:vAlign w:val="bottom"/>
          </w:tcPr>
          <w:p>
            <w:pPr>
              <w:spacing w:after="0"/>
              <w:rPr>
                <w:sz w:val="1"/>
                <w:szCs w:val="1"/>
                <w:color w:val="auto"/>
              </w:rPr>
            </w:pPr>
          </w:p>
        </w:tc>
      </w:tr>
      <w:tr>
        <w:trPr>
          <w:trHeight w:val="225"/>
        </w:trPr>
        <w:tc>
          <w:tcPr>
            <w:tcW w:w="5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8"/>
                <w:szCs w:val="18"/>
                <w:b w:val="1"/>
                <w:bCs w:val="1"/>
                <w:color w:val="auto"/>
              </w:rPr>
              <w:t>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52"/>
        </w:trPr>
        <w:tc>
          <w:tcPr>
            <w:tcW w:w="558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Services and other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414,697</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431,279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833,508</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861,616</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Equipment revenue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84,619</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68,555</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167,342</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120,800</w:t>
            </w: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499,316</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499,834</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1,000,850</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982,416</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80" w:type="dxa"/>
            <w:vAlign w:val="bottom"/>
          </w:tcPr>
          <w:p>
            <w:pPr>
              <w:ind w:left="200"/>
              <w:spacing w:after="0" w:line="179" w:lineRule="exact"/>
              <w:rPr>
                <w:sz w:val="20"/>
                <w:szCs w:val="20"/>
                <w:color w:val="auto"/>
              </w:rPr>
            </w:pPr>
            <w:r>
              <w:rPr>
                <w:rFonts w:ascii="Arial" w:cs="Arial" w:eastAsia="Arial" w:hAnsi="Arial"/>
                <w:sz w:val="16"/>
                <w:szCs w:val="16"/>
                <w:color w:val="auto"/>
              </w:rPr>
              <w:t>Cost of sales - services and other (exclusive of depreciation and</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580" w:type="dxa"/>
            <w:vAlign w:val="bottom"/>
          </w:tcPr>
          <w:p>
            <w:pPr>
              <w:ind w:left="200"/>
              <w:spacing w:after="0"/>
              <w:rPr>
                <w:sz w:val="20"/>
                <w:szCs w:val="20"/>
                <w:color w:val="auto"/>
              </w:rPr>
            </w:pPr>
            <w:r>
              <w:rPr>
                <w:rFonts w:ascii="Arial" w:cs="Arial" w:eastAsia="Arial" w:hAnsi="Arial"/>
                <w:sz w:val="16"/>
                <w:szCs w:val="16"/>
                <w:color w:val="auto"/>
              </w:rPr>
              <w:t>amortization)</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144,235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139,547</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285,364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272,336</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Cost of sales - equipment (exclusive of depreciation and amortization)</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70,054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54,503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139,168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99,654</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113,091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114,038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231,261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228,157</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7,441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16,381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14,986</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116,555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118,982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236,991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248,268</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Impairment of long-lived assets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453,410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434,526</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909,876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863,646</w:t>
            </w:r>
          </w:p>
        </w:tc>
        <w:tc>
          <w:tcPr>
            <w:tcW w:w="0" w:type="dxa"/>
            <w:vAlign w:val="bottom"/>
          </w:tcPr>
          <w:p>
            <w:pPr>
              <w:spacing w:after="0"/>
              <w:rPr>
                <w:sz w:val="1"/>
                <w:szCs w:val="1"/>
                <w:color w:val="auto"/>
              </w:rPr>
            </w:pPr>
          </w:p>
        </w:tc>
      </w:tr>
      <w:tr>
        <w:trPr>
          <w:trHeight w:val="205"/>
        </w:trPr>
        <w:tc>
          <w:tcPr>
            <w:tcW w:w="5580" w:type="dxa"/>
            <w:vAlign w:val="bottom"/>
          </w:tcPr>
          <w:p>
            <w:pPr>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45,906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65,308</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90,974</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118,770</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Interest income, net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5,240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11,189</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Interest expense, net of amounts capitalized</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(14,307)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(28,868)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(63,535)</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Gains (losses) on investments, net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(22,538)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30,633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58,148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109,233</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Equity in earnings (losses) of unconsolidated affiliates, net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(4,044)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(2,670)</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Foreign currency transaction gains (losses), net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(3,404)</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(12,767)</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(13,697)</w:t>
            </w: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6"/>
                <w:szCs w:val="16"/>
                <w:color w:val="auto"/>
              </w:rPr>
              <w:t>Total other income (expense), net</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(30,043)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(9,141)</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46,616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37,116</w:t>
            </w:r>
          </w:p>
        </w:tc>
        <w:tc>
          <w:tcPr>
            <w:tcW w:w="0" w:type="dxa"/>
            <w:vAlign w:val="bottom"/>
          </w:tcPr>
          <w:p>
            <w:pPr>
              <w:spacing w:after="0"/>
              <w:rPr>
                <w:sz w:val="1"/>
                <w:szCs w:val="1"/>
                <w:color w:val="auto"/>
              </w:rPr>
            </w:pPr>
          </w:p>
        </w:tc>
      </w:tr>
      <w:tr>
        <w:trPr>
          <w:trHeight w:val="205"/>
        </w:trPr>
        <w:tc>
          <w:tcPr>
            <w:tcW w:w="558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15,863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56,167</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137,590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155,886</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Income tax benefit (provision), net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(21,152)</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(38,172)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(43,299)</w:t>
            </w:r>
          </w:p>
        </w:tc>
        <w:tc>
          <w:tcPr>
            <w:tcW w:w="0" w:type="dxa"/>
            <w:vAlign w:val="bottom"/>
          </w:tcPr>
          <w:p>
            <w:pPr>
              <w:spacing w:after="0"/>
              <w:rPr>
                <w:sz w:val="1"/>
                <w:szCs w:val="1"/>
                <w:color w:val="auto"/>
              </w:rPr>
            </w:pPr>
          </w:p>
        </w:tc>
      </w:tr>
      <w:tr>
        <w:trPr>
          <w:trHeight w:val="205"/>
        </w:trPr>
        <w:tc>
          <w:tcPr>
            <w:tcW w:w="5580" w:type="dxa"/>
            <w:vAlign w:val="bottom"/>
          </w:tcPr>
          <w:p>
            <w:pPr>
              <w:spacing w:after="0"/>
              <w:rPr>
                <w:sz w:val="20"/>
                <w:szCs w:val="20"/>
                <w:color w:val="auto"/>
              </w:rPr>
            </w:pPr>
            <w:r>
              <w:rPr>
                <w:rFonts w:ascii="Arial" w:cs="Arial" w:eastAsia="Arial" w:hAnsi="Arial"/>
                <w:sz w:val="16"/>
                <w:szCs w:val="16"/>
                <w:color w:val="auto"/>
              </w:rPr>
              <w:t>Net income (loss)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10,473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35,015</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99,418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112,587</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Less: Net loss (income) attributable to non-controlling interests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3,227</w:t>
            </w:r>
          </w:p>
        </w:tc>
        <w:tc>
          <w:tcPr>
            <w:tcW w:w="0" w:type="dxa"/>
            <w:vAlign w:val="bottom"/>
          </w:tcPr>
          <w:p>
            <w:pPr>
              <w:spacing w:after="0"/>
              <w:rPr>
                <w:sz w:val="1"/>
                <w:szCs w:val="1"/>
                <w:color w:val="auto"/>
              </w:rPr>
            </w:pPr>
          </w:p>
        </w:tc>
      </w:tr>
      <w:tr>
        <w:trPr>
          <w:trHeight w:val="205"/>
        </w:trPr>
        <w:tc>
          <w:tcPr>
            <w:tcW w:w="5580" w:type="dxa"/>
            <w:vAlign w:val="bottom"/>
          </w:tcPr>
          <w:p>
            <w:pPr>
              <w:spacing w:after="0"/>
              <w:rPr>
                <w:sz w:val="20"/>
                <w:szCs w:val="20"/>
                <w:color w:val="auto"/>
              </w:rPr>
            </w:pPr>
            <w:r>
              <w:rPr>
                <w:rFonts w:ascii="Arial" w:cs="Arial" w:eastAsia="Arial" w:hAnsi="Arial"/>
                <w:sz w:val="16"/>
                <w:szCs w:val="16"/>
                <w:color w:val="auto"/>
              </w:rPr>
              <w:t>Net income (loss) attributable to EchoStar Corporation common stock</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37,295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105,301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115,814</w:t>
            </w:r>
          </w:p>
        </w:tc>
        <w:tc>
          <w:tcPr>
            <w:tcW w:w="0" w:type="dxa"/>
            <w:vAlign w:val="bottom"/>
          </w:tcPr>
          <w:p>
            <w:pPr>
              <w:spacing w:after="0"/>
              <w:rPr>
                <w:sz w:val="1"/>
                <w:szCs w:val="1"/>
                <w:color w:val="auto"/>
              </w:rPr>
            </w:pPr>
          </w:p>
        </w:tc>
      </w:tr>
      <w:tr>
        <w:trPr>
          <w:trHeight w:val="25"/>
        </w:trPr>
        <w:tc>
          <w:tcPr>
            <w:tcW w:w="558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(losses) per share - Class A and B common stock:</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5"/>
        </w:trPr>
        <w:tc>
          <w:tcPr>
            <w:tcW w:w="558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5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2"/>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673" w:right="33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For the 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2021</w:t>
            </w:r>
          </w:p>
        </w:tc>
      </w:tr>
      <w:tr>
        <w:trPr>
          <w:trHeight w:val="386"/>
        </w:trPr>
        <w:tc>
          <w:tcPr>
            <w:tcW w:w="744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1120" w:type="dxa"/>
            <w:vAlign w:val="bottom"/>
          </w:tcPr>
          <w:p>
            <w:pPr>
              <w:jc w:val="right"/>
              <w:ind w:right="921"/>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99,418</w:t>
            </w:r>
          </w:p>
        </w:tc>
        <w:tc>
          <w:tcPr>
            <w:tcW w:w="12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112,587</w:t>
            </w:r>
          </w:p>
        </w:tc>
      </w:tr>
      <w:tr>
        <w:trPr>
          <w:trHeight w:val="164"/>
        </w:trPr>
        <w:tc>
          <w:tcPr>
            <w:tcW w:w="7440" w:type="dxa"/>
            <w:vAlign w:val="bottom"/>
          </w:tcPr>
          <w:p>
            <w:pPr>
              <w:ind w:left="200"/>
              <w:spacing w:after="0" w:line="164" w:lineRule="exact"/>
              <w:rPr>
                <w:sz w:val="20"/>
                <w:szCs w:val="20"/>
                <w:color w:val="auto"/>
              </w:rPr>
            </w:pPr>
            <w:r>
              <w:rPr>
                <w:rFonts w:ascii="Arial" w:cs="Arial" w:eastAsia="Arial" w:hAnsi="Arial"/>
                <w:sz w:val="16"/>
                <w:szCs w:val="16"/>
                <w:b w:val="1"/>
                <w:bCs w:val="1"/>
                <w:color w:val="auto"/>
              </w:rPr>
              <w:t>Adjustments to reconcile net income (loss) to cash flows provided by (used for) operating</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b w:val="1"/>
                <w:bCs w:val="1"/>
                <w:color w:val="auto"/>
              </w:rPr>
              <w:t>activities:</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7"/>
        </w:trPr>
        <w:tc>
          <w:tcPr>
            <w:tcW w:w="744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236,991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248,268</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Impairment of long-lived assets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Losses (gains) on investments,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(58,148)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(109,233)</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Equity in losses (earnings) of unconsolidated affiliates,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3,015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2,670</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Foreign currency transaction losses (gains),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(2,752)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3,404</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Deferred tax provision (benefit),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24,412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34,024</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Stock-based compensation</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5,047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3,825</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Amortization of debt issuance costs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2,008</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Other,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27,397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6,198</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b w:val="1"/>
                <w:bCs w:val="1"/>
                <w:color w:val="auto"/>
              </w:rPr>
              <w:t>Changes in assets and liabilities, net:</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Trade accounts receivable and contract assets,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(39,271)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(3,363)</w:t>
            </w: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Other current assets,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(1,120)</w:t>
            </w: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Trade accounts payable</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1,793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(9,631)</w:t>
            </w: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Contract liabilities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(6,487)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23,251</w:t>
            </w: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Accrued expenses and other current liabilities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621</w:t>
            </w: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Non-current assets and non-current liabilities, net</w:t>
            </w: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(24,648)</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(5,114)</w:t>
            </w:r>
          </w:p>
        </w:tc>
      </w:tr>
      <w:tr>
        <w:trPr>
          <w:trHeight w:val="205"/>
        </w:trPr>
        <w:tc>
          <w:tcPr>
            <w:tcW w:w="7440" w:type="dxa"/>
            <w:vAlign w:val="bottom"/>
          </w:tcPr>
          <w:p>
            <w:pPr>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1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251,632</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308,640</w:t>
            </w:r>
          </w:p>
        </w:tc>
      </w:tr>
      <w:tr>
        <w:trPr>
          <w:trHeight w:val="444"/>
        </w:trPr>
        <w:tc>
          <w:tcPr>
            <w:tcW w:w="74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Purchases of marketable investment securities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6"/>
              </w:rPr>
              <w:t>(183,529)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(939,255)</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Sales and maturities of marketable investment securities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669,600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1,824,332</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Expenditures for property and equipment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6"/>
              </w:rPr>
              <w:t>(187,917)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(262,466)</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Expenditures for externally marketed software</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(11,967)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(16,835)</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India JV formation</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(7,892)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Dividend received from unconsolidated affiliate</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Purchase of other investments</w:t>
            </w:r>
          </w:p>
        </w:tc>
        <w:tc>
          <w:tcPr>
            <w:tcW w:w="1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Sales of other investments</w:t>
            </w:r>
          </w:p>
        </w:tc>
        <w:tc>
          <w:tcPr>
            <w:tcW w:w="1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10,516</w:t>
            </w:r>
          </w:p>
        </w:tc>
      </w:tr>
      <w:tr>
        <w:trPr>
          <w:trHeight w:val="205"/>
        </w:trPr>
        <w:tc>
          <w:tcPr>
            <w:tcW w:w="7440" w:type="dxa"/>
            <w:vAlign w:val="bottom"/>
          </w:tcPr>
          <w:p>
            <w:pPr>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1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280,295</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566,292</w:t>
            </w:r>
          </w:p>
        </w:tc>
      </w:tr>
      <w:tr>
        <w:trPr>
          <w:trHeight w:val="404"/>
        </w:trPr>
        <w:tc>
          <w:tcPr>
            <w:tcW w:w="74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Repurchase and maturity of the 2021 Senior Unsecured Notes</w:t>
            </w:r>
          </w:p>
        </w:tc>
        <w:tc>
          <w:tcPr>
            <w:tcW w:w="1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(901,818)</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Payment of finance lease obligations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(476)</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Payment of in-orbit incentive obligations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(1,908)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(1,431)</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Proceeds from Class A common stock issued under the Employee Stock Purchase Plan</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5,046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4,815</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Treasury share repurchase</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(77,095)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(163,822)</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Contribution by non-controlling interest holder</w:t>
            </w:r>
          </w:p>
        </w:tc>
        <w:tc>
          <w:tcPr>
            <w:tcW w:w="1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9,880</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1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(966)</w:t>
            </w:r>
          </w:p>
        </w:tc>
      </w:tr>
      <w:tr>
        <w:trPr>
          <w:trHeight w:val="208"/>
        </w:trPr>
        <w:tc>
          <w:tcPr>
            <w:tcW w:w="7440" w:type="dxa"/>
            <w:vAlign w:val="bottom"/>
          </w:tcPr>
          <w:p>
            <w:pPr>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1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(74,071)</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(1,053,818)</w:t>
            </w:r>
          </w:p>
        </w:tc>
      </w:tr>
      <w:tr>
        <w:trPr>
          <w:trHeight w:val="404"/>
        </w:trPr>
        <w:tc>
          <w:tcPr>
            <w:tcW w:w="744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r>
      <w:tr>
        <w:trPr>
          <w:trHeight w:val="203"/>
        </w:trPr>
        <w:tc>
          <w:tcPr>
            <w:tcW w:w="744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457,128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(179,329)</w:t>
            </w:r>
          </w:p>
        </w:tc>
      </w:tr>
      <w:tr>
        <w:trPr>
          <w:trHeight w:val="215"/>
        </w:trPr>
        <w:tc>
          <w:tcPr>
            <w:tcW w:w="744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beginning of period</w:t>
            </w: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536,874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896,812</w:t>
            </w:r>
          </w:p>
        </w:tc>
      </w:tr>
      <w:tr>
        <w:trPr>
          <w:trHeight w:val="208"/>
        </w:trPr>
        <w:tc>
          <w:tcPr>
            <w:tcW w:w="744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end of period</w:t>
            </w:r>
          </w:p>
        </w:tc>
        <w:tc>
          <w:tcPr>
            <w:tcW w:w="112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994,002</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717,483</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8</w:t>
      </w:r>
    </w:p>
    <w:sectPr>
      <w:pgSz w:w="11900" w:h="16838" w:orient="portrait"/>
      <w:cols w:equalWidth="0" w:num="1">
        <w:col w:w="11220"/>
      </w:cols>
      <w:pgMar w:left="340" w:top="6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upperLetter"/>
      <w:start w:val="8"/>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lvl w:ilvl="1">
      <w:lvlJc w:val="left"/>
      <w:lvlText w:val="%2)"/>
      <w:numFmt w:val="lowerLetter"/>
      <w:start w:val="1"/>
    </w:lvl>
  </w:abstractNum>
  <w:abstractNum w:abstractNumId="17">
    <w:nsid w:val="436C6125"/>
    <w:multiLevelType w:val="hybridMultilevel"/>
    <w:lvl w:ilvl="0">
      <w:lvlJc w:val="left"/>
      <w:lvlText w:val="%1."/>
      <w:numFmt w:val="decimal"/>
      <w:start w:val="1"/>
    </w:lvl>
    <w:lvl w:ilvl="1">
      <w:lvlJc w:val="left"/>
      <w:lvlText w:val="%2)"/>
      <w:numFmt w:val="lowerLetter"/>
      <w:start w:val="1"/>
    </w:lvl>
  </w:abstractNum>
  <w:abstractNum w:abstractNumId="18">
    <w:nsid w:val="628C895D"/>
    <w:multiLevelType w:val="hybridMultilevel"/>
    <w:lvl w:ilvl="0">
      <w:lvlJc w:val="left"/>
      <w:lvlText w:val="(%1)"/>
      <w:numFmt w:val="lowerRoman"/>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lvl w:ilvl="1">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2022-08-04T05:21:10Z</dcterms:created>
  <dcterms:modified xsi:type="dcterms:W3CDTF">2022-08-04T05:21:10Z</dcterms:modified>
</cp:coreProperties>
</file>