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805815</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53340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0" w:lineRule="exact"/>
        <w:rPr>
          <w:sz w:val="24"/>
          <w:szCs w:val="24"/>
          <w:color w:val="auto"/>
        </w:rPr>
      </w:pPr>
    </w:p>
    <w:p>
      <w:pPr>
        <w:ind w:left="60"/>
        <w:spacing w:after="0"/>
        <w:rPr>
          <w:sz w:val="20"/>
          <w:szCs w:val="20"/>
          <w:color w:val="auto"/>
        </w:rPr>
      </w:pPr>
      <w:r>
        <w:rPr>
          <w:rFonts w:ascii="Arial" w:cs="Arial" w:eastAsia="Arial" w:hAnsi="Arial"/>
          <w:sz w:val="16"/>
          <w:szCs w:val="16"/>
          <w:b w:val="1"/>
          <w:bCs w:val="1"/>
          <w:color w:val="auto"/>
        </w:rPr>
        <w:t>(Mark One)</w:t>
      </w:r>
    </w:p>
    <w:p>
      <w:pPr>
        <w:spacing w:after="0" w:line="111" w:lineRule="exact"/>
        <w:rPr>
          <w:sz w:val="24"/>
          <w:szCs w:val="24"/>
          <w:color w:val="auto"/>
        </w:rPr>
      </w:pPr>
    </w:p>
    <w:p>
      <w:pPr>
        <w:ind w:left="2140" w:right="619" w:hanging="2090"/>
        <w:spacing w:after="0" w:line="417" w:lineRule="auto"/>
        <w:tabs>
          <w:tab w:leader="none" w:pos="23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2024.</w:t>
      </w:r>
    </w:p>
    <w:p>
      <w:pPr>
        <w:jc w:val="center"/>
        <w:spacing w:after="0"/>
        <w:rPr>
          <w:sz w:val="20"/>
          <w:szCs w:val="20"/>
          <w:color w:val="auto"/>
        </w:rPr>
      </w:pPr>
      <w:r>
        <w:rPr>
          <w:rFonts w:ascii="Arial" w:cs="Arial" w:eastAsia="Arial" w:hAnsi="Arial"/>
          <w:sz w:val="14"/>
          <w:szCs w:val="14"/>
          <w:b w:val="1"/>
          <w:bCs w:val="1"/>
          <w:color w:val="auto"/>
        </w:rPr>
        <w:t>OR</w:t>
      </w:r>
    </w:p>
    <w:p>
      <w:pPr>
        <w:ind w:left="280" w:hanging="230"/>
        <w:spacing w:after="0" w:line="180" w:lineRule="auto"/>
        <w:tabs>
          <w:tab w:leader="none" w:pos="28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312" w:lineRule="exact"/>
        <w:rPr>
          <w:sz w:val="24"/>
          <w:szCs w:val="24"/>
          <w:color w:val="auto"/>
        </w:rPr>
      </w:pPr>
    </w:p>
    <w:p>
      <w:pPr>
        <w:ind w:left="1580"/>
        <w:spacing w:after="0"/>
        <w:tabs>
          <w:tab w:leader="none" w:pos="5780" w:val="left"/>
          <w:tab w:leader="none" w:pos="7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001-39144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DISH Network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019"/>
          </w:cols>
          <w:pgMar w:left="1440" w:top="661" w:right="1440" w:bottom="1440" w:gutter="0" w:footer="0" w:header="0"/>
        </w:sectPr>
      </w:pPr>
    </w:p>
    <w:p>
      <w:pPr>
        <w:spacing w:after="0" w:line="122"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Nevada</w:t>
      </w:r>
    </w:p>
    <w:p>
      <w:pPr>
        <w:spacing w:after="0" w:line="15" w:lineRule="exact"/>
        <w:rPr>
          <w:sz w:val="24"/>
          <w:szCs w:val="24"/>
          <w:color w:val="auto"/>
        </w:rPr>
      </w:pPr>
    </w:p>
    <w:p>
      <w:pPr>
        <w:jc w:val="center"/>
        <w:ind w:right="5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179"/>
        <w:spacing w:after="0"/>
        <w:rPr>
          <w:sz w:val="20"/>
          <w:szCs w:val="20"/>
          <w:color w:val="auto"/>
        </w:rPr>
      </w:pPr>
      <w:r>
        <w:rPr>
          <w:rFonts w:ascii="Arial" w:cs="Arial" w:eastAsia="Arial" w:hAnsi="Arial"/>
          <w:sz w:val="14"/>
          <w:szCs w:val="14"/>
          <w:b w:val="1"/>
          <w:bCs w:val="1"/>
          <w:color w:val="auto"/>
        </w:rPr>
        <w:t>88-0336997</w:t>
      </w:r>
    </w:p>
    <w:p>
      <w:pPr>
        <w:spacing w:after="0" w:line="15" w:lineRule="exact"/>
        <w:rPr>
          <w:sz w:val="24"/>
          <w:szCs w:val="24"/>
          <w:color w:val="auto"/>
        </w:rPr>
      </w:pPr>
    </w:p>
    <w:p>
      <w:pPr>
        <w:jc w:val="center"/>
        <w:ind w:right="1179"/>
        <w:spacing w:after="0"/>
        <w:rPr>
          <w:sz w:val="20"/>
          <w:szCs w:val="20"/>
          <w:color w:val="auto"/>
        </w:rPr>
      </w:pPr>
      <w:r>
        <w:rPr>
          <w:rFonts w:ascii="Arial" w:cs="Arial" w:eastAsia="Arial" w:hAnsi="Arial"/>
          <w:sz w:val="13"/>
          <w:szCs w:val="13"/>
          <w:color w:val="auto"/>
        </w:rPr>
        <w:t>(I.R.S. Employer Identification No.)</w:t>
      </w:r>
    </w:p>
    <w:p>
      <w:pPr>
        <w:spacing w:after="0" w:line="161" w:lineRule="exact"/>
        <w:rPr>
          <w:sz w:val="24"/>
          <w:szCs w:val="24"/>
          <w:color w:val="auto"/>
        </w:rPr>
      </w:pPr>
    </w:p>
    <w:p>
      <w:pPr>
        <w:sectPr>
          <w:pgSz w:w="11900" w:h="16838" w:orient="portrait"/>
          <w:cols w:equalWidth="0" w:num="2">
            <w:col w:w="4980" w:space="720"/>
            <w:col w:w="3319"/>
          </w:cols>
          <w:pgMar w:left="1440" w:top="661" w:right="1440" w:bottom="1440" w:gutter="0" w:footer="0" w:header="0"/>
          <w:type w:val="continuous"/>
        </w:sectPr>
      </w:pPr>
    </w:p>
    <w:p>
      <w:pPr>
        <w:jc w:val="center"/>
        <w:ind w:right="1260"/>
        <w:spacing w:after="0"/>
        <w:rPr>
          <w:sz w:val="20"/>
          <w:szCs w:val="20"/>
          <w:color w:val="auto"/>
        </w:rPr>
      </w:pPr>
      <w:r>
        <w:rPr>
          <w:rFonts w:ascii="Arial" w:cs="Arial" w:eastAsia="Arial" w:hAnsi="Arial"/>
          <w:sz w:val="14"/>
          <w:szCs w:val="14"/>
          <w:b w:val="1"/>
          <w:bCs w:val="1"/>
          <w:color w:val="auto"/>
        </w:rPr>
        <w:t>9601 South Meridian Boulevard</w:t>
      </w:r>
    </w:p>
    <w:p>
      <w:pPr>
        <w:spacing w:after="0" w:line="15" w:lineRule="exact"/>
        <w:rPr>
          <w:sz w:val="24"/>
          <w:szCs w:val="24"/>
          <w:color w:val="auto"/>
        </w:rPr>
      </w:pPr>
    </w:p>
    <w:p>
      <w:pPr>
        <w:jc w:val="center"/>
        <w:ind w:right="1260"/>
        <w:spacing w:after="0"/>
        <w:rPr>
          <w:sz w:val="20"/>
          <w:szCs w:val="20"/>
          <w:color w:val="auto"/>
        </w:rPr>
      </w:pPr>
      <w:r>
        <w:rPr>
          <w:rFonts w:ascii="Arial" w:cs="Arial" w:eastAsia="Arial" w:hAnsi="Arial"/>
          <w:sz w:val="14"/>
          <w:szCs w:val="14"/>
          <w:b w:val="1"/>
          <w:bCs w:val="1"/>
          <w:color w:val="auto"/>
        </w:rPr>
        <w:t>Englewood, Colorado</w:t>
      </w:r>
    </w:p>
    <w:p>
      <w:pPr>
        <w:spacing w:after="0" w:line="1" w:lineRule="exact"/>
        <w:rPr>
          <w:sz w:val="24"/>
          <w:szCs w:val="24"/>
          <w:color w:val="auto"/>
        </w:rPr>
      </w:pPr>
    </w:p>
    <w:p>
      <w:pPr>
        <w:jc w:val="center"/>
        <w:ind w:right="12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939"/>
        <w:spacing w:after="0"/>
        <w:rPr>
          <w:sz w:val="20"/>
          <w:szCs w:val="20"/>
          <w:color w:val="auto"/>
        </w:rPr>
      </w:pPr>
      <w:r>
        <w:rPr>
          <w:rFonts w:ascii="Arial" w:cs="Arial" w:eastAsia="Arial" w:hAnsi="Arial"/>
          <w:sz w:val="14"/>
          <w:szCs w:val="14"/>
          <w:b w:val="1"/>
          <w:bCs w:val="1"/>
          <w:color w:val="auto"/>
        </w:rPr>
        <w:t>80112</w:t>
      </w:r>
    </w:p>
    <w:p>
      <w:pPr>
        <w:spacing w:after="0" w:line="15" w:lineRule="exact"/>
        <w:rPr>
          <w:sz w:val="24"/>
          <w:szCs w:val="24"/>
          <w:color w:val="auto"/>
        </w:rPr>
      </w:pPr>
    </w:p>
    <w:p>
      <w:pPr>
        <w:jc w:val="center"/>
        <w:ind w:right="1939"/>
        <w:spacing w:after="0"/>
        <w:rPr>
          <w:sz w:val="20"/>
          <w:szCs w:val="20"/>
          <w:color w:val="auto"/>
        </w:rPr>
      </w:pPr>
      <w:r>
        <w:rPr>
          <w:rFonts w:ascii="Arial" w:cs="Arial" w:eastAsia="Arial" w:hAnsi="Arial"/>
          <w:sz w:val="13"/>
          <w:szCs w:val="13"/>
          <w:color w:val="auto"/>
        </w:rPr>
        <w:t>(Zip code)</w:t>
      </w:r>
    </w:p>
    <w:p>
      <w:pPr>
        <w:spacing w:after="0" w:line="120" w:lineRule="exact"/>
        <w:rPr>
          <w:sz w:val="24"/>
          <w:szCs w:val="24"/>
          <w:color w:val="auto"/>
        </w:rPr>
      </w:pPr>
    </w:p>
    <w:p>
      <w:pPr>
        <w:sectPr>
          <w:pgSz w:w="11900" w:h="16838" w:orient="portrait"/>
          <w:cols w:equalWidth="0" w:num="2">
            <w:col w:w="5740" w:space="720"/>
            <w:col w:w="2559"/>
          </w:cols>
          <w:pgMar w:left="1440" w:top="661"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(303) 723-1000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ectPr>
          <w:pgSz w:w="11900" w:h="16838" w:orient="portrait"/>
          <w:cols w:equalWidth="0" w:num="1">
            <w:col w:w="9019"/>
          </w:cols>
          <w:pgMar w:left="1440" w:top="661" w:right="1440" w:bottom="1440" w:gutter="0" w:footer="0" w:header="0"/>
          <w:type w:val="continuous"/>
        </w:sectPr>
      </w:pPr>
    </w:p>
    <w:p>
      <w:pPr>
        <w:spacing w:after="0" w:line="120" w:lineRule="exact"/>
        <w:rPr>
          <w:sz w:val="24"/>
          <w:szCs w:val="24"/>
          <w:color w:val="auto"/>
        </w:rPr>
      </w:pPr>
    </w:p>
    <w:p>
      <w:pPr>
        <w:ind w:left="240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123" w:lineRule="exact"/>
        <w:rPr>
          <w:sz w:val="24"/>
          <w:szCs w:val="24"/>
          <w:color w:val="auto"/>
        </w:rPr>
      </w:pPr>
    </w:p>
    <w:p>
      <w:pPr>
        <w:sectPr>
          <w:pgSz w:w="11900" w:h="16838" w:orient="portrait"/>
          <w:cols w:equalWidth="0" w:num="2">
            <w:col w:w="5940" w:space="340"/>
            <w:col w:w="2739"/>
          </w:cols>
          <w:pgMar w:left="1440" w:top="661" w:right="1440" w:bottom="1440" w:gutter="0" w:footer="0" w:header="0"/>
          <w:type w:val="continuous"/>
        </w:sectPr>
      </w:pPr>
    </w:p>
    <w:p>
      <w:pPr>
        <w:jc w:val="both"/>
        <w:ind w:left="60" w:right="59"/>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of reports under Section 13 or 15(d) of the Securities Exchange Act of 1934.)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7" w:lineRule="exact"/>
        <w:rPr>
          <w:sz w:val="24"/>
          <w:szCs w:val="24"/>
          <w:color w:val="auto"/>
        </w:rPr>
      </w:pPr>
    </w:p>
    <w:p>
      <w:pPr>
        <w:jc w:val="both"/>
        <w:ind w:left="60" w:right="5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8" w:lineRule="exact"/>
        <w:rPr>
          <w:sz w:val="24"/>
          <w:szCs w:val="24"/>
          <w:color w:val="auto"/>
        </w:rPr>
      </w:pPr>
    </w:p>
    <w:p>
      <w:pPr>
        <w:jc w:val="both"/>
        <w:ind w:left="60" w:right="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60" w:lineRule="exact"/>
        <w:rPr>
          <w:sz w:val="24"/>
          <w:szCs w:val="24"/>
          <w:color w:val="auto"/>
        </w:rPr>
      </w:pPr>
    </w:p>
    <w:p>
      <w:pPr>
        <w:ind w:left="1460"/>
        <w:spacing w:after="0" w:line="188" w:lineRule="exact"/>
        <w:rPr>
          <w:sz w:val="20"/>
          <w:szCs w:val="20"/>
          <w:color w:val="auto"/>
        </w:rPr>
      </w:pPr>
      <w:r>
        <w:rPr>
          <w:rFonts w:ascii="Arial" w:cs="Arial" w:eastAsia="Arial" w:hAnsi="Arial"/>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150" w:lineRule="exact"/>
        <w:rPr>
          <w:sz w:val="24"/>
          <w:szCs w:val="24"/>
          <w:color w:val="auto"/>
        </w:rPr>
      </w:pPr>
    </w:p>
    <w:p>
      <w:pPr>
        <w:sectPr>
          <w:pgSz w:w="11900" w:h="16838" w:orient="portrait"/>
          <w:cols w:equalWidth="0" w:num="2">
            <w:col w:w="5460" w:space="720"/>
            <w:col w:w="2839"/>
          </w:cols>
          <w:pgMar w:left="1440" w:top="661" w:right="1440" w:bottom="1440" w:gutter="0" w:footer="0" w:header="0"/>
          <w:type w:val="continuous"/>
        </w:sectPr>
      </w:pPr>
    </w:p>
    <w:p>
      <w:pPr>
        <w:ind w:left="1500"/>
        <w:spacing w:after="0" w:line="188" w:lineRule="exact"/>
        <w:rPr>
          <w:sz w:val="20"/>
          <w:szCs w:val="20"/>
          <w:color w:val="auto"/>
        </w:rPr>
      </w:pPr>
      <w:r>
        <w:rPr>
          <w:rFonts w:ascii="Arial" w:cs="Arial" w:eastAsia="Arial" w:hAnsi="Arial"/>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w:cs="Arial" w:eastAsia="Arial" w:hAnsi="Arial"/>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50" w:lineRule="exact"/>
        <w:rPr>
          <w:sz w:val="24"/>
          <w:szCs w:val="24"/>
          <w:color w:val="auto"/>
        </w:rPr>
      </w:pPr>
    </w:p>
    <w:p>
      <w:pPr>
        <w:sectPr>
          <w:pgSz w:w="11900" w:h="16838" w:orient="portrait"/>
          <w:cols w:equalWidth="0" w:num="2">
            <w:col w:w="5120" w:space="720"/>
            <w:col w:w="3179"/>
          </w:cols>
          <w:pgMar w:left="1440" w:top="661" w:right="1440" w:bottom="1440" w:gutter="0" w:footer="0" w:header="0"/>
          <w:type w:val="continuous"/>
        </w:sectPr>
      </w:pPr>
    </w:p>
    <w:p>
      <w:pPr>
        <w:ind w:left="5860"/>
        <w:spacing w:after="0" w:line="188" w:lineRule="exact"/>
        <w:rPr>
          <w:sz w:val="20"/>
          <w:szCs w:val="20"/>
          <w:color w:val="auto"/>
        </w:rPr>
      </w:pPr>
      <w:r>
        <w:rPr>
          <w:rFonts w:ascii="Arial" w:cs="Arial" w:eastAsia="Arial" w:hAnsi="Arial"/>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9019"/>
          </w:cols>
          <w:pgMar w:left="1440" w:top="661" w:right="1440" w:bottom="1440" w:gutter="0" w:footer="0" w:header="0"/>
          <w:type w:val="continuous"/>
        </w:sectPr>
      </w:pPr>
    </w:p>
    <w:p>
      <w:pPr>
        <w:spacing w:after="0" w:line="141" w:lineRule="exact"/>
        <w:rPr>
          <w:sz w:val="24"/>
          <w:szCs w:val="24"/>
          <w:color w:val="auto"/>
        </w:rPr>
      </w:pPr>
    </w:p>
    <w:p>
      <w:pPr>
        <w:ind w:left="60" w:right="7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56" w:lineRule="exact"/>
        <w:rPr>
          <w:sz w:val="24"/>
          <w:szCs w:val="24"/>
          <w:color w:val="auto"/>
        </w:rPr>
      </w:pPr>
    </w:p>
    <w:p>
      <w:pPr>
        <w:ind w:left="60"/>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14"/>
          <w:szCs w:val="14"/>
          <w:color w:val="auto"/>
        </w:rPr>
        <w:t>As of November 1, 2024, the registrant’s outstanding common stock consisted of 1,000 shares of common stock, $0 par value per share.</w:t>
      </w:r>
    </w:p>
    <w:p>
      <w:pPr>
        <w:spacing w:after="0" w:line="123" w:lineRule="exact"/>
        <w:rPr>
          <w:sz w:val="24"/>
          <w:szCs w:val="24"/>
          <w:color w:val="auto"/>
        </w:rPr>
      </w:pPr>
    </w:p>
    <w:p>
      <w:pPr>
        <w:ind w:left="60" w:right="79"/>
        <w:spacing w:after="0" w:line="285" w:lineRule="auto"/>
        <w:rPr>
          <w:sz w:val="20"/>
          <w:szCs w:val="20"/>
          <w:color w:val="auto"/>
        </w:rPr>
      </w:pPr>
      <w:r>
        <w:rPr>
          <w:rFonts w:ascii="Arial" w:cs="Arial" w:eastAsia="Arial" w:hAnsi="Arial"/>
          <w:sz w:val="14"/>
          <w:szCs w:val="14"/>
          <w:color w:val="auto"/>
        </w:rPr>
        <w:t>The registrant meets the conditions set forth in General Instructions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474345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54610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0" w:type="dxa"/>
            <w:vAlign w:val="bottom"/>
            <w:gridSpan w:val="10"/>
          </w:tcPr>
          <w:p>
            <w:pPr>
              <w:jc w:val="center"/>
              <w:ind w:right="2180"/>
              <w:spacing w:after="0"/>
              <w:rPr>
                <w:sz w:val="20"/>
                <w:szCs w:val="20"/>
                <w:color w:val="auto"/>
              </w:rPr>
            </w:pPr>
            <w:r>
              <w:rPr>
                <w:rFonts w:ascii="Arial" w:cs="Arial" w:eastAsia="Arial" w:hAnsi="Arial"/>
                <w:sz w:val="18"/>
                <w:szCs w:val="18"/>
                <w:b w:val="1"/>
                <w:bCs w:val="1"/>
                <w:color w:val="auto"/>
                <w:w w:val="97"/>
              </w:rPr>
              <w:t>TABLE OF CONTENTS</w:t>
            </w:r>
          </w:p>
        </w:tc>
        <w:tc>
          <w:tcPr>
            <w:tcW w:w="840" w:type="dxa"/>
            <w:vAlign w:val="bottom"/>
          </w:tcPr>
          <w:p>
            <w:pPr>
              <w:spacing w:after="0"/>
              <w:rPr>
                <w:sz w:val="21"/>
                <w:szCs w:val="21"/>
                <w:color w:val="auto"/>
              </w:rPr>
            </w:pPr>
          </w:p>
        </w:tc>
      </w:tr>
      <w:tr>
        <w:trPr>
          <w:trHeight w:val="3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7"/>
              </w:rPr>
              <w:t>PART I — FINANCIAL INFORMATION</w:t>
            </w:r>
          </w:p>
        </w:tc>
        <w:tc>
          <w:tcPr>
            <w:tcW w:w="20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r>
      <w:tr>
        <w:trPr>
          <w:trHeight w:val="37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7"/>
              </w:rPr>
              <w:t>Disclosure Regarding Forward-Looking Statements</w:t>
            </w:r>
          </w:p>
        </w:tc>
        <w:tc>
          <w:tcPr>
            <w:tcW w:w="32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240" w:type="dxa"/>
            <w:vAlign w:val="bottom"/>
            <w:gridSpan w:val="18"/>
          </w:tcPr>
          <w:p>
            <w:pPr>
              <w:spacing w:after="0"/>
              <w:rPr>
                <w:sz w:val="20"/>
                <w:szCs w:val="20"/>
                <w:color w:val="auto"/>
              </w:rPr>
            </w:pPr>
            <w:r>
              <w:rPr>
                <w:rFonts w:ascii="Arial" w:cs="Arial" w:eastAsia="Arial" w:hAnsi="Arial"/>
                <w:sz w:val="18"/>
                <w:szCs w:val="18"/>
                <w:color w:val="0000EE"/>
              </w:rPr>
              <w:t>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Condensed Consolidated Balance Sheets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Condensed Consolidated Statements of Operations and Comprehensive Income (Loss)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7"/>
              </w:rPr>
              <w:t>Condensed Consolidated Statements of Changes in Stockholder’s Equity (Deficit)</w:t>
            </w:r>
          </w:p>
        </w:tc>
        <w:tc>
          <w:tcPr>
            <w:tcW w:w="4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Condensed Consolidated Statements of Cash Flows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7"/>
              </w:rPr>
              <w:t>Notes to Condensed Consolidated Financial Statements</w:t>
            </w:r>
          </w:p>
        </w:tc>
        <w:tc>
          <w:tcPr>
            <w:tcW w:w="28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240" w:type="dxa"/>
            <w:vAlign w:val="bottom"/>
            <w:gridSpan w:val="18"/>
          </w:tcPr>
          <w:p>
            <w:pPr>
              <w:spacing w:after="0"/>
              <w:rPr>
                <w:sz w:val="20"/>
                <w:szCs w:val="20"/>
                <w:color w:val="auto"/>
              </w:rPr>
            </w:pPr>
            <w:r>
              <w:rPr>
                <w:rFonts w:ascii="Arial" w:cs="Arial" w:eastAsia="Arial" w:hAnsi="Arial"/>
                <w:sz w:val="18"/>
                <w:szCs w:val="18"/>
                <w:color w:val="0000EE"/>
              </w:rPr>
              <w:t>Management’s Narrative Analysis of Results of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0"/>
        </w:trPr>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240" w:type="dxa"/>
            <w:vAlign w:val="bottom"/>
            <w:gridSpan w:val="18"/>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0"/>
        </w:trPr>
        <w:tc>
          <w:tcPr>
            <w:tcW w:w="80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240" w:type="dxa"/>
            <w:vAlign w:val="bottom"/>
            <w:gridSpan w:val="18"/>
          </w:tcPr>
          <w:p>
            <w:pPr>
              <w:spacing w:after="0"/>
              <w:rPr>
                <w:sz w:val="20"/>
                <w:szCs w:val="20"/>
                <w:color w:val="auto"/>
              </w:rPr>
            </w:pPr>
            <w:r>
              <w:rPr>
                <w:rFonts w:ascii="Arial" w:cs="Arial" w:eastAsia="Arial" w:hAnsi="Arial"/>
                <w:sz w:val="18"/>
                <w:szCs w:val="18"/>
                <w:color w:val="0000EE"/>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85"/>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bottom w:val="single" w:sz="8" w:color="0000EE"/>
            </w:tcBorders>
            <w:gridSpan w:val="6"/>
          </w:tcPr>
          <w:p>
            <w:pPr>
              <w:jc w:val="center"/>
              <w:spacing w:after="0"/>
              <w:rPr>
                <w:sz w:val="20"/>
                <w:szCs w:val="20"/>
                <w:color w:val="auto"/>
              </w:rPr>
            </w:pPr>
            <w:r>
              <w:rPr>
                <w:rFonts w:ascii="Arial" w:cs="Arial" w:eastAsia="Arial" w:hAnsi="Arial"/>
                <w:sz w:val="18"/>
                <w:szCs w:val="18"/>
                <w:b w:val="1"/>
                <w:bCs w:val="1"/>
                <w:color w:val="0000EE"/>
                <w:w w:val="97"/>
              </w:rPr>
              <w:t>PART II — OTHER INFORMATION</w:t>
            </w:r>
          </w:p>
        </w:tc>
        <w:tc>
          <w:tcPr>
            <w:tcW w:w="220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240" w:type="dxa"/>
            <w:vAlign w:val="bottom"/>
            <w:gridSpan w:val="18"/>
          </w:tcPr>
          <w:p>
            <w:pPr>
              <w:spacing w:after="0"/>
              <w:rPr>
                <w:sz w:val="20"/>
                <w:szCs w:val="20"/>
                <w:color w:val="auto"/>
              </w:rPr>
            </w:pPr>
            <w:r>
              <w:rPr>
                <w:rFonts w:ascii="Arial" w:cs="Arial" w:eastAsia="Arial" w:hAnsi="Arial"/>
                <w:sz w:val="18"/>
                <w:szCs w:val="18"/>
                <w:color w:val="0000EE"/>
              </w:rPr>
              <w:t>Legal Proceedings</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78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80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240" w:type="dxa"/>
            <w:vAlign w:val="bottom"/>
            <w:gridSpan w:val="18"/>
          </w:tcPr>
          <w:p>
            <w:pPr>
              <w:spacing w:after="0"/>
              <w:rPr>
                <w:sz w:val="20"/>
                <w:szCs w:val="20"/>
                <w:color w:val="auto"/>
              </w:rPr>
            </w:pPr>
            <w:r>
              <w:rPr>
                <w:rFonts w:ascii="Arial" w:cs="Arial" w:eastAsia="Arial" w:hAnsi="Arial"/>
                <w:sz w:val="18"/>
                <w:szCs w:val="18"/>
                <w:color w:val="0000EE"/>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6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9"/>
        </w:trPr>
        <w:tc>
          <w:tcPr>
            <w:tcW w:w="6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240" w:type="dxa"/>
            <w:vAlign w:val="bottom"/>
            <w:gridSpan w:val="18"/>
          </w:tcPr>
          <w:p>
            <w:pPr>
              <w:spacing w:after="0"/>
              <w:rPr>
                <w:sz w:val="20"/>
                <w:szCs w:val="20"/>
                <w:color w:val="auto"/>
              </w:rPr>
            </w:pPr>
            <w:r>
              <w:rPr>
                <w:rFonts w:ascii="Arial" w:cs="Arial" w:eastAsia="Arial" w:hAnsi="Arial"/>
                <w:sz w:val="18"/>
                <w:szCs w:val="18"/>
                <w:color w:val="auto"/>
              </w:rPr>
              <w:t>Defaults Upon Senior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240" w:type="dxa"/>
            <w:vAlign w:val="bottom"/>
            <w:gridSpan w:val="18"/>
          </w:tcPr>
          <w:p>
            <w:pPr>
              <w:spacing w:after="0"/>
              <w:rPr>
                <w:sz w:val="20"/>
                <w:szCs w:val="20"/>
                <w:color w:val="auto"/>
              </w:rPr>
            </w:pPr>
            <w:r>
              <w:rPr>
                <w:rFonts w:ascii="Arial" w:cs="Arial" w:eastAsia="Arial" w:hAnsi="Arial"/>
                <w:sz w:val="18"/>
                <w:szCs w:val="18"/>
                <w:color w:val="auto"/>
              </w:rPr>
              <w:t>Mine Safety Disclosures</w:t>
            </w:r>
          </w:p>
        </w:tc>
        <w:tc>
          <w:tcPr>
            <w:tcW w:w="8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405"/>
        </w:trPr>
        <w:tc>
          <w:tcPr>
            <w:tcW w:w="8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7240" w:type="dxa"/>
            <w:vAlign w:val="bottom"/>
            <w:gridSpan w:val="18"/>
          </w:tcPr>
          <w:p>
            <w:pPr>
              <w:spacing w:after="0"/>
              <w:rPr>
                <w:sz w:val="20"/>
                <w:szCs w:val="20"/>
                <w:color w:val="auto"/>
              </w:rPr>
            </w:pPr>
            <w:r>
              <w:rPr>
                <w:rFonts w:ascii="Arial" w:cs="Arial" w:eastAsia="Arial" w:hAnsi="Arial"/>
                <w:sz w:val="18"/>
                <w:szCs w:val="18"/>
                <w:color w:val="auto"/>
              </w:rPr>
              <w:t>Other Information</w:t>
            </w:r>
          </w:p>
        </w:tc>
        <w:tc>
          <w:tcPr>
            <w:tcW w:w="8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60"/>
        </w:trPr>
        <w:tc>
          <w:tcPr>
            <w:tcW w:w="80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240" w:type="dxa"/>
            <w:vAlign w:val="bottom"/>
            <w:gridSpan w:val="18"/>
          </w:tcPr>
          <w:p>
            <w:pPr>
              <w:spacing w:after="0"/>
              <w:rPr>
                <w:sz w:val="20"/>
                <w:szCs w:val="20"/>
                <w:color w:val="auto"/>
              </w:rPr>
            </w:pPr>
            <w:r>
              <w:rPr>
                <w:rFonts w:ascii="Arial" w:cs="Arial" w:eastAsia="Arial" w:hAnsi="Arial"/>
                <w:sz w:val="18"/>
                <w:szCs w:val="18"/>
                <w:color w:val="0000EE"/>
              </w:rPr>
              <w:t>Exhibits</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gridSpan w:val="18"/>
          </w:tcPr>
          <w:p>
            <w:pPr>
              <w:spacing w:after="0"/>
              <w:rPr>
                <w:sz w:val="20"/>
                <w:szCs w:val="20"/>
                <w:color w:val="auto"/>
              </w:rPr>
            </w:pPr>
            <w:r>
              <w:rPr>
                <w:rFonts w:ascii="Arial" w:cs="Arial" w:eastAsia="Arial" w:hAnsi="Arial"/>
                <w:sz w:val="18"/>
                <w:szCs w:val="18"/>
                <w:color w:val="0000EE"/>
              </w:rPr>
              <w:t>Signatures</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30"/>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item has been omitted pursuant to the reduced disclosure format as set forth in General Instructions (H)</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717550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98"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Unless otherwise required by the context, in this report, the words “DISH Network,” “DISH,” the “Company,” “we,” “our” and “us” refer to DISH Network Corporation and its subsidiaries, “EchoStar” refers to EchoStar Corporation, our parent company, and its subsidiaries, including us, and “DISH DBS” and “DDBS” refers to DISH DBS Corporation, our wholly-owned, indirect subsidiary and its subsidiaries.</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the DIRECTV Transaction</w:t>
      </w:r>
    </w:p>
    <w:p>
      <w:pPr>
        <w:spacing w:after="0" w:line="198" w:lineRule="exact"/>
        <w:rPr>
          <w:sz w:val="20"/>
          <w:szCs w:val="20"/>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a number of risks while the DIRECTV Transaction is pending, which may have an adverse effect on our business, financial condition and results of operations.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Integration</w:t>
      </w:r>
    </w:p>
    <w:p>
      <w:pPr>
        <w:spacing w:after="0" w:line="198" w:lineRule="exact"/>
        <w:rPr>
          <w:sz w:val="20"/>
          <w:szCs w:val="20"/>
          <w:color w:val="auto"/>
        </w:rPr>
      </w:pPr>
    </w:p>
    <w:p>
      <w:pPr>
        <w:ind w:left="720" w:right="31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Although we expect that the Merger will result in synergies and other benefits, those synergies and benefits may not be realized in the amounts anticipated, or may not be realized within the expected timeframe, or at all, and risks associated with the foregoing may also result from any extended delay in the Integration.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198" w:lineRule="exact"/>
        <w:rPr>
          <w:sz w:val="20"/>
          <w:szCs w:val="20"/>
          <w:color w:val="auto"/>
        </w:rPr>
      </w:pPr>
    </w:p>
    <w:p>
      <w:pPr>
        <w:ind w:left="720" w:right="119" w:hanging="319"/>
        <w:spacing w:after="0" w:line="239"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2"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face certain risks competing in the wireless services industry and operating a facilities-based wireless services business.</w:t>
      </w:r>
    </w:p>
    <w:p>
      <w:pPr>
        <w:ind w:left="720" w:right="279" w:hanging="319"/>
        <w:spacing w:after="0" w:line="248" w:lineRule="auto"/>
        <w:tabs>
          <w:tab w:leader="none" w:pos="7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ind w:left="720" w:right="299" w:hanging="319"/>
        <w:spacing w:after="0" w:line="238"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339" w:hanging="319"/>
        <w:spacing w:after="0" w:line="241"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compete with the MNOs whose networks we rely on to provide wireless services to our customers, and they may seek to limit, reduce or terminate our network access to the extent that it becomes competitively advantageous to do so.</w:t>
      </w:r>
    </w:p>
    <w:p>
      <w:pPr>
        <w:spacing w:after="0" w:line="1" w:lineRule="exact"/>
        <w:rPr>
          <w:rFonts w:ascii="Times New Roman" w:cs="Times New Roman" w:eastAsia="Times New Roman" w:hAnsi="Times New Roman"/>
          <w:sz w:val="18"/>
          <w:szCs w:val="18"/>
          <w:color w:val="auto"/>
        </w:rPr>
      </w:pPr>
    </w:p>
    <w:p>
      <w:pPr>
        <w:ind w:left="720" w:right="439" w:hanging="319"/>
        <w:spacing w:after="0" w:line="242" w:lineRule="auto"/>
        <w:tabs>
          <w:tab w:leader="none" w:pos="7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198" w:lineRule="exact"/>
        <w:rPr>
          <w:sz w:val="20"/>
          <w:szCs w:val="20"/>
          <w:color w:val="auto"/>
        </w:rPr>
      </w:pPr>
    </w:p>
    <w:p>
      <w:pPr>
        <w:ind w:left="720" w:right="339" w:hanging="319"/>
        <w:spacing w:after="0" w:line="259" w:lineRule="auto"/>
        <w:tabs>
          <w:tab w:leader="none" w:pos="7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Any deterioration in our operational performance, subscriber activations and churn rate and subscriber satisfaction could adversely affect our business, financial condition and results of operations.</w:t>
      </w:r>
    </w:p>
    <w:p>
      <w:pPr>
        <w:ind w:left="720" w:right="239" w:hanging="319"/>
        <w:spacing w:after="0" w:line="234"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159" w:hanging="319"/>
        <w:spacing w:after="0" w:line="234"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720" w:right="239" w:hanging="319"/>
        <w:spacing w:after="0" w:line="234"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 w:lineRule="exact"/>
        <w:rPr>
          <w:rFonts w:ascii="Times New Roman" w:cs="Times New Roman" w:eastAsia="Times New Roman" w:hAnsi="Times New Roman"/>
          <w:sz w:val="18"/>
          <w:szCs w:val="18"/>
          <w:color w:val="auto"/>
        </w:rPr>
      </w:pPr>
    </w:p>
    <w:p>
      <w:pPr>
        <w:ind w:left="720" w:right="499" w:hanging="319"/>
        <w:spacing w:after="0" w:line="249"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198" w:lineRule="exact"/>
        <w:rPr>
          <w:sz w:val="20"/>
          <w:szCs w:val="20"/>
          <w:color w:val="auto"/>
        </w:rPr>
      </w:pPr>
    </w:p>
    <w:p>
      <w:pPr>
        <w:ind w:left="720" w:right="219" w:hanging="319"/>
        <w:spacing w:after="0" w:line="241"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599" w:hanging="319"/>
        <w:spacing w:after="0" w:line="249"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198" w:lineRule="exact"/>
        <w:rPr>
          <w:sz w:val="20"/>
          <w:szCs w:val="20"/>
          <w:color w:val="auto"/>
        </w:rPr>
      </w:pPr>
    </w:p>
    <w:p>
      <w:pPr>
        <w:ind w:left="720" w:right="159" w:hanging="319"/>
        <w:spacing w:after="0" w:line="244"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1" w:lineRule="exact"/>
        <w:rPr>
          <w:rFonts w:ascii="Times New Roman" w:cs="Times New Roman" w:eastAsia="Times New Roman" w:hAnsi="Times New Roman"/>
          <w:sz w:val="18"/>
          <w:szCs w:val="18"/>
          <w:color w:val="auto"/>
        </w:rPr>
      </w:pPr>
    </w:p>
    <w:p>
      <w:pPr>
        <w:ind w:left="720" w:right="239" w:hanging="319"/>
        <w:spacing w:after="0" w:line="234"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become, party to various lawsuits which, if adversely decided, could have a significant adverse impact on our business, particularly lawsuits regarding intellectual property.</w:t>
      </w:r>
    </w:p>
    <w:p>
      <w:pPr>
        <w:jc w:val="both"/>
        <w:ind w:left="720" w:right="359" w:hanging="319"/>
        <w:spacing w:after="0" w:line="242"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198" w:lineRule="exact"/>
        <w:rPr>
          <w:sz w:val="20"/>
          <w:szCs w:val="20"/>
          <w:color w:val="auto"/>
        </w:rPr>
      </w:pPr>
    </w:p>
    <w:p>
      <w:pPr>
        <w:ind w:left="720" w:right="279" w:hanging="319"/>
        <w:spacing w:after="0" w:line="239"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2" w:lineRule="exact"/>
        <w:rPr>
          <w:rFonts w:ascii="Times New Roman" w:cs="Times New Roman" w:eastAsia="Times New Roman" w:hAnsi="Times New Roman"/>
          <w:sz w:val="18"/>
          <w:szCs w:val="18"/>
          <w:color w:val="auto"/>
        </w:rPr>
      </w:pPr>
    </w:p>
    <w:p>
      <w:pPr>
        <w:ind w:left="720" w:right="579" w:hanging="319"/>
        <w:spacing w:after="0" w:line="249"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198" w:lineRule="exact"/>
        <w:rPr>
          <w:sz w:val="20"/>
          <w:szCs w:val="20"/>
          <w:color w:val="auto"/>
        </w:rPr>
      </w:pPr>
    </w:p>
    <w:p>
      <w:pPr>
        <w:ind w:left="720" w:right="459" w:hanging="319"/>
        <w:spacing w:after="0" w:line="259" w:lineRule="auto"/>
        <w:tabs>
          <w:tab w:leader="none" w:pos="7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have substantial debt outstanding and may incur additional debt and covenants in our Indentures could limit our ability to undertake certain types of activities and adversely affect our liquidity.</w:t>
      </w:r>
    </w:p>
    <w:p>
      <w:pPr>
        <w:jc w:val="both"/>
        <w:ind w:left="720" w:right="179" w:hanging="319"/>
        <w:spacing w:after="0" w:line="248" w:lineRule="auto"/>
        <w:tabs>
          <w:tab w:leader="none" w:pos="7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ind w:left="720" w:right="319" w:hanging="319"/>
        <w:spacing w:after="0" w:line="234"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substantial investments to acquire certain wireless spectrum licenses and other related assets, and may be unable to realize a return on these assets.</w:t>
      </w:r>
    </w:p>
    <w:p>
      <w:pPr>
        <w:jc w:val="both"/>
        <w:ind w:left="720" w:right="899" w:hanging="319"/>
        <w:spacing w:after="0" w:line="234"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may need additional capital, which may not be available on favorable terms, to fund current obligations, to continue investing in our business and to finance acquisitions and other strategic transactions.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parent, EchoStar, is controlled by one principal stockholder, who is also our Chairman.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198" w:lineRule="exact"/>
        <w:rPr>
          <w:sz w:val="20"/>
          <w:szCs w:val="20"/>
          <w:color w:val="auto"/>
        </w:rPr>
      </w:pPr>
    </w:p>
    <w:p>
      <w:pPr>
        <w:ind w:left="720" w:right="99" w:hanging="319"/>
        <w:spacing w:after="0" w:line="270"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141"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 those discussed in “Management’s Narrative Analysis of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jc w:val="center"/>
        <w:ind w:right="-19"/>
        <w:spacing w:after="0" w:line="232" w:lineRule="auto"/>
        <w:rPr>
          <w:sz w:val="20"/>
          <w:szCs w:val="20"/>
          <w:color w:val="auto"/>
        </w:rPr>
      </w:pPr>
      <w:r>
        <w:rPr>
          <w:rFonts w:ascii="Arial" w:cs="Arial" w:eastAsia="Arial" w:hAnsi="Arial"/>
          <w:sz w:val="17"/>
          <w:szCs w:val="17"/>
          <w:color w:val="auto"/>
        </w:rPr>
        <w:t>(Dollars in thousands, except share amounts)</w:t>
      </w:r>
    </w:p>
    <w:p>
      <w:pPr>
        <w:jc w:val="center"/>
        <w:ind w:right="-19"/>
        <w:spacing w:after="0"/>
        <w:rPr>
          <w:sz w:val="20"/>
          <w:szCs w:val="20"/>
          <w:color w:val="auto"/>
        </w:rPr>
      </w:pPr>
      <w:r>
        <w:rPr>
          <w:rFonts w:ascii="Arial" w:cs="Arial" w:eastAsia="Arial" w:hAnsi="Arial"/>
          <w:sz w:val="17"/>
          <w:szCs w:val="17"/>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378,575</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373,641</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Current restricted cash and cash equivalents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2,047,489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Marketable investment securities</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tcPr>
          <w:p>
            <w:pPr>
              <w:ind w:left="100"/>
              <w:spacing w:after="0" w:line="153" w:lineRule="exact"/>
              <w:rPr>
                <w:sz w:val="20"/>
                <w:szCs w:val="20"/>
                <w:color w:val="auto"/>
              </w:rPr>
            </w:pPr>
            <w:r>
              <w:rPr>
                <w:rFonts w:ascii="Arial" w:cs="Arial" w:eastAsia="Arial" w:hAnsi="Arial"/>
                <w:sz w:val="14"/>
                <w:szCs w:val="14"/>
                <w:color w:val="auto"/>
              </w:rPr>
              <w:t>Trade accounts receivable, net of allowance for credit losses of $67,064 and $53,991,</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respectively (Note 12)</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859,378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890,333</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Inventory</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268,653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497,058</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Prepaids and other assets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578,980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572,199</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38,065</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2,308</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assets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4,171,312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2,343,661</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i w:val="1"/>
                <w:iCs w:val="1"/>
                <w:color w:val="auto"/>
              </w:rPr>
              <w:t>Noncurrent Assets: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cash, cash equivalents and marketable investment securities</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125,413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108,879</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Property and equipment, net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7,257,621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7,401,947</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Regulatory authorizations, net</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30,592,886</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38,114,249</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Other investments, net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64,327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168,825</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lease assets</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3,030,380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2,934,862</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Intangible assets, net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67,394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159,490</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assets, net</w:t>
            </w:r>
          </w:p>
        </w:tc>
        <w:tc>
          <w:tcPr>
            <w:tcW w:w="5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260,684</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181,118</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Total noncurrent assets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41,398,705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49,069,370</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45,570,017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51,413,031</w:t>
            </w: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Trade accounts payable</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678,347</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673,291</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Deferred revenue and other</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570,886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638,471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programming</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1,499,375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1,427,762</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Accrued interest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390,466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258,603</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DISH 2021 Intercompany Loan 2026 Tranche - Interest payable in cash (Note 8)</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87,400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Other accrued expenses and liabilities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1,545,790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1,552,610</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portion of debt, finance lease and other obligations (Note 8)</w:t>
            </w:r>
          </w:p>
        </w:tc>
        <w:tc>
          <w:tcPr>
            <w:tcW w:w="5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2,513,226</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3,041,429</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7,285,490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7,592,166</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i w:val="1"/>
                <w:iCs w:val="1"/>
                <w:color w:val="auto"/>
              </w:rPr>
              <w:t>Long-Term Obligations, Net of Current Portion:</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debt, finance lease and other obligations, net of current portion (Note 8)</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20,032,711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18,178,288</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DISH 2021 Intercompany Loan 2026 Tranche (Note 8)</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4,767,289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tax liabilities, net</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8,270,093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4,557,262</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Operating lease liabilities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2,999,747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2,992,863</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deferred revenue and other long-term liabilities</w:t>
            </w:r>
          </w:p>
        </w:tc>
        <w:tc>
          <w:tcPr>
            <w:tcW w:w="5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915,122</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861,896</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Total long-term obligations, net of current portion</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36,984,962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26,590,309</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5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44,270,452</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34,182,475</w:t>
            </w:r>
          </w:p>
        </w:tc>
        <w:tc>
          <w:tcPr>
            <w:tcW w:w="5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9)</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Redeemable noncontrolling interests (Note 2)</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438,382</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Stockholder's Equity (Deficit):</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tcPr>
          <w:p>
            <w:pPr>
              <w:ind w:left="100"/>
              <w:spacing w:after="0" w:line="153" w:lineRule="exact"/>
              <w:rPr>
                <w:sz w:val="20"/>
                <w:szCs w:val="20"/>
                <w:color w:val="auto"/>
              </w:rPr>
            </w:pPr>
            <w:r>
              <w:rPr>
                <w:rFonts w:ascii="Arial" w:cs="Arial" w:eastAsia="Arial" w:hAnsi="Arial"/>
                <w:sz w:val="14"/>
                <w:szCs w:val="14"/>
                <w:color w:val="auto"/>
              </w:rPr>
              <w:t>Common stock, $0 par value, 1,000 shares authorized, 1,000 shares issued and</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outstanding</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1,420,792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4,916,120</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Accumulated other comprehensive income (loss)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(2,403)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(2,676)</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earnings (deficit)</w:t>
            </w:r>
          </w:p>
        </w:tc>
        <w:tc>
          <w:tcPr>
            <w:tcW w:w="5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(562,851)</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11,876,627</w:t>
            </w: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Total DISH Network stockholder's equity (deficit)</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855,538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16,790,071</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top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Noncontrolling interests</w:t>
            </w:r>
          </w:p>
        </w:tc>
        <w:tc>
          <w:tcPr>
            <w:tcW w:w="5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444,027</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2,103</w:t>
            </w:r>
          </w:p>
        </w:tc>
        <w:tc>
          <w:tcPr>
            <w:tcW w:w="5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line="155" w:lineRule="exact"/>
              <w:rPr>
                <w:sz w:val="20"/>
                <w:szCs w:val="20"/>
                <w:color w:val="auto"/>
              </w:rPr>
            </w:pPr>
            <w:r>
              <w:rPr>
                <w:rFonts w:ascii="Arial" w:cs="Arial" w:eastAsia="Arial" w:hAnsi="Arial"/>
                <w:sz w:val="14"/>
                <w:szCs w:val="14"/>
                <w:color w:val="auto"/>
              </w:rPr>
              <w:t>Total stockholder's equity (deficit)</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1,299,565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16,792,174</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 (deficit)</w:t>
            </w: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45,570,017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51,413,031</w:t>
            </w: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41" w:lineRule="auto"/>
        <w:rPr>
          <w:sz w:val="20"/>
          <w:szCs w:val="20"/>
          <w:color w:val="auto"/>
        </w:rPr>
      </w:pPr>
      <w:r>
        <w:rPr>
          <w:rFonts w:ascii="Arial" w:cs="Arial" w:eastAsia="Arial" w:hAnsi="Arial"/>
          <w:sz w:val="17"/>
          <w:szCs w:val="17"/>
          <w:b w:val="1"/>
          <w:bCs w:val="1"/>
          <w:color w:val="auto"/>
        </w:rPr>
        <w:t xml:space="preserve">DISH NETWORK CORPORATION CONDENSED CONSOLIDATED STATEMENTS OF OPERATIONS AND COMPREHENSIVE INCOME (LOSS) </w:t>
      </w:r>
      <w:r>
        <w:rPr>
          <w:rFonts w:ascii="Arial" w:cs="Arial" w:eastAsia="Arial" w:hAnsi="Arial"/>
          <w:sz w:val="17"/>
          <w:szCs w:val="17"/>
          <w:color w:val="auto"/>
        </w:rPr>
        <w:t>(Dollars in thousands, except per share amounts)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6"/>
          </w:tcPr>
          <w:p>
            <w:pPr>
              <w:ind w:lef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Service revenue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3,380,913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3,590,581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10,329,859</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11,126,777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4"/>
                <w:szCs w:val="14"/>
                <w:color w:val="auto"/>
              </w:rPr>
              <w:t>Equipment sales and other revenue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134,404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113,935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393,617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446,298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revenue</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3,515,317</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3,704,516</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10,723,476</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11,573,075</w:t>
            </w: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Costs and Expenses (exclusive of depreciation and amortization):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4"/>
                <w:szCs w:val="14"/>
                <w:color w:val="auto"/>
              </w:rPr>
              <w:t>Cost of services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2,415,552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2,238,216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7,226,180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6,831,393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Cost of sales - equipment and other</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319,564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570,688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956,918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1,569,159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540,502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642,621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1,548,287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1,878,068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364,199</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294,797</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1,122,383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806,504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gridSpan w:val="2"/>
          </w:tcPr>
          <w:p>
            <w:pPr>
              <w:spacing w:after="0"/>
              <w:rPr>
                <w:sz w:val="20"/>
                <w:szCs w:val="20"/>
                <w:color w:val="auto"/>
              </w:rPr>
            </w:pPr>
            <w:r>
              <w:rPr>
                <w:rFonts w:ascii="Arial" w:cs="Arial" w:eastAsia="Arial" w:hAnsi="Arial"/>
                <w:sz w:val="14"/>
                <w:szCs w:val="14"/>
                <w:color w:val="auto"/>
              </w:rPr>
              <w:t>Total costs and expenses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3,639,817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3,746,322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10,853,768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11,085,124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4"/>
                <w:szCs w:val="14"/>
                <w:color w:val="auto"/>
              </w:rPr>
              <w:t>Operating income (loss)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(124,500)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(41,806)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(130,292)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487,951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90,907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4"/>
                <w:szCs w:val="14"/>
                <w:color w:val="auto"/>
              </w:rPr>
              <w:t>Interest expense, net of amounts capitalized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(160,625)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(10,173)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(495,821)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(27,379)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Other, net (Note 4)</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(151,497)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80,884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(120,726)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4"/>
                <w:szCs w:val="14"/>
                <w:color w:val="auto"/>
              </w:rPr>
              <w:t>Total other income (expense)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(133,979)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(143,021)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(383,143)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(57,198)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(258,479)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(184,827)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(513,435)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430,753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 benefit, net</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47,971</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67,988</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80,872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(81,930)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(210,508)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(116,839)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(432,563)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348,823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Less: Net income (loss) attributable to noncontrolling interests, net of</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22,346</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64,980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Net income (loss) attributable to DISH Network</w:t>
            </w: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(210,523)</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(139,185)</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(436,251)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283,843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5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Comprehensive Income (Loss):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(432,563)</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348,823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gridSpan w:val="2"/>
          </w:tcPr>
          <w:p>
            <w:pPr>
              <w:spacing w:after="0"/>
              <w:rPr>
                <w:sz w:val="20"/>
                <w:szCs w:val="20"/>
                <w:color w:val="auto"/>
              </w:rPr>
            </w:pPr>
            <w:r>
              <w:rPr>
                <w:rFonts w:ascii="Arial" w:cs="Arial" w:eastAsia="Arial" w:hAnsi="Arial"/>
                <w:sz w:val="14"/>
                <w:szCs w:val="14"/>
                <w:i w:val="1"/>
                <w:iCs w:val="1"/>
                <w:color w:val="auto"/>
              </w:rPr>
              <w:t>Other comprehensive income (loss):</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ind w:left="100"/>
              <w:spacing w:after="0"/>
              <w:rPr>
                <w:sz w:val="20"/>
                <w:szCs w:val="20"/>
                <w:color w:val="auto"/>
              </w:rPr>
            </w:pPr>
            <w:r>
              <w:rPr>
                <w:rFonts w:ascii="Arial" w:cs="Arial" w:eastAsia="Arial" w:hAnsi="Arial"/>
                <w:sz w:val="14"/>
                <w:szCs w:val="14"/>
                <w:color w:val="auto"/>
              </w:rPr>
              <w:t>Unrealized holding gains (losses) on available-for-sale debt securities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Recognition of previously unrealized (gains) losses on available-for-</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sale securities included in net income (loss)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Deferred income tax (expense) benefit, net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Total other comprehensive income (loss), net of tax</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(210,591)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(116,465)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(432,670)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349,799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8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Less: Comprehensive income (loss) attributable to noncontrolling</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interests, net of tax</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22,346</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64,980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 attributable to DISH Network</w:t>
            </w: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(210,606)</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(138,811)</w:t>
            </w: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(436,358)</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284,819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STOCKHOLDER’S EQUITY (DEFICIT)</w:t>
      </w:r>
    </w:p>
    <w:p>
      <w:pPr>
        <w:jc w:val="center"/>
        <w:ind w:right="-19"/>
        <w:spacing w:after="0" w:line="232" w:lineRule="auto"/>
        <w:rPr>
          <w:sz w:val="20"/>
          <w:szCs w:val="20"/>
          <w:color w:val="auto"/>
        </w:rPr>
      </w:pPr>
      <w:r>
        <w:rPr>
          <w:rFonts w:ascii="Arial" w:cs="Arial" w:eastAsia="Arial" w:hAnsi="Arial"/>
          <w:sz w:val="17"/>
          <w:szCs w:val="17"/>
          <w:color w:val="auto"/>
        </w:rPr>
        <w:t>(In thousands)</w:t>
      </w:r>
    </w:p>
    <w:p>
      <w:pPr>
        <w:jc w:val="center"/>
        <w:ind w:right="-19"/>
        <w:spacing w:after="0"/>
        <w:rPr>
          <w:sz w:val="20"/>
          <w:szCs w:val="20"/>
          <w:color w:val="auto"/>
        </w:rPr>
      </w:pPr>
      <w:r>
        <w:rPr>
          <w:rFonts w:ascii="Arial" w:cs="Arial" w:eastAsia="Arial" w:hAnsi="Arial"/>
          <w:sz w:val="17"/>
          <w:szCs w:val="17"/>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Class A and B</w:t>
            </w:r>
          </w:p>
        </w:tc>
        <w:tc>
          <w:tcPr>
            <w:tcW w:w="10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3"/>
                <w:szCs w:val="13"/>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Redeemable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100" w:type="dxa"/>
            <w:vAlign w:val="bottom"/>
            <w:gridSpan w:val="5"/>
            <w:vMerge w:val="restart"/>
          </w:tcPr>
          <w:p>
            <w:pPr>
              <w:jc w:val="center"/>
              <w:ind w:left="17"/>
              <w:spacing w:after="0"/>
              <w:rPr>
                <w:sz w:val="20"/>
                <w:szCs w:val="20"/>
                <w:color w:val="auto"/>
              </w:rPr>
            </w:pPr>
            <w:r>
              <w:rPr>
                <w:rFonts w:ascii="Arial" w:cs="Arial" w:eastAsia="Arial" w:hAnsi="Arial"/>
                <w:sz w:val="13"/>
                <w:szCs w:val="13"/>
                <w:b w:val="1"/>
                <w:bCs w:val="1"/>
                <w:color w:val="auto"/>
                <w:w w:val="97"/>
              </w:rPr>
              <w:t>Noncontrolling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right"/>
              <w:ind w:right="200"/>
              <w:spacing w:after="0" w:line="135" w:lineRule="exact"/>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Paid-In</w:t>
            </w:r>
          </w:p>
        </w:tc>
        <w:tc>
          <w:tcPr>
            <w:tcW w:w="20" w:type="dxa"/>
            <w:vAlign w:val="bottom"/>
          </w:tcPr>
          <w:p>
            <w:pPr>
              <w:spacing w:after="0"/>
              <w:rPr>
                <w:sz w:val="11"/>
                <w:szCs w:val="11"/>
                <w:color w:val="auto"/>
              </w:rPr>
            </w:pPr>
          </w:p>
        </w:tc>
        <w:tc>
          <w:tcPr>
            <w:tcW w:w="1100" w:type="dxa"/>
            <w:vAlign w:val="bottom"/>
            <w:gridSpan w:val="3"/>
          </w:tcPr>
          <w:p>
            <w:pPr>
              <w:jc w:val="center"/>
              <w:ind w:left="77"/>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Earnings</w:t>
            </w:r>
          </w:p>
        </w:tc>
        <w:tc>
          <w:tcPr>
            <w:tcW w:w="110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6"/>
          </w:tcPr>
          <w:p>
            <w:pPr>
              <w:jc w:val="center"/>
              <w:ind w:left="37"/>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14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(Deficit)</w:t>
            </w:r>
          </w:p>
        </w:tc>
        <w:tc>
          <w:tcPr>
            <w:tcW w:w="140" w:type="dxa"/>
            <w:vAlign w:val="bottom"/>
          </w:tcPr>
          <w:p>
            <w:pPr>
              <w:spacing w:after="0"/>
              <w:rPr>
                <w:sz w:val="13"/>
                <w:szCs w:val="13"/>
                <w:color w:val="auto"/>
              </w:rPr>
            </w:pPr>
          </w:p>
        </w:tc>
        <w:tc>
          <w:tcPr>
            <w:tcW w:w="9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3"/>
                <w:szCs w:val="13"/>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2022</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5,311</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$ 4,851,392</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ind w:right="317"/>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(3,029)</w:t>
            </w: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$ 13,088,850</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$ 17,944,281</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464,359</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Pr>
          <w:p>
            <w:pPr>
              <w:spacing w:after="0" w:line="129" w:lineRule="exact"/>
              <w:rPr>
                <w:sz w:val="20"/>
                <w:szCs w:val="20"/>
                <w:color w:val="auto"/>
              </w:rPr>
            </w:pPr>
            <w:r>
              <w:rPr>
                <w:rFonts w:ascii="Arial" w:cs="Arial" w:eastAsia="Arial" w:hAnsi="Arial"/>
                <w:sz w:val="13"/>
                <w:szCs w:val="13"/>
                <w:color w:val="auto"/>
              </w:rPr>
              <w:t>Issuance of Class A common stock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2,863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2,867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stock-based compensation</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12,037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12,037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481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Net income (loss) attributable to</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60" w:type="dxa"/>
            <w:vAlign w:val="bottom"/>
          </w:tcPr>
          <w:p>
            <w:pPr>
              <w:spacing w:after="0" w:line="117" w:lineRule="exact"/>
              <w:rPr>
                <w:sz w:val="20"/>
                <w:szCs w:val="20"/>
                <w:color w:val="auto"/>
              </w:rPr>
            </w:pPr>
            <w:r>
              <w:rPr>
                <w:rFonts w:ascii="Arial" w:cs="Arial" w:eastAsia="Arial" w:hAnsi="Arial"/>
                <w:sz w:val="13"/>
                <w:szCs w:val="13"/>
                <w:color w:val="auto"/>
              </w:rPr>
              <w:t>Net income (loss) attributable to DISH</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gridSpan w:val="2"/>
          </w:tcPr>
          <w:p>
            <w:pPr>
              <w:spacing w:after="0"/>
              <w:rPr>
                <w:sz w:val="20"/>
                <w:szCs w:val="20"/>
                <w:color w:val="auto"/>
              </w:rPr>
            </w:pPr>
            <w:r>
              <w:rPr>
                <w:rFonts w:ascii="Arial" w:cs="Arial" w:eastAsia="Arial" w:hAnsi="Arial"/>
                <w:sz w:val="13"/>
                <w:szCs w:val="13"/>
                <w:color w:val="auto"/>
              </w:rPr>
              <w:t>Network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4"/>
          </w:tcPr>
          <w:p>
            <w:pPr>
              <w:jc w:val="right"/>
              <w:spacing w:after="0"/>
              <w:rPr>
                <w:sz w:val="20"/>
                <w:szCs w:val="20"/>
                <w:color w:val="auto"/>
              </w:rPr>
            </w:pPr>
            <w:r>
              <w:rPr>
                <w:rFonts w:ascii="Arial" w:cs="Arial" w:eastAsia="Arial" w:hAnsi="Arial"/>
                <w:sz w:val="13"/>
                <w:szCs w:val="13"/>
                <w:color w:val="auto"/>
              </w:rPr>
              <w:t>222,705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222,705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March 31, 2023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5,315</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$ 4,866,292</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ind w:right="317"/>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(2,548)</w:t>
            </w: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$ 13,311,555</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$ 18,182,498</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484,764</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Pr>
          <w:p>
            <w:pPr>
              <w:spacing w:after="0" w:line="129" w:lineRule="exact"/>
              <w:rPr>
                <w:sz w:val="20"/>
                <w:szCs w:val="20"/>
                <w:color w:val="auto"/>
              </w:rPr>
            </w:pPr>
            <w:r>
              <w:rPr>
                <w:rFonts w:ascii="Arial" w:cs="Arial" w:eastAsia="Arial" w:hAnsi="Arial"/>
                <w:sz w:val="13"/>
                <w:szCs w:val="13"/>
                <w:color w:val="auto"/>
              </w:rPr>
              <w:t>Issuance of Class A common stock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23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17,934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17,957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stock-based compensation</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9,894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9,894</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121</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121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Net income (loss) attributable to</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60" w:type="dxa"/>
            <w:vAlign w:val="bottom"/>
          </w:tcPr>
          <w:p>
            <w:pPr>
              <w:spacing w:after="0" w:line="117" w:lineRule="exact"/>
              <w:rPr>
                <w:sz w:val="20"/>
                <w:szCs w:val="20"/>
                <w:color w:val="auto"/>
              </w:rPr>
            </w:pPr>
            <w:r>
              <w:rPr>
                <w:rFonts w:ascii="Arial" w:cs="Arial" w:eastAsia="Arial" w:hAnsi="Arial"/>
                <w:sz w:val="13"/>
                <w:szCs w:val="13"/>
                <w:color w:val="auto"/>
              </w:rPr>
              <w:t>Net income (loss) attributable to DISH</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gridSpan w:val="2"/>
          </w:tcPr>
          <w:p>
            <w:pPr>
              <w:spacing w:after="0"/>
              <w:rPr>
                <w:sz w:val="20"/>
                <w:szCs w:val="20"/>
                <w:color w:val="auto"/>
              </w:rPr>
            </w:pPr>
            <w:r>
              <w:rPr>
                <w:rFonts w:ascii="Arial" w:cs="Arial" w:eastAsia="Arial" w:hAnsi="Arial"/>
                <w:sz w:val="13"/>
                <w:szCs w:val="13"/>
                <w:color w:val="auto"/>
              </w:rPr>
              <w:t>Network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4"/>
          </w:tcPr>
          <w:p>
            <w:pPr>
              <w:jc w:val="right"/>
              <w:spacing w:after="0"/>
              <w:rPr>
                <w:sz w:val="20"/>
                <w:szCs w:val="20"/>
                <w:color w:val="auto"/>
              </w:rPr>
            </w:pPr>
            <w:r>
              <w:rPr>
                <w:rFonts w:ascii="Arial" w:cs="Arial" w:eastAsia="Arial" w:hAnsi="Arial"/>
                <w:sz w:val="13"/>
                <w:szCs w:val="13"/>
                <w:color w:val="auto"/>
              </w:rPr>
              <w:t>200,323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200,323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June 30, 2023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5,338</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$ 4,894,120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ind w:right="317"/>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(2,427)</w:t>
            </w: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$ 13,511,878</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1,963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$ 18,410,872</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506,787</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Pr>
          <w:p>
            <w:pPr>
              <w:spacing w:after="0" w:line="129" w:lineRule="exact"/>
              <w:rPr>
                <w:sz w:val="20"/>
                <w:szCs w:val="20"/>
                <w:color w:val="auto"/>
              </w:rPr>
            </w:pPr>
            <w:r>
              <w:rPr>
                <w:rFonts w:ascii="Arial" w:cs="Arial" w:eastAsia="Arial" w:hAnsi="Arial"/>
                <w:sz w:val="13"/>
                <w:szCs w:val="13"/>
                <w:color w:val="auto"/>
              </w:rPr>
              <w:t>Issuance of Class A common stock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2,468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2,473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stock-based compensation</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7,557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7,557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374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374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Net income (loss) attributable to</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22,266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60" w:type="dxa"/>
            <w:vAlign w:val="bottom"/>
          </w:tcPr>
          <w:p>
            <w:pPr>
              <w:spacing w:after="0" w:line="117" w:lineRule="exact"/>
              <w:rPr>
                <w:sz w:val="20"/>
                <w:szCs w:val="20"/>
                <w:color w:val="auto"/>
              </w:rPr>
            </w:pPr>
            <w:r>
              <w:rPr>
                <w:rFonts w:ascii="Arial" w:cs="Arial" w:eastAsia="Arial" w:hAnsi="Arial"/>
                <w:sz w:val="13"/>
                <w:szCs w:val="13"/>
                <w:color w:val="auto"/>
              </w:rPr>
              <w:t>Net income (loss) attributable to DISH</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gridSpan w:val="2"/>
          </w:tcPr>
          <w:p>
            <w:pPr>
              <w:spacing w:after="0"/>
              <w:rPr>
                <w:sz w:val="20"/>
                <w:szCs w:val="20"/>
                <w:color w:val="auto"/>
              </w:rPr>
            </w:pPr>
            <w:r>
              <w:rPr>
                <w:rFonts w:ascii="Arial" w:cs="Arial" w:eastAsia="Arial" w:hAnsi="Arial"/>
                <w:sz w:val="13"/>
                <w:szCs w:val="13"/>
                <w:color w:val="auto"/>
              </w:rPr>
              <w:t>Network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4"/>
          </w:tcPr>
          <w:p>
            <w:pPr>
              <w:jc w:val="right"/>
              <w:spacing w:after="0"/>
              <w:rPr>
                <w:sz w:val="20"/>
                <w:szCs w:val="20"/>
                <w:color w:val="auto"/>
              </w:rPr>
            </w:pPr>
            <w:r>
              <w:rPr>
                <w:rFonts w:ascii="Arial" w:cs="Arial" w:eastAsia="Arial" w:hAnsi="Arial"/>
                <w:sz w:val="13"/>
                <w:szCs w:val="13"/>
                <w:color w:val="auto"/>
              </w:rPr>
              <w:t>(139,185)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(139,185)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September 30, 2023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5,343</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$ 4,904,145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ind w:right="317"/>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$ 13,372,693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$ 18,282,171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529,053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vMerge w:val="restart"/>
          </w:tcPr>
          <w:p>
            <w:pPr>
              <w:jc w:val="right"/>
              <w:ind w:right="17"/>
              <w:spacing w:after="0"/>
              <w:rPr>
                <w:sz w:val="20"/>
                <w:szCs w:val="20"/>
                <w:color w:val="auto"/>
              </w:rPr>
            </w:pPr>
            <w:r>
              <w:rPr>
                <w:rFonts w:ascii="Arial" w:cs="Arial" w:eastAsia="Arial" w:hAnsi="Arial"/>
                <w:sz w:val="13"/>
                <w:szCs w:val="13"/>
                <w:b w:val="1"/>
                <w:bCs w:val="1"/>
                <w:color w:val="auto"/>
              </w:rPr>
              <w:t>Additional</w:t>
            </w: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8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vMerge w:val="restart"/>
          </w:tcPr>
          <w:p>
            <w:pPr>
              <w:jc w:val="center"/>
              <w:ind w:right="4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9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8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57"/>
              <w:spacing w:after="0" w:line="135" w:lineRule="exact"/>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1"/>
                <w:szCs w:val="11"/>
                <w:color w:val="auto"/>
              </w:rPr>
            </w:pPr>
          </w:p>
        </w:tc>
        <w:tc>
          <w:tcPr>
            <w:tcW w:w="3380" w:type="dxa"/>
            <w:vAlign w:val="bottom"/>
            <w:gridSpan w:val="14"/>
          </w:tcPr>
          <w:p>
            <w:pPr>
              <w:ind w:left="40"/>
              <w:spacing w:after="0" w:line="135" w:lineRule="exact"/>
              <w:rPr>
                <w:sz w:val="20"/>
                <w:szCs w:val="20"/>
                <w:color w:val="auto"/>
              </w:rPr>
            </w:pPr>
            <w:r>
              <w:rPr>
                <w:rFonts w:ascii="Arial" w:cs="Arial" w:eastAsia="Arial" w:hAnsi="Arial"/>
                <w:sz w:val="13"/>
                <w:szCs w:val="13"/>
                <w:b w:val="1"/>
                <w:bCs w:val="1"/>
                <w:color w:val="auto"/>
              </w:rPr>
              <w:t>Paid-In   Comprehensive  Earnings   Noncontrolling</w:t>
            </w:r>
          </w:p>
        </w:tc>
        <w:tc>
          <w:tcPr>
            <w:tcW w:w="100" w:type="dxa"/>
            <w:vAlign w:val="bottom"/>
          </w:tcPr>
          <w:p>
            <w:pPr>
              <w:spacing w:after="0"/>
              <w:rPr>
                <w:sz w:val="11"/>
                <w:szCs w:val="11"/>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94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257"/>
              <w:spacing w:after="0"/>
              <w:rPr>
                <w:sz w:val="20"/>
                <w:szCs w:val="20"/>
                <w:color w:val="auto"/>
              </w:rPr>
            </w:pPr>
            <w:r>
              <w:rPr>
                <w:rFonts w:ascii="Arial" w:cs="Arial" w:eastAsia="Arial" w:hAnsi="Arial"/>
                <w:sz w:val="13"/>
                <w:szCs w:val="13"/>
                <w:b w:val="1"/>
                <w:bCs w:val="1"/>
                <w:color w:val="auto"/>
                <w:w w:val="95"/>
              </w:rPr>
              <w:t>Stock</w:t>
            </w:r>
          </w:p>
        </w:tc>
        <w:tc>
          <w:tcPr>
            <w:tcW w:w="2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Pr>
          <w:p>
            <w:pPr>
              <w:spacing w:after="0"/>
              <w:rPr>
                <w:sz w:val="13"/>
                <w:szCs w:val="13"/>
                <w:color w:val="auto"/>
              </w:rPr>
            </w:pPr>
          </w:p>
        </w:tc>
        <w:tc>
          <w:tcPr>
            <w:tcW w:w="760" w:type="dxa"/>
            <w:vAlign w:val="bottom"/>
            <w:gridSpan w:val="3"/>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w w:val="92"/>
              </w:rPr>
              <w:t>Interests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 $</w:t>
            </w:r>
          </w:p>
        </w:tc>
        <w:tc>
          <w:tcPr>
            <w:tcW w:w="6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4,916,120</w:t>
            </w:r>
          </w:p>
        </w:tc>
        <w:tc>
          <w:tcPr>
            <w:tcW w:w="460" w:type="dxa"/>
            <w:vAlign w:val="bottom"/>
            <w:tcBorders>
              <w:top w:val="single" w:sz="8" w:color="auto"/>
              <w:bottom w:val="single" w:sz="8" w:color="auto"/>
            </w:tcBorders>
            <w:shd w:val="clear" w:color="auto" w:fill="CCEEFF"/>
          </w:tcPr>
          <w:p>
            <w:pPr>
              <w:jc w:val="right"/>
              <w:ind w:right="277"/>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(2,676)</w:t>
            </w:r>
          </w:p>
        </w:tc>
        <w:tc>
          <w:tcPr>
            <w:tcW w:w="10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11,876,627</w:t>
            </w: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Arial" w:cs="Arial" w:eastAsia="Arial" w:hAnsi="Arial"/>
                <w:sz w:val="13"/>
                <w:szCs w:val="13"/>
                <w:color w:val="auto"/>
              </w:rPr>
              <w:t>2,103</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16,792,174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438,382</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Pr>
          <w:p>
            <w:pPr>
              <w:spacing w:after="0" w:line="129" w:lineRule="exact"/>
              <w:rPr>
                <w:sz w:val="20"/>
                <w:szCs w:val="20"/>
                <w:color w:val="auto"/>
              </w:rPr>
            </w:pPr>
            <w:r>
              <w:rPr>
                <w:rFonts w:ascii="Arial" w:cs="Arial" w:eastAsia="Arial" w:hAnsi="Arial"/>
                <w:sz w:val="13"/>
                <w:szCs w:val="13"/>
                <w:color w:val="auto"/>
              </w:rPr>
              <w:t>Non-cash, stock-based compensation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420"/>
              <w:spacing w:after="0" w:line="129" w:lineRule="exact"/>
              <w:rPr>
                <w:sz w:val="20"/>
                <w:szCs w:val="20"/>
                <w:color w:val="auto"/>
              </w:rPr>
            </w:pPr>
            <w:r>
              <w:rPr>
                <w:rFonts w:ascii="Arial" w:cs="Arial" w:eastAsia="Arial" w:hAnsi="Arial"/>
                <w:sz w:val="13"/>
                <w:szCs w:val="13"/>
                <w:color w:val="auto"/>
              </w:rPr>
              <w:t>—</w:t>
            </w:r>
          </w:p>
        </w:tc>
        <w:tc>
          <w:tcPr>
            <w:tcW w:w="660" w:type="dxa"/>
            <w:vAlign w:val="bottom"/>
            <w:gridSpan w:val="3"/>
          </w:tcPr>
          <w:p>
            <w:pPr>
              <w:jc w:val="right"/>
              <w:spacing w:after="0" w:line="129" w:lineRule="exact"/>
              <w:rPr>
                <w:sz w:val="20"/>
                <w:szCs w:val="20"/>
                <w:color w:val="auto"/>
              </w:rPr>
            </w:pPr>
            <w:r>
              <w:rPr>
                <w:rFonts w:ascii="Arial" w:cs="Arial" w:eastAsia="Arial" w:hAnsi="Arial"/>
                <w:sz w:val="13"/>
                <w:szCs w:val="13"/>
                <w:color w:val="auto"/>
              </w:rPr>
              <w:t>6,115</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6,115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Other comprehensive income (loss) and other</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4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00" w:type="dxa"/>
            <w:vAlign w:val="bottom"/>
            <w:gridSpan w:val="6"/>
          </w:tcPr>
          <w:p>
            <w:pPr>
              <w:spacing w:after="0" w:line="117" w:lineRule="exact"/>
              <w:rPr>
                <w:sz w:val="20"/>
                <w:szCs w:val="20"/>
                <w:color w:val="auto"/>
              </w:rPr>
            </w:pPr>
            <w:r>
              <w:rPr>
                <w:rFonts w:ascii="Arial" w:cs="Arial" w:eastAsia="Arial" w:hAnsi="Arial"/>
                <w:sz w:val="13"/>
                <w:szCs w:val="13"/>
                <w:color w:val="auto"/>
              </w:rPr>
              <w:t>Asset Transfer to EchoStar, including deferred taxes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gridSpan w:val="2"/>
          </w:tcPr>
          <w:p>
            <w:pPr>
              <w:spacing w:after="0"/>
              <w:rPr>
                <w:sz w:val="20"/>
                <w:szCs w:val="20"/>
                <w:color w:val="auto"/>
              </w:rPr>
            </w:pPr>
            <w:r>
              <w:rPr>
                <w:rFonts w:ascii="Arial" w:cs="Arial" w:eastAsia="Arial" w:hAnsi="Arial"/>
                <w:sz w:val="13"/>
                <w:szCs w:val="13"/>
                <w:color w:val="auto"/>
              </w:rPr>
              <w:t>$3,775,370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2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w w:val="96"/>
              </w:rPr>
              <w:t>(3,775,370)</w:t>
            </w:r>
          </w:p>
        </w:tc>
        <w:tc>
          <w:tcPr>
            <w:tcW w:w="4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color w:val="auto"/>
                <w:w w:val="97"/>
              </w:rPr>
              <w:t>(12,003,227)</w:t>
            </w:r>
          </w:p>
        </w:tc>
        <w:tc>
          <w:tcPr>
            <w:tcW w:w="120" w:type="dxa"/>
            <w:vAlign w:val="bottom"/>
          </w:tcPr>
          <w:p>
            <w:pPr>
              <w:spacing w:after="0"/>
              <w:rPr>
                <w:sz w:val="13"/>
                <w:szCs w:val="13"/>
                <w:color w:val="auto"/>
              </w:rPr>
            </w:pPr>
          </w:p>
        </w:tc>
        <w:tc>
          <w:tcPr>
            <w:tcW w:w="780" w:type="dxa"/>
            <w:vAlign w:val="bottom"/>
            <w:gridSpan w:val="4"/>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(15,778,363)</w:t>
            </w:r>
          </w:p>
        </w:tc>
        <w:tc>
          <w:tcPr>
            <w:tcW w:w="140" w:type="dxa"/>
            <w:vAlign w:val="bottom"/>
          </w:tcPr>
          <w:p>
            <w:pPr>
              <w:spacing w:after="0"/>
              <w:rPr>
                <w:sz w:val="13"/>
                <w:szCs w:val="13"/>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Sale of Assets to EchoStar, net of deferred taxes of $ 3,857</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5,513</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5,513</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00" w:type="dxa"/>
            <w:vAlign w:val="bottom"/>
            <w:gridSpan w:val="6"/>
          </w:tcPr>
          <w:p>
            <w:pPr>
              <w:spacing w:after="0" w:line="117" w:lineRule="exact"/>
              <w:rPr>
                <w:sz w:val="20"/>
                <w:szCs w:val="20"/>
                <w:color w:val="auto"/>
              </w:rPr>
            </w:pPr>
            <w:r>
              <w:rPr>
                <w:rFonts w:ascii="Arial" w:cs="Arial" w:eastAsia="Arial" w:hAnsi="Arial"/>
                <w:sz w:val="13"/>
                <w:szCs w:val="13"/>
                <w:color w:val="auto"/>
              </w:rPr>
              <w:t>700 MHz Spectrum Sale to EchoStar, net of deferred taxes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gridSpan w:val="2"/>
          </w:tcPr>
          <w:p>
            <w:pPr>
              <w:spacing w:after="0"/>
              <w:rPr>
                <w:sz w:val="20"/>
                <w:szCs w:val="20"/>
                <w:color w:val="auto"/>
              </w:rPr>
            </w:pPr>
            <w:r>
              <w:rPr>
                <w:rFonts w:ascii="Arial" w:cs="Arial" w:eastAsia="Arial" w:hAnsi="Arial"/>
                <w:sz w:val="13"/>
                <w:szCs w:val="13"/>
                <w:color w:val="auto"/>
              </w:rPr>
              <w:t>of $37,681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2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114,831</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114,831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00" w:type="dxa"/>
            <w:vAlign w:val="bottom"/>
            <w:gridSpan w:val="6"/>
            <w:shd w:val="clear" w:color="auto" w:fill="CCEEFF"/>
          </w:tcPr>
          <w:p>
            <w:pPr>
              <w:spacing w:after="0" w:line="117" w:lineRule="exact"/>
              <w:rPr>
                <w:sz w:val="20"/>
                <w:szCs w:val="20"/>
                <w:color w:val="auto"/>
              </w:rPr>
            </w:pPr>
            <w:r>
              <w:rPr>
                <w:rFonts w:ascii="Arial" w:cs="Arial" w:eastAsia="Arial" w:hAnsi="Arial"/>
                <w:sz w:val="13"/>
                <w:szCs w:val="13"/>
                <w:color w:val="auto"/>
              </w:rPr>
              <w:t>Conversion of outstanding redeemable noncontrolling</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6"/>
              </w:rPr>
              <w:t>interest in SNR HoldCo to noncontrolling interest</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(441,998)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6"/>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Pr>
          <w:p>
            <w:pPr>
              <w:spacing w:after="0"/>
              <w:rPr>
                <w:sz w:val="11"/>
                <w:szCs w:val="11"/>
                <w:color w:val="auto"/>
              </w:rPr>
            </w:pPr>
          </w:p>
        </w:tc>
        <w:tc>
          <w:tcPr>
            <w:tcW w:w="70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6"/>
              </w:rPr>
              <w:t>32</w:t>
            </w:r>
          </w:p>
        </w:tc>
        <w:tc>
          <w:tcPr>
            <w:tcW w:w="10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3,616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68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(13,879)</w:t>
            </w: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(13,879)</w:t>
            </w: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80" w:type="dxa"/>
            <w:vAlign w:val="bottom"/>
            <w:gridSpan w:val="2"/>
          </w:tcPr>
          <w:p>
            <w:pPr>
              <w:spacing w:after="0"/>
              <w:rPr>
                <w:sz w:val="20"/>
                <w:szCs w:val="20"/>
                <w:color w:val="auto"/>
              </w:rPr>
            </w:pPr>
            <w:r>
              <w:rPr>
                <w:rFonts w:ascii="Arial" w:cs="Arial" w:eastAsia="Arial" w:hAnsi="Arial"/>
                <w:sz w:val="13"/>
                <w:szCs w:val="13"/>
                <w:b w:val="1"/>
                <w:bCs w:val="1"/>
                <w:color w:val="auto"/>
              </w:rPr>
              <w:t>Balance, March 31, 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ind w:left="420"/>
              <w:spacing w:after="0"/>
              <w:rPr>
                <w:sz w:val="20"/>
                <w:szCs w:val="20"/>
                <w:color w:val="auto"/>
              </w:rPr>
            </w:pPr>
            <w:r>
              <w:rPr>
                <w:rFonts w:ascii="Arial" w:cs="Arial" w:eastAsia="Arial" w:hAnsi="Arial"/>
                <w:sz w:val="13"/>
                <w:szCs w:val="13"/>
                <w:color w:val="auto"/>
              </w:rPr>
              <w:t>— $</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1,267,147</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(2,279)$</w:t>
            </w:r>
          </w:p>
        </w:tc>
        <w:tc>
          <w:tcPr>
            <w:tcW w:w="880" w:type="dxa"/>
            <w:vAlign w:val="bottom"/>
            <w:gridSpan w:val="4"/>
          </w:tcPr>
          <w:p>
            <w:pPr>
              <w:jc w:val="right"/>
              <w:ind w:right="17"/>
              <w:spacing w:after="0"/>
              <w:rPr>
                <w:sz w:val="20"/>
                <w:szCs w:val="20"/>
                <w:color w:val="auto"/>
              </w:rPr>
            </w:pPr>
            <w:r>
              <w:rPr>
                <w:rFonts w:ascii="Arial" w:cs="Arial" w:eastAsia="Arial" w:hAnsi="Arial"/>
                <w:sz w:val="13"/>
                <w:szCs w:val="13"/>
                <w:color w:val="auto"/>
              </w:rPr>
              <w:t>(140,479)$</w:t>
            </w:r>
          </w:p>
        </w:tc>
        <w:tc>
          <w:tcPr>
            <w:tcW w:w="780" w:type="dxa"/>
            <w:vAlign w:val="bottom"/>
            <w:gridSpan w:val="4"/>
          </w:tcPr>
          <w:p>
            <w:pPr>
              <w:jc w:val="right"/>
              <w:spacing w:after="0"/>
              <w:rPr>
                <w:sz w:val="20"/>
                <w:szCs w:val="20"/>
                <w:color w:val="auto"/>
              </w:rPr>
            </w:pPr>
            <w:r>
              <w:rPr>
                <w:rFonts w:ascii="Arial" w:cs="Arial" w:eastAsia="Arial" w:hAnsi="Arial"/>
                <w:sz w:val="13"/>
                <w:szCs w:val="13"/>
                <w:color w:val="auto"/>
              </w:rPr>
              <w:t>443,987</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1,568,376</w:t>
            </w:r>
          </w:p>
        </w:tc>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Non-cash, stock-based compensation</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6,923</w:t>
            </w: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6,923</w:t>
            </w: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rPr>
                <w:sz w:val="20"/>
                <w:szCs w:val="20"/>
                <w:color w:val="auto"/>
              </w:rPr>
            </w:pPr>
            <w:r>
              <w:rPr>
                <w:rFonts w:ascii="Arial" w:cs="Arial" w:eastAsia="Arial" w:hAnsi="Arial"/>
                <w:sz w:val="13"/>
                <w:szCs w:val="13"/>
                <w:color w:val="auto"/>
              </w:rPr>
              <w:t>Other comprehensive income (loss)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7"/>
                <w:szCs w:val="17"/>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3"/>
                <w:szCs w:val="13"/>
                <w:color w:val="auto"/>
              </w:rPr>
              <w:t>Orbital II Transfer from EchoStar</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140,510</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140,510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3520" w:type="dxa"/>
            <w:vAlign w:val="bottom"/>
            <w:gridSpan w:val="7"/>
          </w:tcPr>
          <w:p>
            <w:pPr>
              <w:spacing w:after="0"/>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Pr>
          <w:p>
            <w:pPr>
              <w:spacing w:after="0"/>
              <w:rPr>
                <w:sz w:val="17"/>
                <w:szCs w:val="17"/>
                <w:color w:val="auto"/>
              </w:rPr>
            </w:pPr>
          </w:p>
        </w:tc>
        <w:tc>
          <w:tcPr>
            <w:tcW w:w="700" w:type="dxa"/>
            <w:vAlign w:val="bottom"/>
          </w:tcPr>
          <w:p>
            <w:pPr>
              <w:ind w:left="4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w w:val="96"/>
              </w:rPr>
              <w:t>25</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 attributable to DISH Network</w:t>
            </w:r>
          </w:p>
        </w:tc>
        <w:tc>
          <w:tcPr>
            <w:tcW w:w="6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(211,849)</w:t>
            </w: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(211,849)</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580" w:type="dxa"/>
            <w:vAlign w:val="bottom"/>
            <w:gridSpan w:val="2"/>
          </w:tcPr>
          <w:p>
            <w:pPr>
              <w:spacing w:after="0"/>
              <w:rPr>
                <w:sz w:val="20"/>
                <w:szCs w:val="20"/>
                <w:color w:val="auto"/>
              </w:rPr>
            </w:pPr>
            <w:r>
              <w:rPr>
                <w:rFonts w:ascii="Arial" w:cs="Arial" w:eastAsia="Arial" w:hAnsi="Arial"/>
                <w:sz w:val="13"/>
                <w:szCs w:val="13"/>
                <w:b w:val="1"/>
                <w:bCs w:val="1"/>
                <w:color w:val="auto"/>
              </w:rPr>
              <w:t>Balance, June 30, 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ind w:left="420"/>
              <w:spacing w:after="0"/>
              <w:rPr>
                <w:sz w:val="20"/>
                <w:szCs w:val="20"/>
                <w:color w:val="auto"/>
              </w:rPr>
            </w:pPr>
            <w:r>
              <w:rPr>
                <w:rFonts w:ascii="Arial" w:cs="Arial" w:eastAsia="Arial" w:hAnsi="Arial"/>
                <w:sz w:val="13"/>
                <w:szCs w:val="13"/>
                <w:color w:val="auto"/>
              </w:rPr>
              <w:t>— $</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1,414,580</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(2,320)$</w:t>
            </w:r>
          </w:p>
        </w:tc>
        <w:tc>
          <w:tcPr>
            <w:tcW w:w="880" w:type="dxa"/>
            <w:vAlign w:val="bottom"/>
            <w:gridSpan w:val="4"/>
          </w:tcPr>
          <w:p>
            <w:pPr>
              <w:jc w:val="right"/>
              <w:ind w:right="17"/>
              <w:spacing w:after="0"/>
              <w:rPr>
                <w:sz w:val="20"/>
                <w:szCs w:val="20"/>
                <w:color w:val="auto"/>
              </w:rPr>
            </w:pPr>
            <w:r>
              <w:rPr>
                <w:rFonts w:ascii="Arial" w:cs="Arial" w:eastAsia="Arial" w:hAnsi="Arial"/>
                <w:sz w:val="13"/>
                <w:szCs w:val="13"/>
                <w:color w:val="auto"/>
              </w:rPr>
              <w:t>(352,328)$</w:t>
            </w:r>
          </w:p>
        </w:tc>
        <w:tc>
          <w:tcPr>
            <w:tcW w:w="780" w:type="dxa"/>
            <w:vAlign w:val="bottom"/>
            <w:gridSpan w:val="4"/>
          </w:tcPr>
          <w:p>
            <w:pPr>
              <w:jc w:val="right"/>
              <w:spacing w:after="0"/>
              <w:rPr>
                <w:sz w:val="20"/>
                <w:szCs w:val="20"/>
                <w:color w:val="auto"/>
              </w:rPr>
            </w:pPr>
            <w:r>
              <w:rPr>
                <w:rFonts w:ascii="Arial" w:cs="Arial" w:eastAsia="Arial" w:hAnsi="Arial"/>
                <w:sz w:val="13"/>
                <w:szCs w:val="13"/>
                <w:color w:val="auto"/>
              </w:rPr>
              <w:t>444,012</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1,503,944</w:t>
            </w:r>
          </w:p>
        </w:tc>
        <w:tc>
          <w:tcPr>
            <w:tcW w:w="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Non-cash, stock-based compensation</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6,212</w:t>
            </w: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6,212</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Other comprehensive income (loss)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(83)</w:t>
            </w:r>
          </w:p>
        </w:tc>
        <w:tc>
          <w:tcPr>
            <w:tcW w:w="140" w:type="dxa"/>
            <w:vAlign w:val="bottom"/>
          </w:tcPr>
          <w:p>
            <w:pPr>
              <w:spacing w:after="0"/>
              <w:rPr>
                <w:sz w:val="11"/>
                <w:szCs w:val="11"/>
                <w:color w:val="auto"/>
              </w:rPr>
            </w:pP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15</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3"/>
          </w:tcPr>
          <w:p>
            <w:pPr>
              <w:spacing w:after="0" w:line="135" w:lineRule="exact"/>
              <w:rPr>
                <w:sz w:val="20"/>
                <w:szCs w:val="20"/>
                <w:color w:val="auto"/>
              </w:rPr>
            </w:pPr>
            <w:r>
              <w:rPr>
                <w:rFonts w:ascii="Arial" w:cs="Arial" w:eastAsia="Arial" w:hAnsi="Arial"/>
                <w:sz w:val="13"/>
                <w:szCs w:val="13"/>
                <w:color w:val="auto"/>
              </w:rPr>
              <w:t>Net income (loss) attributable to DISH Network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(210,523)</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(210,523)</w:t>
            </w:r>
          </w:p>
        </w:tc>
        <w:tc>
          <w:tcPr>
            <w:tcW w:w="140" w:type="dxa"/>
            <w:vAlign w:val="bottom"/>
          </w:tcPr>
          <w:p>
            <w:pPr>
              <w:spacing w:after="0"/>
              <w:rPr>
                <w:sz w:val="11"/>
                <w:szCs w:val="11"/>
                <w:color w:val="auto"/>
              </w:rPr>
            </w:pP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September 30, 2024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 $</w:t>
            </w:r>
          </w:p>
        </w:tc>
        <w:tc>
          <w:tcPr>
            <w:tcW w:w="6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1,420,792</w:t>
            </w:r>
          </w:p>
        </w:tc>
        <w:tc>
          <w:tcPr>
            <w:tcW w:w="460" w:type="dxa"/>
            <w:vAlign w:val="bottom"/>
            <w:tcBorders>
              <w:top w:val="single" w:sz="8" w:color="auto"/>
              <w:bottom w:val="single" w:sz="8" w:color="auto"/>
            </w:tcBorders>
            <w:shd w:val="clear" w:color="auto" w:fill="CCEEFF"/>
          </w:tcPr>
          <w:p>
            <w:pPr>
              <w:jc w:val="right"/>
              <w:ind w:right="277"/>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(2,403)</w:t>
            </w:r>
          </w:p>
        </w:tc>
        <w:tc>
          <w:tcPr>
            <w:tcW w:w="10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(562,851)</w:t>
            </w: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Arial" w:cs="Arial" w:eastAsia="Arial" w:hAnsi="Arial"/>
                <w:sz w:val="13"/>
                <w:szCs w:val="13"/>
                <w:color w:val="auto"/>
              </w:rPr>
              <w:t>444,027</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1,299,565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DISH NETWORK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ind w:right="-19"/>
        <w:spacing w:after="0" w:line="232" w:lineRule="auto"/>
        <w:rPr>
          <w:sz w:val="20"/>
          <w:szCs w:val="20"/>
          <w:color w:val="auto"/>
        </w:rPr>
      </w:pPr>
      <w:r>
        <w:rPr>
          <w:rFonts w:ascii="Arial" w:cs="Arial" w:eastAsia="Arial" w:hAnsi="Arial"/>
          <w:sz w:val="17"/>
          <w:szCs w:val="17"/>
          <w:color w:val="auto"/>
        </w:rPr>
        <w:t>(In thousands)</w:t>
      </w:r>
    </w:p>
    <w:p>
      <w:pPr>
        <w:jc w:val="center"/>
        <w:ind w:right="-19"/>
        <w:spacing w:after="0"/>
        <w:rPr>
          <w:sz w:val="20"/>
          <w:szCs w:val="20"/>
          <w:color w:val="auto"/>
        </w:rPr>
      </w:pPr>
      <w:r>
        <w:rPr>
          <w:rFonts w:ascii="Arial" w:cs="Arial" w:eastAsia="Arial" w:hAnsi="Arial"/>
          <w:sz w:val="17"/>
          <w:szCs w:val="17"/>
          <w:color w:val="auto"/>
        </w:rPr>
        <w:t>(Unaudited)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8"/>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68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color w:val="auto"/>
              </w:rPr>
              <w:t>Net income (loss)</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(432,563)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348,823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Adjustments to reconcile net income (loss) to net cash flows from operating activities: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1,122,383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806,504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Realized and unrealized losses (gains) on investments, impairments and other</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(73,998)</w:t>
            </w:r>
          </w:p>
        </w:tc>
        <w:tc>
          <w:tcPr>
            <w:tcW w:w="0" w:type="dxa"/>
            <w:vAlign w:val="bottom"/>
          </w:tcPr>
          <w:p>
            <w:pPr>
              <w:spacing w:after="0"/>
              <w:rPr>
                <w:sz w:val="1"/>
                <w:szCs w:val="1"/>
                <w:color w:val="auto"/>
              </w:rPr>
            </w:pPr>
          </w:p>
        </w:tc>
      </w:tr>
      <w:tr>
        <w:trPr>
          <w:trHeight w:val="189"/>
        </w:trPr>
        <w:tc>
          <w:tcPr>
            <w:tcW w:w="6820" w:type="dxa"/>
            <w:vAlign w:val="bottom"/>
          </w:tcPr>
          <w:p>
            <w:pPr>
              <w:ind w:left="100"/>
              <w:spacing w:after="0"/>
              <w:rPr>
                <w:sz w:val="20"/>
                <w:szCs w:val="20"/>
                <w:color w:val="auto"/>
              </w:rPr>
            </w:pPr>
            <w:r>
              <w:rPr>
                <w:rFonts w:ascii="Arial" w:cs="Arial" w:eastAsia="Arial" w:hAnsi="Arial"/>
                <w:sz w:val="14"/>
                <w:szCs w:val="14"/>
                <w:color w:val="auto"/>
              </w:rPr>
              <w:t>Realized and unrealized losses (gains) on derivatives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192,107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Realized losses (gains) on Sale of Assets to EchoStar (Note 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(128,788)</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820" w:type="dxa"/>
            <w:vAlign w:val="bottom"/>
          </w:tcPr>
          <w:p>
            <w:pPr>
              <w:ind w:left="100"/>
              <w:spacing w:after="0"/>
              <w:rPr>
                <w:sz w:val="20"/>
                <w:szCs w:val="20"/>
                <w:color w:val="auto"/>
              </w:rPr>
            </w:pPr>
            <w:r>
              <w:rPr>
                <w:rFonts w:ascii="Arial" w:cs="Arial" w:eastAsia="Arial" w:hAnsi="Arial"/>
                <w:sz w:val="14"/>
                <w:szCs w:val="14"/>
                <w:color w:val="auto"/>
              </w:rPr>
              <w:t>Liberty Puerto Rico Asset Sale losses (gains) (Note 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(21,310)</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Non-cash, stock-based compensation</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100"/>
              <w:spacing w:after="0"/>
              <w:rPr>
                <w:sz w:val="20"/>
                <w:szCs w:val="20"/>
                <w:color w:val="auto"/>
              </w:rPr>
            </w:pPr>
            <w:r>
              <w:rPr>
                <w:rFonts w:ascii="Arial" w:cs="Arial" w:eastAsia="Arial" w:hAnsi="Arial"/>
                <w:sz w:val="14"/>
                <w:szCs w:val="14"/>
                <w:color w:val="auto"/>
              </w:rPr>
              <w:t>Deferred tax expense (benefit)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(104,080)</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95,526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 in (earnings) losses of affiliates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68,257</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100"/>
              <w:spacing w:after="0"/>
              <w:rPr>
                <w:sz w:val="20"/>
                <w:szCs w:val="20"/>
                <w:color w:val="auto"/>
              </w:rPr>
            </w:pPr>
            <w:r>
              <w:rPr>
                <w:rFonts w:ascii="Arial" w:cs="Arial" w:eastAsia="Arial" w:hAnsi="Arial"/>
                <w:sz w:val="14"/>
                <w:szCs w:val="14"/>
                <w:color w:val="auto"/>
              </w:rPr>
              <w:t>Changes in allowance for credit losses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13,073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 in long-term deferred revenue and other long-term liabilities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88,123</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10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101,679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126,041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Changes in current assets and current liabilities, net</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147,544</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flows from operating activities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874,490</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1,718,096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Purchases of marketable investment securities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(17,987)</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(1,368,964)</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color w:val="auto"/>
              </w:rPr>
              <w:t>Sales and maturities of marketable investment securities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34,118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1,942,010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 (Note 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(977,141)</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(2,326,883)</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color w:val="auto"/>
              </w:rPr>
              <w:t>Capitalized interest related to regulatory authorizations (Note 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(491,094)</w:t>
            </w:r>
          </w:p>
        </w:tc>
        <w:tc>
          <w:tcPr>
            <w:tcW w:w="2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(747,743)</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Purchases of regulatory authorizations, including deposits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color w:val="auto"/>
              </w:rPr>
              <w:t>Sale of Assets to EchoStar (Note 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245,800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700 MHz Spectrum Sale to EchoStar (Note 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1,036,500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color w:val="auto"/>
              </w:rPr>
              <w:t>Liberty Puerto Rico Asset Sale (Note 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95,435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Other, net (Note 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(36,429)</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Net cash flows from investing activities</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(111,902)</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(2,498,267)</w:t>
            </w:r>
          </w:p>
        </w:tc>
        <w:tc>
          <w:tcPr>
            <w:tcW w:w="0" w:type="dxa"/>
            <w:vAlign w:val="bottom"/>
          </w:tcPr>
          <w:p>
            <w:pPr>
              <w:spacing w:after="0"/>
              <w:rPr>
                <w:sz w:val="1"/>
                <w:szCs w:val="1"/>
                <w:color w:val="auto"/>
              </w:rPr>
            </w:pPr>
          </w:p>
        </w:tc>
      </w:tr>
      <w:tr>
        <w:trPr>
          <w:trHeight w:val="169"/>
        </w:trPr>
        <w:tc>
          <w:tcPr>
            <w:tcW w:w="68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Repayment of long-term debt, finance lease and other obligations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(97,205)</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(95,789)</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color w:val="auto"/>
              </w:rPr>
              <w:t>Redemption and repurchases of convertible and senior notes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(951,170)</w:t>
            </w:r>
          </w:p>
        </w:tc>
        <w:tc>
          <w:tcPr>
            <w:tcW w:w="2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(1,634,084)</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senior notes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color w:val="auto"/>
              </w:rPr>
              <w:t>Debt issuance costs and debt (discount) premium</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New DISH DBS Financing (Note 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color w:val="auto"/>
              </w:rPr>
              <w:t>Debt issuance costs and debt (discount) premium from New DISH DBS Financing</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(136,208)</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Early debt extinguishment gains (losses) of convertible and senior notes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72,566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820" w:type="dxa"/>
            <w:vAlign w:val="bottom"/>
          </w:tcPr>
          <w:p>
            <w:pPr>
              <w:spacing w:after="0" w:line="153" w:lineRule="exact"/>
              <w:rPr>
                <w:sz w:val="20"/>
                <w:szCs w:val="20"/>
                <w:color w:val="auto"/>
              </w:rPr>
            </w:pPr>
            <w:r>
              <w:rPr>
                <w:rFonts w:ascii="Arial" w:cs="Arial" w:eastAsia="Arial" w:hAnsi="Arial"/>
                <w:sz w:val="14"/>
                <w:szCs w:val="14"/>
                <w:color w:val="auto"/>
              </w:rPr>
              <w:t>Net proceeds from Class A common stock options exercised and stock issued under the Employee Stock</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20"/>
                <w:szCs w:val="20"/>
                <w:color w:val="auto"/>
              </w:rPr>
            </w:pPr>
            <w:r>
              <w:rPr>
                <w:rFonts w:ascii="Arial" w:cs="Arial" w:eastAsia="Arial" w:hAnsi="Arial"/>
                <w:sz w:val="14"/>
                <w:szCs w:val="14"/>
                <w:color w:val="auto"/>
              </w:rPr>
              <w:t>Purchase Plan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Other, net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(4,670)</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Net cash flows from financing activities</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1,315,356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(131,725)</w:t>
            </w:r>
          </w:p>
        </w:tc>
        <w:tc>
          <w:tcPr>
            <w:tcW w:w="0" w:type="dxa"/>
            <w:vAlign w:val="bottom"/>
          </w:tcPr>
          <w:p>
            <w:pPr>
              <w:spacing w:after="0"/>
              <w:rPr>
                <w:sz w:val="1"/>
                <w:szCs w:val="1"/>
                <w:color w:val="auto"/>
              </w:rPr>
            </w:pPr>
          </w:p>
        </w:tc>
      </w:tr>
      <w:tr>
        <w:trPr>
          <w:trHeight w:val="169"/>
        </w:trPr>
        <w:tc>
          <w:tcPr>
            <w:tcW w:w="68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4"/>
                <w:szCs w:val="14"/>
                <w:b w:val="1"/>
                <w:bCs w:val="1"/>
                <w:color w:val="auto"/>
              </w:rPr>
              <w:t>Net increase (decrease) in cash, cash equivalents, restricted cash and cash equivalents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2,077,944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(911,896)</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restricted cash and cash equivalents, beginning of period (Note 4)</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462,748</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1,847,981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line="155" w:lineRule="exact"/>
              <w:rPr>
                <w:sz w:val="20"/>
                <w:szCs w:val="20"/>
                <w:color w:val="auto"/>
              </w:rPr>
            </w:pPr>
            <w:r>
              <w:rPr>
                <w:rFonts w:ascii="Arial" w:cs="Arial" w:eastAsia="Arial" w:hAnsi="Arial"/>
                <w:sz w:val="14"/>
                <w:szCs w:val="14"/>
                <w:color w:val="auto"/>
              </w:rPr>
              <w:t>Cash, cash equivalents, restricted cash and cash equivalents, end of period (Note 4)</w:t>
            </w:r>
          </w:p>
        </w:tc>
        <w:tc>
          <w:tcPr>
            <w:tcW w:w="16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2,540,692</w:t>
            </w: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936,085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0350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20"/>
          </w:cols>
          <w:pgMar w:left="1180" w:top="513" w:right="119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219" w:hanging="10"/>
        <w:spacing w:after="0" w:line="469" w:lineRule="auto"/>
        <w:tabs>
          <w:tab w:leader="none" w:pos="70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 Principal Business</w:t>
      </w:r>
    </w:p>
    <w:p>
      <w:pPr>
        <w:spacing w:after="0" w:line="1"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DISH Network Corporation is a holding company. Its subsidiaries (which together with DISH Network Corporation are referred to as “DISH Network,” the “Company,” “we,” “us” and/or “our,” unless otherwise required by the context) operate three primary business segments. DISH Network is a wholly-owned subsidiary of EchoStar Corporation (“EchoStar”), a publicly traded company listed on the NASDAQ Global Select Market (“NASDAQ”) under the symbol “SATS.”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02429"/>
        </w:rPr>
        <w:t>DIRECTV Transaction</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September 29, 2024, EchoStar and DIRECTV Holdings, LLC (“DTV”), entered into an Equity Purchase Agreement (the “Purchase Agreement”). Pursuant to the terms and subject to the conditions set forth in the Purchase Agreement, DTV agreed to acquire from us all of the issued and outstanding equity interests of DISH DBS Corporation (“DISH DBS”), which operates our Pay-TV business (the “Business” and such acquisition of the Business the “DIRECTV Transaction”). Prior to the closing of the DIRECTV Transaction (the “DIRECTV Closing”), we will complete the Pre-Closing Restructuring, as defined in the Purchase Agreement, and the Pre-Closing Reorganization, as defined in the Purchase Agreement, following which, among other things, DISH DBS will hold all of the properties, rights, assets and liabilities primarily related to the Business, except for certain excluded assets and excluded liabilities.</w:t>
      </w:r>
    </w:p>
    <w:p>
      <w:pPr>
        <w:spacing w:after="0" w:line="15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During the period between signing of the Purchase Agreement and the DIRECTV Closing, DISH DBS and its subsidiaries are not permitted to declare or pay dividends or otherwise cause or permit any leakage (which includes, among other things, cash payments and certain other value transfers by DISH DBS and its subsidiaries, on the one hand, to us or certain other related persons, on the other hand), other than (i) certain permitted cash transfers prior to September 30, 2025 in an aggregate amount not to exceed the permitted cash transfer cap set forth in the Purchase Agreement, and (ii) certain permitted tax sharing payments, in each case, on terms and conditions as set forth in the Purchase Agreement. The permitted cash transfer cap is initially equal to $ 1.52 billion, calculated in accordance with the Purchase Agreement, (“Permitted Transfer Cap”) and is subject to certain adjustments set forth in the Purchase Agreement, including transaction expenses and certain accrued interest adjustments and adjustments tied to certain key performance indicators.</w:t>
      </w:r>
    </w:p>
    <w:p>
      <w:pPr>
        <w:spacing w:after="0" w:line="15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set forth in the Reorganization Plan, immediately prior to the DIRECTV Closing, DISH DBS will distribute the DISH 2021 Intercompany Loan 2028 Tranche (see Note 8) to our seller subsidiary. At the DIRECTV Closing, our seller subsidiary will sell and transfer to DTV all of the issued and outstanding equity interests of DISH DBS in exchange for a total cash purchase price of $1.00 plus the assumption of net debt of DISH DBS and its subsidiaries that is outstanding as of the DIRECTV Closing. Additionally, effective with the DIRECTV Closing, certain other intercompany amounts between DISH DBS and us (in addition to the DISH 2021 Intercompany Loan 2028 Tranche) will be subject to cancellation.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As of September 30, 2024, the balance of the DISH DBS intercompany receivables for the DISH 2021 Intercompany Loan 2028 Tranche and other intercompany amounts totaled $4.606 billion, not including Permitted Transfer Cap receivables of up to $1.52 billion and certain other amounts of residual capital remaining based on performance. Upon the completion of the DIRECTV Transaction, DISH DBS will become a direct and wholly-owned subsidiary of DTV.</w:t>
      </w:r>
    </w:p>
    <w:p>
      <w:pPr>
        <w:spacing w:after="0" w:line="16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Completion of the DIRECTV Transaction is subject to satisfaction or waiver of closing conditions set forth in the Purchase Agreement, including, but not limited to, the receipt of governmental approvals and the success of the DISH DBS Exchange Offers, as detailed and defined in Note 8. The DISH DBS Exchange Offers expired at 5:00 p.m., New York City time on November 12, 2024, and the DISH DBS Exchange Offers have been terminated due to the failure to satisfy the Minimum Series Exchange Condition and the Acquisition Consent Threshold Condition, each as defined in the Exchange Offering Memorandum (defined herein). Pursuant to the terms of the Purchase Agreement, DIRECTV may terminate the Purchase Agreement by November 22, 2024 due to the failure to consummate the DISH DBS Exchange Offers by November 12, 2024 or the failure to satisfy the Acquisition Consent Threshold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and Transfer of Assets</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In accordance with Accounting Standards Codification </w:t>
      </w:r>
      <w:r>
        <w:rPr>
          <w:rFonts w:ascii="Arial" w:cs="Arial" w:eastAsia="Arial" w:hAnsi="Arial"/>
          <w:sz w:val="18"/>
          <w:szCs w:val="18"/>
          <w:i w:val="1"/>
          <w:iCs w:val="1"/>
          <w:color w:val="auto"/>
        </w:rPr>
        <w:t>805-50 Business Combinations – Related Issues,</w:t>
      </w:r>
      <w:r>
        <w:rPr>
          <w:rFonts w:ascii="Arial" w:cs="Arial" w:eastAsia="Arial" w:hAnsi="Arial"/>
          <w:sz w:val="18"/>
          <w:szCs w:val="18"/>
          <w:color w:val="auto"/>
        </w:rPr>
        <w:t xml:space="preserve"> for transactions among entities under common control, generally the assets transferred and/or sold are recorded at the net carrying value of the assets. The difference between the net carrying value and the fair value of the assets transferred and/or sold is recorded in “Additional paid-in capital” or “Accumulated earnings (deficit)” on our Condensed Consolidated Balance Sheets. If an asset transferred and/or sold among entities under common control is determined to be a financial asset, any gain or loss on the sale of the financial asset is recorded in “Other, net” within “Other Income (Expense)” on our Condensed Consolidated Statements of Operations and Comprehensive Income (Loss). All transactions detailed below are transactions among entities under common control.</w:t>
      </w:r>
    </w:p>
    <w:p>
      <w:pPr>
        <w:spacing w:after="0" w:line="170" w:lineRule="exact"/>
        <w:rPr>
          <w:sz w:val="20"/>
          <w:szCs w:val="20"/>
          <w:color w:val="auto"/>
        </w:rPr>
      </w:pPr>
    </w:p>
    <w:p>
      <w:pPr>
        <w:ind w:left="60" w:right="219"/>
        <w:spacing w:after="0"/>
        <w:rPr>
          <w:sz w:val="20"/>
          <w:szCs w:val="20"/>
          <w:color w:val="auto"/>
        </w:rPr>
      </w:pPr>
      <w:r>
        <w:rPr>
          <w:rFonts w:ascii="Arial" w:cs="Arial" w:eastAsia="Arial" w:hAnsi="Arial"/>
          <w:sz w:val="18"/>
          <w:szCs w:val="18"/>
          <w:i w:val="1"/>
          <w:iCs w:val="1"/>
          <w:color w:val="auto"/>
        </w:rPr>
        <w:t xml:space="preserve">Sale of Assets to EchoStar. </w:t>
      </w:r>
      <w:r>
        <w:rPr>
          <w:rFonts w:ascii="Arial" w:cs="Arial" w:eastAsia="Arial" w:hAnsi="Arial"/>
          <w:sz w:val="18"/>
          <w:szCs w:val="18"/>
          <w:color w:val="auto"/>
        </w:rPr>
        <w:t>On January 10, 2024, we sold certain assets and equity interests to EchoStar,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the sale of a financial asset (the “Sale of Assets to EchoStar”), for fair value of approximately $246 million. The difference between our net carrying value of the assets sold to their fair value was $138 million, of which $6 million, net of deferred tax, was recorded in “Additional paid-in capital” on our Condensed Consolidated Balance Sheets as of September 30, 2024 and a $129 million gain related to the financial asset was recorded in “Other, net” within “Other Income (Expense)” on our Condensed Consolidated Statements of Operations and Comprehensive Income (Loss) for the nine months ended September 30, 2024.</w:t>
      </w:r>
    </w:p>
    <w:p>
      <w:pPr>
        <w:spacing w:after="0" w:line="171"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i w:val="1"/>
          <w:iCs w:val="1"/>
          <w:color w:val="222222"/>
        </w:rPr>
        <w:t xml:space="preserve">Asset Transfer to EchoStar. </w:t>
      </w:r>
      <w:r>
        <w:rPr>
          <w:rFonts w:ascii="Arial" w:cs="Arial" w:eastAsia="Arial" w:hAnsi="Arial"/>
          <w:sz w:val="18"/>
          <w:szCs w:val="18"/>
          <w:color w:val="000000"/>
        </w:rPr>
        <w:t>On January 10, 2024, we transferred our wholly-owned subsidiaries that hold certain</w:t>
      </w:r>
      <w:r>
        <w:rPr>
          <w:rFonts w:ascii="Arial" w:cs="Arial" w:eastAsia="Arial" w:hAnsi="Arial"/>
          <w:sz w:val="18"/>
          <w:szCs w:val="18"/>
          <w:i w:val="1"/>
          <w:iCs w:val="1"/>
          <w:color w:val="222222"/>
        </w:rPr>
        <w:t xml:space="preserve"> </w:t>
      </w:r>
      <w:r>
        <w:rPr>
          <w:rFonts w:ascii="Arial" w:cs="Arial" w:eastAsia="Arial" w:hAnsi="Arial"/>
          <w:sz w:val="18"/>
          <w:szCs w:val="18"/>
          <w:color w:val="000000"/>
        </w:rPr>
        <w:t>assets, including the EchoStar XXV satellite currently under construction, and our wireless spectrum licenses, including AWS-4, H-Block, CBRS (3550-3650 MHz), C-Band – Cheyenne (3.7-3.98 GHz), 12GHz (MVDDS), LMDS, 24 GHz, 28 GHz, 37GHz, 39GHz and 47GHz to EchoStar Wireless Holding L.L.C., a direct wholly-owned subsidiary of our parent, EchoStar (together with the “Intercompany Loan 2026 Tranche” defined below, the “Asset Transfer to EchoStar”). In addition, DISH DBS, in its capacity as “Lender” under the terms of the Loan and Security Agreement related to the Intercompany Loan between DISH Network and DISH DBS, has consummated the assignment pursuant to such terms, without any modification or amendment thereto, of its receivable in respect to the 2026 Tranche of $4.7 billion (the “Intercompany Loan 2026 Tranche”) to DBS Intercompany Receivable L.L.C. DBS Intercompany Receivable L.L.C. has subsequently assigned its rights as lender thereunder to EchoStar Intercompany Receivable Company L.L.C., our parent, EchoStar’s direct wholly-owned subsidiary, such that amounts owed in respect of the 2026 Tranche will now be paid by us to EchoStar Intercompany Receivable L.L.C.</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color w:val="auto"/>
        </w:rPr>
        <w:t>The transferred amount equals our historical net carrying value of these assets, which was $12.003 billion with the offset recorded as a dividend in “Accumulated earnings (deficit)” on our Condensed Consolidated Balance Sheets as of September 30, 2024.</w:t>
      </w:r>
    </w:p>
    <w:p>
      <w:pPr>
        <w:spacing w:after="0" w:line="155" w:lineRule="exact"/>
        <w:rPr>
          <w:sz w:val="20"/>
          <w:szCs w:val="20"/>
          <w:color w:val="auto"/>
        </w:rPr>
      </w:pPr>
    </w:p>
    <w:p>
      <w:pPr>
        <w:ind w:left="60" w:right="79"/>
        <w:spacing w:after="0" w:line="266" w:lineRule="auto"/>
        <w:rPr>
          <w:sz w:val="20"/>
          <w:szCs w:val="20"/>
          <w:color w:val="auto"/>
        </w:rPr>
      </w:pPr>
      <w:r>
        <w:rPr>
          <w:rFonts w:ascii="Arial" w:cs="Arial" w:eastAsia="Arial" w:hAnsi="Arial"/>
          <w:sz w:val="17"/>
          <w:szCs w:val="17"/>
          <w:i w:val="1"/>
          <w:iCs w:val="1"/>
          <w:color w:val="auto"/>
        </w:rPr>
        <w:t xml:space="preserve">Tax Associated with the </w:t>
      </w:r>
      <w:r>
        <w:rPr>
          <w:rFonts w:ascii="Arial" w:cs="Arial" w:eastAsia="Arial" w:hAnsi="Arial"/>
          <w:sz w:val="17"/>
          <w:szCs w:val="17"/>
          <w:i w:val="1"/>
          <w:iCs w:val="1"/>
          <w:color w:val="222222"/>
        </w:rPr>
        <w:t>Asset Transfer to EchoStar</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nine months ended September 30, 2024,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recorded $3.775 billion in “Deferred tax liabilities, net” on our Condensed Consolidated Balance Sheets resulting from the step up in basis due to the difference in the fair value compared to the book value of the </w:t>
      </w:r>
      <w:r>
        <w:rPr>
          <w:rFonts w:ascii="Arial" w:cs="Arial" w:eastAsia="Arial" w:hAnsi="Arial"/>
          <w:sz w:val="17"/>
          <w:szCs w:val="17"/>
          <w:color w:val="222222"/>
        </w:rPr>
        <w:t>Asset Transfer to</w:t>
      </w:r>
      <w:r>
        <w:rPr>
          <w:rFonts w:ascii="Arial" w:cs="Arial" w:eastAsia="Arial" w:hAnsi="Arial"/>
          <w:sz w:val="17"/>
          <w:szCs w:val="17"/>
          <w:color w:val="auto"/>
        </w:rPr>
        <w:t xml:space="preserve"> </w:t>
      </w:r>
      <w:r>
        <w:rPr>
          <w:rFonts w:ascii="Arial" w:cs="Arial" w:eastAsia="Arial" w:hAnsi="Arial"/>
          <w:sz w:val="17"/>
          <w:szCs w:val="17"/>
          <w:color w:val="222222"/>
        </w:rPr>
        <w:t>EchoStar</w:t>
      </w:r>
      <w:r>
        <w:rPr>
          <w:rFonts w:ascii="Arial" w:cs="Arial" w:eastAsia="Arial" w:hAnsi="Arial"/>
          <w:sz w:val="17"/>
          <w:szCs w:val="17"/>
          <w:color w:val="000000"/>
        </w:rPr>
        <w:t>, with the offset recorded in “Additional paid-in capital” on our Condensed Consolidated Balance Sheets.</w:t>
      </w:r>
    </w:p>
    <w:p>
      <w:pPr>
        <w:spacing w:after="0" w:line="14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i w:val="1"/>
          <w:iCs w:val="1"/>
          <w:color w:val="auto"/>
        </w:rPr>
        <w:t xml:space="preserve">700 MHz Spectrum Sale to EchoStar. </w:t>
      </w:r>
      <w:r>
        <w:rPr>
          <w:rFonts w:ascii="Arial" w:cs="Arial" w:eastAsia="Arial" w:hAnsi="Arial"/>
          <w:sz w:val="18"/>
          <w:szCs w:val="18"/>
          <w:color w:val="auto"/>
        </w:rPr>
        <w:t>On March 12, 2024, we sold our wholly-owned subsidiary which holds the</w:t>
      </w:r>
      <w:r>
        <w:rPr>
          <w:rFonts w:ascii="Arial" w:cs="Arial" w:eastAsia="Arial" w:hAnsi="Arial"/>
          <w:sz w:val="18"/>
          <w:szCs w:val="18"/>
          <w:i w:val="1"/>
          <w:iCs w:val="1"/>
          <w:color w:val="auto"/>
        </w:rPr>
        <w:t xml:space="preserve"> </w:t>
      </w:r>
      <w:r>
        <w:rPr>
          <w:rFonts w:ascii="Arial" w:cs="Arial" w:eastAsia="Arial" w:hAnsi="Arial"/>
          <w:sz w:val="18"/>
          <w:szCs w:val="18"/>
          <w:color w:val="auto"/>
        </w:rPr>
        <w:t>700 MHz spectrum to a wholly-owned subsidiary of our parent, EchoStar (the “700 MHz Spectrum Sale to EchoStar”), for fair value of approximately $1.037 billion. The difference between our net carrying value of the assets sold to their fair value of $115 million, net of deferred tax, was recorded in “Additional paid-in capital” on our Condensed Consolidated Balance Sheets as of September 30, 2024. The proceeds were used to pay the remaining balance of $951 million on our 2 3/8% Convertible Note which matured on March 15, 2024.</w:t>
      </w:r>
    </w:p>
    <w:p>
      <w:pPr>
        <w:spacing w:after="0" w:line="16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 xml:space="preserve">The Sale of Assets to EchoStar, </w:t>
      </w:r>
      <w:r>
        <w:rPr>
          <w:rFonts w:ascii="Arial" w:cs="Arial" w:eastAsia="Arial" w:hAnsi="Arial"/>
          <w:sz w:val="18"/>
          <w:szCs w:val="18"/>
          <w:color w:val="222222"/>
        </w:rPr>
        <w:t>Asset Transfer to EchoStar and</w:t>
      </w:r>
      <w:r>
        <w:rPr>
          <w:rFonts w:ascii="Arial" w:cs="Arial" w:eastAsia="Arial" w:hAnsi="Arial"/>
          <w:sz w:val="18"/>
          <w:szCs w:val="18"/>
          <w:color w:val="auto"/>
        </w:rPr>
        <w:t xml:space="preserve"> 700 MHz Spectrum Sale to EchoStar together are referred to as (the “Sale and Transfer of Assets to EchoStar”).</w:t>
      </w:r>
    </w:p>
    <w:p>
      <w:pPr>
        <w:spacing w:after="0" w:line="14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i w:val="1"/>
          <w:iCs w:val="1"/>
          <w:color w:val="auto"/>
        </w:rPr>
        <w:t xml:space="preserve">Orbital II Transfer from EchoStar. </w:t>
      </w:r>
      <w:r>
        <w:rPr>
          <w:rFonts w:ascii="Arial" w:cs="Arial" w:eastAsia="Arial" w:hAnsi="Arial"/>
          <w:sz w:val="18"/>
          <w:szCs w:val="18"/>
          <w:color w:val="auto"/>
        </w:rPr>
        <w:t>On May 2, 2024, EchoStar transferred certain assets to us,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satellite currently under construction. The transferred amount equals our historical net carrying value of these assets, which was $141 million with the offset recorded as a capital contribution in “Additional paid-in capital” on our Condensed Consolidated Balance Sheets as of September 30, 2024.</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EchoStar</w:t>
      </w:r>
    </w:p>
    <w:p>
      <w:pPr>
        <w:spacing w:after="0" w:line="196"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our Annual Report on Form 10-K for the year ended December 31, 2023.</w:t>
      </w:r>
    </w:p>
    <w:p>
      <w:pPr>
        <w:spacing w:after="0" w:line="171"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With the Merger complete, we are currently focused on the process of integrating our and EchoStar’s business in a manner that facilitates synergies, cost savings, growth opportunities and achieves other anticipated benefits (the “Integration”).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Capital Requirements</w:t>
      </w:r>
    </w:p>
    <w:p>
      <w:pPr>
        <w:spacing w:after="0" w:line="198"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5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During the third quarter of 2024 and through the issuance date of these condensed consolidated financial statements we and our parent EchoStar completed several financing transactions, including, but not limited to, our issuance of $2.5 billion (including $136 million of debt issuance costs) of New DISH DBS Financing, as detailed and defined in Note 8, which includes $2.047 billion of funds required to be used for the redemption, repayment or repurchase of the principal balance and remaining interest outstanding on our 5 7/8% Senior Notes due November 15, 2024, and our parent, EchoStar’s (i) issuance of $5.356 billion (including $156 million issuable in kind as discounts and commitment and/or backstop premiums) of new EchoStar 10 3/4% Senior Secured Notes due 2029, and (ii) closing of a PIPE investment for an aggregate cash purchase price of approximately $400 million. For further information on our parent, EchoStar’s, financing transactions refer to EchoStar’s Quarterly Report on Form 10-Q for the quarter ended September 30, 2024.</w:t>
      </w:r>
    </w:p>
    <w:p>
      <w:pPr>
        <w:spacing w:after="0" w:line="166"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222222"/>
        </w:rPr>
        <w:t xml:space="preserve">As a result of these transactions, our parent, EchoStar, committed to providing us with sufficient funds necessary to meet our obligations through one year from the date of filing these condensed consolidated financial statements. Accordingly, </w:t>
      </w:r>
      <w:r>
        <w:rPr>
          <w:rFonts w:ascii="Arial" w:cs="Arial" w:eastAsia="Arial" w:hAnsi="Arial"/>
          <w:sz w:val="17"/>
          <w:szCs w:val="17"/>
          <w:color w:val="000000"/>
        </w:rPr>
        <w:t>substantial doubt no longer exists about our ability to continue as a going concern.</w:t>
      </w:r>
    </w:p>
    <w:p>
      <w:pPr>
        <w:spacing w:after="0" w:line="138" w:lineRule="exact"/>
        <w:rPr>
          <w:sz w:val="20"/>
          <w:szCs w:val="20"/>
          <w:color w:val="auto"/>
        </w:rPr>
      </w:pPr>
    </w:p>
    <w:p>
      <w:pPr>
        <w:ind w:left="60" w:right="219" w:hanging="7"/>
        <w:spacing w:after="0" w:line="253" w:lineRule="auto"/>
        <w:rPr>
          <w:sz w:val="20"/>
          <w:szCs w:val="20"/>
          <w:color w:val="auto"/>
        </w:rPr>
      </w:pPr>
      <w:r>
        <w:rPr>
          <w:rFonts w:ascii="Arial" w:cs="Arial" w:eastAsia="Arial" w:hAnsi="Arial"/>
          <w:sz w:val="18"/>
          <w:szCs w:val="18"/>
          <w:color w:val="auto"/>
        </w:rPr>
        <w:t xml:space="preserve">Our cash and cash equivalents, current restricted cash and cash equivalents, and marketable investment securities totaled $2.426 billion as of September 30, 2024 (“Cash on Hand”) and we will </w:t>
      </w:r>
      <w:r>
        <w:rPr>
          <w:rFonts w:ascii="Arial" w:cs="Arial" w:eastAsia="Arial" w:hAnsi="Arial"/>
          <w:sz w:val="18"/>
          <w:szCs w:val="18"/>
          <w:color w:val="222222"/>
        </w:rPr>
        <w:t>fund the</w:t>
      </w:r>
      <w:r>
        <w:rPr>
          <w:rFonts w:ascii="Arial" w:cs="Arial" w:eastAsia="Arial" w:hAnsi="Arial"/>
          <w:sz w:val="18"/>
          <w:szCs w:val="18"/>
          <w:color w:val="auto"/>
        </w:rPr>
        <w:t xml:space="preserve"> $1.983 billion of debt maturing in November 2024 from Cash on Hand.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We currently operate three primary business segments: (1) Pay-TV; (2) Retail Wireless and (3) 5G Network Deployment.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September 30, 2024, we had 8.031 million Pay-TV subscribers in the United States, including 5.888 million DISH TV subscribers and 2.143 million SLING TV subscribers.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Retail Wireless</w:t>
      </w:r>
    </w:p>
    <w:p>
      <w:pPr>
        <w:spacing w:after="0" w:line="19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(“Retail Wireless” services),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163"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 xml:space="preserve">We are currently operating our Retail Wireless segment primarily as a mobile virtual network operator (“MVNO”) as we continue our 5G Network Deployment and commercialize and grow customer traffic on our 5G Network, as defined below. We are transitioning our Retail Wireless segment to a mobile network operator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7"/>
          <w:szCs w:val="17"/>
          <w:color w:val="0A0A0A"/>
        </w:rPr>
        <w:t>voice over new radio (“VoNR”)</w:t>
      </w:r>
      <w:r>
        <w:rPr>
          <w:rFonts w:ascii="Arial" w:cs="Arial" w:eastAsia="Arial" w:hAnsi="Arial"/>
          <w:sz w:val="17"/>
          <w:szCs w:val="17"/>
          <w:color w:val="auto"/>
        </w:rPr>
        <w:t xml:space="preserve">. We have deployed </w:t>
      </w:r>
      <w:r>
        <w:rPr>
          <w:rFonts w:ascii="Arial" w:cs="Arial" w:eastAsia="Arial" w:hAnsi="Arial"/>
          <w:sz w:val="17"/>
          <w:szCs w:val="17"/>
          <w:color w:val="0A0A0A"/>
        </w:rPr>
        <w:t>5G VoNR covering over 200 million Americans.</w:t>
      </w:r>
      <w:r>
        <w:rPr>
          <w:rFonts w:ascii="Arial" w:cs="Arial" w:eastAsia="Arial" w:hAnsi="Arial"/>
          <w:sz w:val="17"/>
          <w:szCs w:val="17"/>
          <w:color w:val="auto"/>
        </w:rPr>
        <w:t xml:space="preserve"> Within our MVNO operations, today we depend on T-Mobile and AT&amp;T to provide us with network services under the amended Master Network Services Agreement (“MNSA”) and Network Services Agreement (the “NSA”), respectively. As of September 30, 2024, we had 6.984 million Wireless subscribers.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 Deployment</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which does not include $7 billion of capitalized interest related to the carrying value of such licenses. See Note 1, Note 2 and Note 9 for further information. We plan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w:t>
      </w:r>
    </w:p>
    <w:p>
      <w:pPr>
        <w:spacing w:after="0" w:line="167"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may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9 for further information.</w:t>
      </w:r>
    </w:p>
    <w:p>
      <w:pPr>
        <w:spacing w:after="0" w:line="165" w:lineRule="exact"/>
        <w:rPr>
          <w:sz w:val="20"/>
          <w:szCs w:val="20"/>
          <w:color w:val="auto"/>
        </w:rPr>
      </w:pPr>
    </w:p>
    <w:p>
      <w:pPr>
        <w:ind w:left="60" w:right="79" w:hanging="7"/>
        <w:spacing w:after="0" w:line="257" w:lineRule="auto"/>
        <w:rPr>
          <w:sz w:val="20"/>
          <w:szCs w:val="20"/>
          <w:color w:val="auto"/>
        </w:rPr>
      </w:pPr>
      <w:r>
        <w:rPr>
          <w:rFonts w:ascii="Arial" w:cs="Arial" w:eastAsia="Arial" w:hAnsi="Arial"/>
          <w:sz w:val="17"/>
          <w:szCs w:val="17"/>
          <w:color w:val="auto"/>
        </w:rPr>
        <w:t xml:space="preserve">Our Wireless spectrum licenses are subject to certain interim and final build-out requirements, as well as certain renewal requirements.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7"/>
          <w:szCs w:val="17"/>
          <w:color w:val="0A0A0A"/>
        </w:rPr>
        <w:t>We currently ha</w:t>
      </w:r>
      <w:r>
        <w:rPr>
          <w:rFonts w:ascii="Arial" w:cs="Arial" w:eastAsia="Arial" w:hAnsi="Arial"/>
          <w:sz w:val="17"/>
          <w:szCs w:val="17"/>
          <w:color w:val="auto"/>
        </w:rPr>
        <w:t>ve the largest commercial deployment of 5G VoNR in the world covering over 200 million Americans and 5G broadband service covering over 250 million Americans.</w:t>
      </w:r>
    </w:p>
    <w:p>
      <w:pPr>
        <w:spacing w:after="0" w:line="155"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In September 2024, the FCC conditionally granted our requests to extend the 5G deployment deadlines for certain of our licenses based on several commitments, as detailed in Note 9.</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We may also determine that additional wireless spectrum licenses may be required for our 5G Network Deployment and to compete effectively with other wireless service providers.</w:t>
      </w:r>
    </w:p>
    <w:p>
      <w:pPr>
        <w:spacing w:after="0" w:line="159" w:lineRule="exact"/>
        <w:rPr>
          <w:sz w:val="20"/>
          <w:szCs w:val="20"/>
          <w:color w:val="auto"/>
        </w:rPr>
      </w:pPr>
    </w:p>
    <w:p>
      <w:pPr>
        <w:ind w:left="700" w:hanging="650"/>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w:t>
      </w:r>
    </w:p>
    <w:p>
      <w:pPr>
        <w:spacing w:after="0" w:line="171"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 Certain prior period amounts have been reclassified to conform to the current period presentation.</w:t>
      </w:r>
    </w:p>
    <w:p>
      <w:pPr>
        <w:spacing w:after="0" w:line="15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Historically, as we built-out our 5G Network, certain direct costs related to our 5G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including lease expense on communication towers, transport, cloud services and other costs, were presented within “Cost of sales – equipment and other” on our Condensed Consolidated Statements of Operations and Comprehensive Income (Loss) as our 5G Network service had not commenced. As we have commenced utilizing our 5G Network for commercial traffic, such amounts now represent costs of operating our 5G Network and are, beginning on January 1, 2024, presented within the “Cost of services” on our Condensed Consolidated Statements of Operations and Comprehensive Income (Loss). The change has no impact on net income. For the three and nine months ended September 30, 2023, the direct costs related to our 5G Network Deployment included within the “Cost of sales – equipment and other” on our Condensed Consolidated Statements of Operations and Comprehensive Income (Loss) were $261 million and $671 million, respectively.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VIEs where we have been determined to be the primary beneficiary. Minority interests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i w:val="1"/>
          <w:iCs w:val="1"/>
          <w:color w:val="auto"/>
        </w:rPr>
        <w:t>Northstar Wireless</w:t>
      </w:r>
      <w:r>
        <w:rPr>
          <w:rFonts w:ascii="Arial" w:cs="Arial" w:eastAsia="Arial" w:hAnsi="Arial"/>
          <w:sz w:val="18"/>
          <w:szCs w:val="18"/>
          <w:color w:val="auto"/>
        </w:rPr>
        <w:t>. Northstar Wireless, L.L.C. (“Northstar Wireless”) is a wholly-owned subsidiary of Northstar</w:t>
      </w:r>
      <w:r>
        <w:rPr>
          <w:rFonts w:ascii="Arial" w:cs="Arial" w:eastAsia="Arial" w:hAnsi="Arial"/>
          <w:sz w:val="18"/>
          <w:szCs w:val="18"/>
          <w:i w:val="1"/>
          <w:iCs w:val="1"/>
          <w:color w:val="auto"/>
        </w:rPr>
        <w:t xml:space="preserve"> </w:t>
      </w:r>
      <w:r>
        <w:rPr>
          <w:rFonts w:ascii="Arial" w:cs="Arial" w:eastAsia="Arial" w:hAnsi="Arial"/>
          <w:sz w:val="18"/>
          <w:szCs w:val="18"/>
          <w:color w:val="auto"/>
        </w:rPr>
        <w:t>Spectrum, LLC (“Northstar Spectrum”), which is an entity wholly-owned by us and, prior to October 12, 2023, by us and Northstar Manager, LLC (“NorthStar Manager”).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w:t>
      </w:r>
    </w:p>
    <w:p>
      <w:pPr>
        <w:spacing w:after="0" w:line="171" w:lineRule="exact"/>
        <w:rPr>
          <w:sz w:val="20"/>
          <w:szCs w:val="20"/>
          <w:color w:val="auto"/>
        </w:rPr>
      </w:pPr>
    </w:p>
    <w:p>
      <w:pPr>
        <w:ind w:left="60" w:right="59"/>
        <w:spacing w:after="0"/>
        <w:rPr>
          <w:sz w:val="20"/>
          <w:szCs w:val="20"/>
          <w:color w:val="auto"/>
        </w:rPr>
      </w:pPr>
      <w:r>
        <w:rPr>
          <w:rFonts w:ascii="Arial" w:cs="Arial" w:eastAsia="Arial" w:hAnsi="Arial"/>
          <w:sz w:val="18"/>
          <w:szCs w:val="18"/>
          <w:i w:val="1"/>
          <w:iCs w:val="1"/>
          <w:color w:val="auto"/>
        </w:rPr>
        <w:t xml:space="preserve">SNR Wireless. </w:t>
      </w:r>
      <w:r>
        <w:rPr>
          <w:rFonts w:ascii="Arial" w:cs="Arial" w:eastAsia="Arial" w:hAnsi="Arial"/>
          <w:sz w:val="18"/>
          <w:szCs w:val="18"/>
          <w:color w:val="auto"/>
        </w:rPr>
        <w:t>SNR Wireless LicenseCo, LLC (“SNR Wireless”) is a wholly-owned subsidiary of SNR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HoldCo, LLC (“SNR HoldCo”), which is an entity owned by us and our parent’s direct wholly-owned subsidiary, EchoStar SNR Holdco L.L.C. and, prior to February 16, 2024, by us and SNR Wireless Management, LLC (“SNR Management”). On February 16, 2024, the FCC consented to the sale of SNR Management’s ownership interests in SNR HoldCo, which was purchased by EchoStar SNR HoldCo L.L.C. for a total of approximately $442 million. This purchase resulted in the conversion of our outstanding redeemable noncontrolling interest as it relates to SNR HoldCo to noncontrolling interest, which is now held by our parent, EchoStar, as of the purchase date and we continue to consolidate the SNR Entities into our financial statements.</w:t>
      </w:r>
    </w:p>
    <w:p>
      <w:pPr>
        <w:spacing w:after="0" w:line="167"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fair value of options granted under EchoStar’s stock-based compensation plans, fair value of assets and liabilities acquired in business combinations, inputs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nonrefundable upfront fees, independent third-party 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96"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these activities are substantially suspended.</w:t>
      </w:r>
    </w:p>
    <w:p>
      <w:pPr>
        <w:spacing w:after="0" w:line="14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are currently commercializing our 5G Network Deployment. As a result, the interest expense related to the carrying amount of the 5G Network Deployment qualifying assets is being capitalized. Historically, the qualifying assets exceeded the carrying value of our long-term debt and finance lease obligations, therefore substantially all of our interest expense was being capitalized.</w:t>
      </w:r>
    </w:p>
    <w:p>
      <w:pPr>
        <w:spacing w:after="0" w:line="160"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As a result of the lower basis of our qualifying assets due to the Sale and Transfer of Assets to EchoStar and other qualifying assets, including certain bands of wireless spectrum licenses that have been placed into service with the deployment of our 5G Network, we no longer capitalize substantially all interest on those assets. We expect this trend to continue.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63"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ind w:left="720" w:right="359" w:hanging="319"/>
        <w:spacing w:after="0" w:line="234"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ind w:left="720" w:right="239" w:hanging="319"/>
        <w:spacing w:after="0" w:line="242"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65"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As of September 30, 2024 and December 31, 2023,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w:t>
      </w:r>
    </w:p>
    <w:p>
      <w:pPr>
        <w:spacing w:after="0" w:line="160"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4 for the fair value of our marketable investment securities and derivative instruments.</w:t>
      </w:r>
    </w:p>
    <w:p>
      <w:pPr>
        <w:spacing w:after="0" w:line="15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Furthermore, for any sale of a financial asset in a transaction among entities under common control the difference between the net carrying value and the fair value of the assets sold, if any, is recorded as a gain or loss on the sale of the financial asset in “Other, net” within “Other Income (Expense)” on our Condensed Consolidated Statements of Operations and Comprehensive Income (Loss).</w:t>
      </w:r>
    </w:p>
    <w:p>
      <w:pPr>
        <w:spacing w:after="0" w:line="16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8 for the fair value of our long-term debt.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Customer</w:t>
      </w:r>
    </w:p>
    <w:p>
      <w:pPr>
        <w:spacing w:after="0" w:line="19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 our Pay-TV and Retail Wireless segments,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We recognize advertising expense when incurred as a component of “Selling, general and administrative expenses” on our Condensed Consolidated Statements of Operations and Comprehensive Income (Loss). Advertising expenses totaled $173 million and $169 million for the three months ended September 30</w:t>
      </w:r>
      <w:r>
        <w:rPr>
          <w:rFonts w:ascii="Arial" w:cs="Arial" w:eastAsia="Arial" w:hAnsi="Arial"/>
          <w:sz w:val="18"/>
          <w:szCs w:val="18"/>
          <w:color w:val="222222"/>
        </w:rPr>
        <w:t>, 2024</w:t>
      </w:r>
      <w:r>
        <w:rPr>
          <w:rFonts w:ascii="Arial" w:cs="Arial" w:eastAsia="Arial" w:hAnsi="Arial"/>
          <w:sz w:val="18"/>
          <w:szCs w:val="18"/>
          <w:color w:val="auto"/>
        </w:rPr>
        <w:t xml:space="preserve"> and 2023, respectively. Advertising expenses totaled $422 million and $462 million for the nine months ended September 30</w:t>
      </w:r>
      <w:r>
        <w:rPr>
          <w:rFonts w:ascii="Arial" w:cs="Arial" w:eastAsia="Arial" w:hAnsi="Arial"/>
          <w:sz w:val="18"/>
          <w:szCs w:val="18"/>
          <w:color w:val="222222"/>
        </w:rPr>
        <w:t>, 2024</w:t>
      </w:r>
      <w:r>
        <w:rPr>
          <w:rFonts w:ascii="Arial" w:cs="Arial" w:eastAsia="Arial" w:hAnsi="Arial"/>
          <w:sz w:val="18"/>
          <w:szCs w:val="18"/>
          <w:color w:val="auto"/>
        </w:rPr>
        <w:t xml:space="preserve"> and 2023,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319"/>
        <w:spacing w:after="0" w:line="242" w:lineRule="auto"/>
        <w:rPr>
          <w:sz w:val="20"/>
          <w:szCs w:val="20"/>
          <w:color w:val="auto"/>
        </w:rPr>
      </w:pPr>
      <w:r>
        <w:rPr>
          <w:rFonts w:ascii="Arial" w:cs="Arial" w:eastAsia="Arial" w:hAnsi="Arial"/>
          <w:sz w:val="18"/>
          <w:szCs w:val="18"/>
          <w:color w:val="auto"/>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 Research and development costs totaled $6 million and $11 million for the three months ended September 30</w:t>
      </w:r>
      <w:r>
        <w:rPr>
          <w:rFonts w:ascii="Arial" w:cs="Arial" w:eastAsia="Arial" w:hAnsi="Arial"/>
          <w:sz w:val="18"/>
          <w:szCs w:val="18"/>
          <w:color w:val="222222"/>
        </w:rPr>
        <w:t>, 2024</w:t>
      </w:r>
      <w:r>
        <w:rPr>
          <w:rFonts w:ascii="Arial" w:cs="Arial" w:eastAsia="Arial" w:hAnsi="Arial"/>
          <w:sz w:val="18"/>
          <w:szCs w:val="18"/>
          <w:color w:val="auto"/>
        </w:rPr>
        <w:t xml:space="preserve"> and 2023, respectively. Research and development costs totaled $20 million and $33 million for the nine months ended September 30</w:t>
      </w:r>
      <w:r>
        <w:rPr>
          <w:rFonts w:ascii="Arial" w:cs="Arial" w:eastAsia="Arial" w:hAnsi="Arial"/>
          <w:sz w:val="18"/>
          <w:szCs w:val="18"/>
          <w:color w:val="222222"/>
        </w:rPr>
        <w:t>,</w:t>
      </w:r>
      <w:r>
        <w:rPr>
          <w:rFonts w:ascii="Arial" w:cs="Arial" w:eastAsia="Arial" w:hAnsi="Arial"/>
          <w:sz w:val="18"/>
          <w:szCs w:val="18"/>
          <w:color w:val="auto"/>
        </w:rPr>
        <w:t xml:space="preserve"> </w:t>
      </w:r>
      <w:r>
        <w:rPr>
          <w:rFonts w:ascii="Arial" w:cs="Arial" w:eastAsia="Arial" w:hAnsi="Arial"/>
          <w:sz w:val="18"/>
          <w:szCs w:val="18"/>
          <w:color w:val="222222"/>
        </w:rPr>
        <w:t xml:space="preserve">2024 </w:t>
      </w:r>
      <w:r>
        <w:rPr>
          <w:rFonts w:ascii="Arial" w:cs="Arial" w:eastAsia="Arial" w:hAnsi="Arial"/>
          <w:sz w:val="18"/>
          <w:szCs w:val="18"/>
          <w:color w:val="000000"/>
        </w:rPr>
        <w:t>and 2023,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i w:val="1"/>
          <w:iCs w:val="1"/>
          <w:color w:val="auto"/>
        </w:rPr>
        <w:t xml:space="preserve">Joint Ventures. </w:t>
      </w:r>
      <w:r>
        <w:rPr>
          <w:rFonts w:ascii="Arial" w:cs="Arial" w:eastAsia="Arial" w:hAnsi="Arial"/>
          <w:sz w:val="18"/>
          <w:szCs w:val="18"/>
          <w:color w:val="auto"/>
        </w:rPr>
        <w:t>On August 23, 2023, the FASB issued ASU 2023-05,</w:t>
      </w:r>
      <w:r>
        <w:rPr>
          <w:rFonts w:ascii="Arial" w:cs="Arial" w:eastAsia="Arial" w:hAnsi="Arial"/>
          <w:sz w:val="18"/>
          <w:szCs w:val="18"/>
          <w:i w:val="1"/>
          <w:iCs w:val="1"/>
          <w:color w:val="auto"/>
        </w:rPr>
        <w:t xml:space="preserve"> Business Combinations — Joint Venture Formations (Subtopic 805-60) </w:t>
      </w:r>
      <w:r>
        <w:rPr>
          <w:rFonts w:ascii="Arial" w:cs="Arial" w:eastAsia="Arial" w:hAnsi="Arial"/>
          <w:sz w:val="18"/>
          <w:szCs w:val="18"/>
          <w:color w:val="auto"/>
        </w:rPr>
        <w:t>(“ASU 2023-05”), which requires an entity that qualifies as either a joint venture or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joint 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plan to adopt the standard if applicable and we expect the adoption of the standard will have an immaterial impact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 xml:space="preserve">Segment Reporting. </w:t>
      </w:r>
      <w:r>
        <w:rPr>
          <w:rFonts w:ascii="Arial" w:cs="Arial" w:eastAsia="Arial" w:hAnsi="Arial"/>
          <w:sz w:val="18"/>
          <w:szCs w:val="18"/>
          <w:color w:val="auto"/>
        </w:rPr>
        <w:t>On November 27, 2023, the FASB issued ASU 2023-07</w:t>
      </w:r>
      <w:r>
        <w:rPr>
          <w:rFonts w:ascii="Arial" w:cs="Arial" w:eastAsia="Arial" w:hAnsi="Arial"/>
          <w:sz w:val="18"/>
          <w:szCs w:val="18"/>
          <w:i w:val="1"/>
          <w:iCs w:val="1"/>
          <w:color w:val="auto"/>
        </w:rPr>
        <w:t xml:space="preserve"> Segment Reporting (Topic 280): Improvements to Reporting Segment Disclosures </w:t>
      </w:r>
      <w:r>
        <w:rPr>
          <w:rFonts w:ascii="Arial" w:cs="Arial" w:eastAsia="Arial" w:hAnsi="Arial"/>
          <w:sz w:val="18"/>
          <w:szCs w:val="18"/>
          <w:color w:val="auto"/>
        </w:rPr>
        <w:t>(“ASU 2023-07”), which will enhance financial reporting by</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additional information about a public company’s significant segment expenses and more timely and detailed segment information reporting throughout the fiscal period. This standard will be effective for fiscal years beginning after December 15, 2023, and interim periods within fiscal years beginning after December 15, 2024. Early adoption is permitted. We plan to adopt the standard when it becomes effective for us beginning in our fiscal year 2024 annual financial statements, and we expect the adoption of the standard will impact certain of our segment reporting disclosures.</w:t>
      </w:r>
    </w:p>
    <w:p>
      <w:pPr>
        <w:spacing w:after="0" w:line="1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On December 14, 2023, the FASB issued ASU 2023-9,</w:t>
      </w:r>
      <w:r>
        <w:rPr>
          <w:rFonts w:ascii="Arial" w:cs="Arial" w:eastAsia="Arial" w:hAnsi="Arial"/>
          <w:sz w:val="18"/>
          <w:szCs w:val="18"/>
          <w:i w:val="1"/>
          <w:iCs w:val="1"/>
          <w:color w:val="auto"/>
        </w:rPr>
        <w:t xml:space="preserve"> Income Taxes (Topic 740)</w:t>
      </w:r>
      <w:r>
        <w:rPr>
          <w:rFonts w:ascii="Arial" w:cs="Arial" w:eastAsia="Arial" w:hAnsi="Arial"/>
          <w:sz w:val="18"/>
          <w:szCs w:val="18"/>
          <w:color w:val="auto"/>
        </w:rPr>
        <w:t>:</w:t>
      </w:r>
      <w:r>
        <w:rPr>
          <w:rFonts w:ascii="Arial" w:cs="Arial" w:eastAsia="Arial" w:hAnsi="Arial"/>
          <w:sz w:val="18"/>
          <w:szCs w:val="18"/>
          <w:i w:val="1"/>
          <w:iCs w:val="1"/>
          <w:color w:val="auto"/>
        </w:rPr>
        <w:t xml:space="preserve"> Improvements to Income Tax Disclosures </w:t>
      </w:r>
      <w:r>
        <w:rPr>
          <w:rFonts w:ascii="Arial" w:cs="Arial" w:eastAsia="Arial" w:hAnsi="Arial"/>
          <w:sz w:val="18"/>
          <w:szCs w:val="18"/>
          <w:color w:val="auto"/>
        </w:rPr>
        <w:t>(“ASU 2023-09”), which will enhance income tax disclosures. ASU 2023-09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Condensed Consolidated Financial Statements and related disclosures.</w:t>
      </w:r>
    </w:p>
    <w:p>
      <w:pPr>
        <w:spacing w:after="0" w:line="158" w:lineRule="exact"/>
        <w:rPr>
          <w:sz w:val="20"/>
          <w:szCs w:val="20"/>
          <w:color w:val="auto"/>
        </w:rPr>
      </w:pPr>
    </w:p>
    <w:p>
      <w:pPr>
        <w:ind w:left="700" w:hanging="650"/>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Data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Statements of Cash Flows</w:t>
      </w:r>
    </w:p>
    <w:p>
      <w:pPr>
        <w:spacing w:after="0" w:line="198" w:lineRule="exact"/>
        <w:rPr>
          <w:sz w:val="20"/>
          <w:szCs w:val="20"/>
          <w:color w:val="auto"/>
        </w:rPr>
      </w:pPr>
    </w:p>
    <w:p>
      <w:pPr>
        <w:ind w:left="60" w:right="1079"/>
        <w:spacing w:after="0" w:line="254" w:lineRule="auto"/>
        <w:rPr>
          <w:sz w:val="20"/>
          <w:szCs w:val="20"/>
          <w:color w:val="auto"/>
        </w:rPr>
      </w:pPr>
      <w:r>
        <w:rPr>
          <w:rFonts w:ascii="Arial" w:cs="Arial" w:eastAsia="Arial" w:hAnsi="Arial"/>
          <w:sz w:val="18"/>
          <w:szCs w:val="18"/>
          <w:color w:val="auto"/>
        </w:rPr>
        <w:t>The following table presents certain supplemental cash flow and other non-cash data. See Note 7 for supplemental cash flow and non-cash data related to leases.</w:t>
      </w:r>
    </w:p>
    <w:tbl>
      <w:tblPr>
        <w:tblLayout w:type="fixed"/>
        <w:tblInd w:w="4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2300" w:type="dxa"/>
            <w:vAlign w:val="bottom"/>
            <w:gridSpan w:val="6"/>
          </w:tcPr>
          <w:p>
            <w:pPr>
              <w:jc w:val="center"/>
              <w:ind w:right="40"/>
              <w:spacing w:after="0" w:line="175" w:lineRule="exact"/>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6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center"/>
              <w:ind w:right="19"/>
              <w:spacing w:after="0" w:line="169"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4"/>
                <w:szCs w:val="14"/>
                <w:color w:val="auto"/>
              </w:rPr>
            </w:pP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 (including capitalized interest)</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798,598</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851,275</w:t>
            </w:r>
          </w:p>
        </w:tc>
        <w:tc>
          <w:tcPr>
            <w:tcW w:w="40" w:type="dxa"/>
            <w:vAlign w:val="bottom"/>
            <w:shd w:val="clear" w:color="auto" w:fill="CCEEFF"/>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Cash paid for interest Intercompany Loan 2026 Tranche</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64,582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for interest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11,578</w:t>
            </w:r>
          </w:p>
        </w:tc>
        <w:tc>
          <w:tcPr>
            <w:tcW w:w="40" w:type="dxa"/>
            <w:vAlign w:val="bottom"/>
            <w:shd w:val="clear" w:color="auto" w:fill="CCEEFF"/>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(22,268)</w:t>
            </w:r>
          </w:p>
        </w:tc>
        <w:tc>
          <w:tcPr>
            <w:tcW w:w="2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(10,113)</w:t>
            </w: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to EchoStar, net of (refunds)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Capitalized interest (1)</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684,204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969,736</w:t>
            </w:r>
          </w:p>
        </w:tc>
        <w:tc>
          <w:tcPr>
            <w:tcW w:w="40" w:type="dxa"/>
            <w:vAlign w:val="bottom"/>
          </w:tcPr>
          <w:p>
            <w:pPr>
              <w:spacing w:after="0"/>
              <w:rPr>
                <w:sz w:val="16"/>
                <w:szCs w:val="16"/>
                <w:color w:val="auto"/>
              </w:rPr>
            </w:pP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benefits paid in Class A common stock</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14,680</w:t>
            </w:r>
          </w:p>
        </w:tc>
        <w:tc>
          <w:tcPr>
            <w:tcW w:w="40" w:type="dxa"/>
            <w:vAlign w:val="bottom"/>
            <w:shd w:val="clear" w:color="auto" w:fill="CCEEFF"/>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Vendor financing</w:t>
            </w:r>
          </w:p>
        </w:tc>
        <w:tc>
          <w:tcPr>
            <w:tcW w:w="1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87,343</w:t>
            </w:r>
          </w:p>
        </w:tc>
        <w:tc>
          <w:tcPr>
            <w:tcW w:w="40" w:type="dxa"/>
            <w:vAlign w:val="bottom"/>
          </w:tcPr>
          <w:p>
            <w:pPr>
              <w:spacing w:after="0"/>
              <w:rPr>
                <w:sz w:val="16"/>
                <w:szCs w:val="16"/>
                <w:color w:val="auto"/>
              </w:rPr>
            </w:pP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capital expenditures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110,058</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222,941</w:t>
            </w:r>
          </w:p>
        </w:tc>
        <w:tc>
          <w:tcPr>
            <w:tcW w:w="40" w:type="dxa"/>
            <w:vAlign w:val="bottom"/>
            <w:shd w:val="clear" w:color="auto" w:fill="CCEEFF"/>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Asset retirement obligation</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14,010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65,580</w:t>
            </w:r>
          </w:p>
        </w:tc>
        <w:tc>
          <w:tcPr>
            <w:tcW w:w="40" w:type="dxa"/>
            <w:vAlign w:val="bottom"/>
          </w:tcPr>
          <w:p>
            <w:pPr>
              <w:spacing w:after="0"/>
              <w:rPr>
                <w:sz w:val="16"/>
                <w:szCs w:val="16"/>
                <w:color w:val="auto"/>
              </w:rPr>
            </w:pP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Transfer to EchoStar, including deferred taxes of $3,775,370 (2)</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15,778,363</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75"/>
        </w:trPr>
        <w:tc>
          <w:tcPr>
            <w:tcW w:w="6600" w:type="dxa"/>
            <w:vAlign w:val="bottom"/>
          </w:tcPr>
          <w:p>
            <w:pPr>
              <w:ind w:left="20"/>
              <w:spacing w:after="0" w:line="175" w:lineRule="exact"/>
              <w:rPr>
                <w:sz w:val="20"/>
                <w:szCs w:val="20"/>
                <w:color w:val="auto"/>
              </w:rPr>
            </w:pPr>
            <w:r>
              <w:rPr>
                <w:rFonts w:ascii="Arial" w:cs="Arial" w:eastAsia="Arial" w:hAnsi="Arial"/>
                <w:sz w:val="16"/>
                <w:szCs w:val="16"/>
                <w:color w:val="auto"/>
              </w:rPr>
              <w:t>Conversion of outstanding redeemable noncontrolling interest in SNR HoldCo to</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441,998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Orbital II Transfer from EchoStar</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140,510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Accrued Upfront Payment</w:t>
            </w:r>
          </w:p>
        </w:tc>
        <w:tc>
          <w:tcPr>
            <w:tcW w:w="1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16"/>
                <w:szCs w:val="16"/>
                <w:color w:val="auto"/>
              </w:rPr>
            </w:pP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Unsettled sales of marketable investment securities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119,068</w:t>
            </w:r>
          </w:p>
        </w:tc>
        <w:tc>
          <w:tcPr>
            <w:tcW w:w="40" w:type="dxa"/>
            <w:vAlign w:val="bottom"/>
            <w:shd w:val="clear" w:color="auto" w:fill="CCEEFF"/>
          </w:tcPr>
          <w:p>
            <w:pPr>
              <w:spacing w:after="0"/>
              <w:rPr>
                <w:sz w:val="16"/>
                <w:szCs w:val="16"/>
                <w:color w:val="auto"/>
              </w:rPr>
            </w:pPr>
          </w:p>
        </w:tc>
      </w:tr>
    </w:tbl>
    <w:p>
      <w:pPr>
        <w:spacing w:after="0" w:line="184"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1 for further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Beginning in 2024, DISH Network and its domestic subsidiaries join with EchoStar in filing U.S. consolidated federal income tax returns and, in some states, combined or consolidated returns. The federal and state income tax provisions or benefits recorded by DISH Network are generally those that would have been recorded if DISH Network and its domestic subsidiaries had filed returns as a consolidated group independent of EchoStar. Cash is due and paid to EchoStar based on amounts that would be payable based on DISH Network consolidated or combined group filings. Amounts are receivable from EchoStar on a basis similar to when they would be receivable from the IRS or state taxing authorities. During the three and nine months ended September 30, 2024, no payments were made to EchoStar for income taxes.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Exchange Offer</w:t>
      </w:r>
    </w:p>
    <w:p>
      <w:pPr>
        <w:spacing w:after="0" w:line="19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March 4, 2024, EchoStar commenced a tender offer to eligible employees (which excludes EchoStar’s and our co-founders and the non-executive/non-employee members of EchoStar’s Board of Directors) to exchange eligible stock options (which excludes the Ergen 2020 Performance Award) for new options as detailed in its Schedule TO filed March 4, 2024 with the Securities and Exchange Commission (the “Exchange Offer”), to, among other things, further align employee incentives with the current market. The Exchange Offer expired on April 1, 2024 and EchoStar accepted for exchange approximately 7 million stock options. As a result of the Exchange Offer, during the second quarter of 2024, the exercise price of approximately 3 million new stock options associated with our employees, affecting approximately 800 eligible employees, was adjusted to $14.04. The total incremental non-cash stock-based compensation expense resulting from the Exchange Offer was $11 million, which will be recognized over the remaining vesting period of the applicable options.</w:t>
      </w:r>
    </w:p>
    <w:p>
      <w:pPr>
        <w:spacing w:after="0" w:line="166" w:lineRule="exact"/>
        <w:rPr>
          <w:sz w:val="20"/>
          <w:szCs w:val="20"/>
          <w:color w:val="auto"/>
        </w:rPr>
      </w:pPr>
    </w:p>
    <w:p>
      <w:pPr>
        <w:ind w:left="700" w:hanging="650"/>
        <w:spacing w:after="0"/>
        <w:tabs>
          <w:tab w:leader="none" w:pos="7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Investment Securities, Restricted Cash and Cash Equivalents, and Other Investments</w:t>
      </w:r>
    </w:p>
    <w:p>
      <w:pPr>
        <w:spacing w:after="0" w:line="210"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5"/>
          </w:tcPr>
          <w:p>
            <w:pPr>
              <w:jc w:val="right"/>
              <w:ind w:right="939"/>
              <w:spacing w:after="0" w:line="169"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Marketable investment securities: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Current marketable investment securities: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Strategic - available-for-sale</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Arial" w:cs="Arial" w:eastAsia="Arial" w:hAnsi="Arial"/>
                <w:sz w:val="16"/>
                <w:szCs w:val="16"/>
                <w:color w:val="auto"/>
              </w:rPr>
              <w:t>Strategic - trading/equity</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6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Total current marketable investment securities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172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8,122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Restricted marketable investment securities (1)</w:t>
            </w: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marketable investment securities</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10,957</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27,894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6"/>
                <w:szCs w:val="16"/>
                <w:b w:val="1"/>
                <w:bCs w:val="1"/>
                <w:color w:val="auto"/>
              </w:rPr>
              <w:t>Restricted cash and cash equivalents (1) (2)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2,162,117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89,107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6"/>
                <w:szCs w:val="16"/>
                <w:b w:val="1"/>
                <w:bCs w:val="1"/>
                <w:color w:val="auto"/>
              </w:rPr>
              <w:t>Other investments, net: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investments (3)</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Cost method investments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Fair value method investments</w:t>
            </w: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39,291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other investments, net</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64,327</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168,825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40" w:type="dxa"/>
            <w:vAlign w:val="bottom"/>
          </w:tcPr>
          <w:p>
            <w:pPr>
              <w:spacing w:after="0" w:line="175"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2,237,401</w:t>
            </w:r>
          </w:p>
        </w:tc>
        <w:tc>
          <w:tcPr>
            <w:tcW w:w="180" w:type="dxa"/>
            <w:vAlign w:val="bottom"/>
          </w:tcPr>
          <w:p>
            <w:pPr>
              <w:spacing w:after="0"/>
              <w:rPr>
                <w:sz w:val="15"/>
                <w:szCs w:val="15"/>
                <w:color w:val="auto"/>
              </w:rPr>
            </w:pP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w w:val="71"/>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285,826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gridSpan w:val="2"/>
          </w:tcPr>
          <w:p>
            <w:pPr>
              <w:spacing w:after="0"/>
              <w:rPr>
                <w:sz w:val="20"/>
                <w:szCs w:val="20"/>
                <w:color w:val="auto"/>
              </w:rPr>
            </w:pPr>
            <w:r>
              <w:rPr>
                <w:rFonts w:ascii="Arial" w:cs="Arial" w:eastAsia="Arial" w:hAnsi="Arial"/>
                <w:sz w:val="16"/>
                <w:szCs w:val="16"/>
                <w:b w:val="1"/>
                <w:bCs w:val="1"/>
                <w:color w:val="auto"/>
              </w:rPr>
              <w:t>equivalents, and other investments, net</w:t>
            </w:r>
          </w:p>
        </w:tc>
        <w:tc>
          <w:tcPr>
            <w:tcW w:w="54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80" w:right="119" w:hanging="330"/>
        <w:spacing w:after="0" w:line="241"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“Current restricted cash and cash equivalents” and “Restricted cash, cash equivalents and marketable investment securities” on our Condensed Consolidated Balance Sheets.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$2.047 billion in proceeds received from the New DBS Financing, as detailed and defined in Note 8.</w:t>
      </w:r>
    </w:p>
    <w:p>
      <w:pPr>
        <w:spacing w:after="0" w:line="7" w:lineRule="exact"/>
        <w:rPr>
          <w:rFonts w:ascii="Arial" w:cs="Arial" w:eastAsia="Arial" w:hAnsi="Arial"/>
          <w:sz w:val="17"/>
          <w:szCs w:val="17"/>
          <w:color w:val="auto"/>
        </w:rPr>
      </w:pPr>
    </w:p>
    <w:p>
      <w:pPr>
        <w:ind w:left="380" w:right="679" w:hanging="330"/>
        <w:spacing w:after="0" w:line="279"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change primarily resulted from the Sale and Transfer of Assets to EchoStar, see Note 1 for further information, and the decrease in our Invidi Technologies Corporation investment, discussed below.</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60" w:right="239" w:hanging="7"/>
        <w:spacing w:after="0" w:line="247"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w:t>
      </w:r>
    </w:p>
    <w:p>
      <w:pPr>
        <w:spacing w:after="0" w:line="160" w:lineRule="exact"/>
        <w:rPr>
          <w:sz w:val="20"/>
          <w:szCs w:val="20"/>
          <w:color w:val="auto"/>
        </w:rPr>
      </w:pPr>
    </w:p>
    <w:p>
      <w:pPr>
        <w:ind w:left="60" w:right="219" w:hanging="7"/>
        <w:spacing w:after="0" w:line="259" w:lineRule="auto"/>
        <w:rPr>
          <w:sz w:val="20"/>
          <w:szCs w:val="20"/>
          <w:color w:val="auto"/>
        </w:rPr>
      </w:pPr>
      <w:r>
        <w:rPr>
          <w:rFonts w:ascii="Arial" w:cs="Arial" w:eastAsia="Arial" w:hAnsi="Arial"/>
          <w:sz w:val="17"/>
          <w:szCs w:val="17"/>
          <w:color w:val="auto"/>
        </w:rPr>
        <w:t>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Current Marketable Investment Securities </w:t>
      </w:r>
      <w:r>
        <w:rPr>
          <w:rFonts w:ascii="Arial" w:cs="Arial" w:eastAsia="Arial" w:hAnsi="Arial"/>
          <w:sz w:val="18"/>
          <w:szCs w:val="18"/>
          <w:color w:val="auto"/>
        </w:rPr>
        <w:t>–</w:t>
      </w:r>
      <w:r>
        <w:rPr>
          <w:rFonts w:ascii="Arial" w:cs="Arial" w:eastAsia="Arial" w:hAnsi="Arial"/>
          <w:sz w:val="18"/>
          <w:szCs w:val="18"/>
          <w:i w:val="1"/>
          <w:iCs w:val="1"/>
          <w:color w:val="auto"/>
        </w:rPr>
        <w:t xml:space="preserve"> Strategic</w:t>
      </w:r>
    </w:p>
    <w:p>
      <w:pPr>
        <w:spacing w:after="0" w:line="19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September 30, 2024,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96" w:lineRule="exact"/>
        <w:rPr>
          <w:sz w:val="20"/>
          <w:szCs w:val="20"/>
          <w:color w:val="auto"/>
        </w:rPr>
      </w:pPr>
    </w:p>
    <w:p>
      <w:pPr>
        <w:ind w:left="60" w:right="519"/>
        <w:spacing w:after="0" w:line="253" w:lineRule="auto"/>
        <w:rPr>
          <w:sz w:val="20"/>
          <w:szCs w:val="20"/>
          <w:color w:val="auto"/>
        </w:rPr>
      </w:pPr>
      <w:r>
        <w:rPr>
          <w:rFonts w:ascii="Arial" w:cs="Arial" w:eastAsia="Arial" w:hAnsi="Arial"/>
          <w:sz w:val="18"/>
          <w:szCs w:val="18"/>
          <w:color w:val="auto"/>
        </w:rPr>
        <w:t>Our current other marketable investment securities portfolio includes investments in various debt instruments including, among others, commercial paper, corporate securities and United States treasury and/or agency securities.</w:t>
      </w:r>
    </w:p>
    <w:p>
      <w:pPr>
        <w:spacing w:after="0" w:line="15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96" w:lineRule="exact"/>
        <w:rPr>
          <w:sz w:val="20"/>
          <w:szCs w:val="20"/>
          <w:color w:val="auto"/>
        </w:rPr>
      </w:pPr>
    </w:p>
    <w:p>
      <w:pPr>
        <w:ind w:left="60" w:right="139" w:hanging="7"/>
        <w:spacing w:after="0" w:line="253" w:lineRule="auto"/>
        <w:rPr>
          <w:sz w:val="20"/>
          <w:szCs w:val="20"/>
          <w:color w:val="auto"/>
        </w:rPr>
      </w:pPr>
      <w:r>
        <w:rPr>
          <w:rFonts w:ascii="Arial" w:cs="Arial" w:eastAsia="Arial" w:hAnsi="Arial"/>
          <w:sz w:val="18"/>
          <w:szCs w:val="18"/>
          <w:color w:val="auto"/>
        </w:rPr>
        <w:t>As of September 30, 2024 and December 31, 2023, our restricted marketable investment securities, together with our restricted cash and cash equivalents, included amounts required as collateral for our letters of credit, surety bonds and trusts.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i w:val="1"/>
          <w:iCs w:val="1"/>
          <w:color w:val="auto"/>
        </w:rPr>
        <w:t xml:space="preserve">Current restricted cash and cash equivalents. </w:t>
      </w:r>
      <w:r>
        <w:rPr>
          <w:rFonts w:ascii="Arial" w:cs="Arial" w:eastAsia="Arial" w:hAnsi="Arial"/>
          <w:sz w:val="18"/>
          <w:szCs w:val="18"/>
          <w:color w:val="auto"/>
        </w:rPr>
        <w:t>As of September 30, 2024, “Current restricted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on our Condensed Consolidated Balance Sheets includes $2.047 billion in proceeds received from the New DBS Financing, as detailed and defined in Note 8, which is required to be used for the redemption, repayment or repurchase of the principal balance and remaining interest outstanding on our 5 7/8% Senior Notes due November 15, 2024.</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ind w:left="60" w:right="419"/>
        <w:spacing w:after="0" w:line="259" w:lineRule="auto"/>
        <w:rPr>
          <w:sz w:val="20"/>
          <w:szCs w:val="20"/>
          <w:color w:val="auto"/>
        </w:rPr>
      </w:pPr>
      <w:r>
        <w:rPr>
          <w:rFonts w:ascii="Arial" w:cs="Arial" w:eastAsia="Arial" w:hAnsi="Arial"/>
          <w:sz w:val="17"/>
          <w:szCs w:val="17"/>
          <w:color w:val="auto"/>
        </w:rPr>
        <w:t>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52"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163"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i w:val="1"/>
          <w:iCs w:val="1"/>
          <w:color w:val="auto"/>
        </w:rPr>
        <w:t>Invidi Technologies Corporation</w:t>
      </w:r>
      <w:r>
        <w:rPr>
          <w:rFonts w:ascii="Arial" w:cs="Arial" w:eastAsia="Arial" w:hAnsi="Arial"/>
          <w:sz w:val="17"/>
          <w:szCs w:val="17"/>
          <w:color w:val="auto"/>
        </w:rPr>
        <w:t>. We own a 35% interest in Invidi Technologies Corporation (“Invidi”), an entity that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 During the three months ended</w:t>
      </w:r>
    </w:p>
    <w:p>
      <w:pPr>
        <w:ind w:left="60" w:right="59"/>
        <w:spacing w:after="0"/>
        <w:rPr>
          <w:sz w:val="20"/>
          <w:szCs w:val="20"/>
          <w:color w:val="auto"/>
        </w:rPr>
      </w:pPr>
      <w:r>
        <w:rPr>
          <w:rFonts w:ascii="Arial" w:cs="Arial" w:eastAsia="Arial" w:hAnsi="Arial"/>
          <w:sz w:val="18"/>
          <w:szCs w:val="18"/>
          <w:color w:val="auto"/>
        </w:rPr>
        <w:t>June 30, 2024, Invidi impaired the goodwill on their financial statements and our portion of this impairment resulted in a $63 million loss in “Equity in earnings (losses) of affiliates” recorded in “Other, net” on our Condensed Consolidated Statements of Operations and Comprehensive Income (Loss) during the nine months ended September 30, 2024.</w:t>
      </w:r>
    </w:p>
    <w:p>
      <w:pPr>
        <w:spacing w:after="0" w:line="167"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pacing w:after="0" w:line="138"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As of</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3"/>
                <w:szCs w:val="13"/>
                <w:b w:val="1"/>
                <w:bCs w:val="1"/>
                <w:color w:val="auto"/>
                <w:w w:val="97"/>
              </w:rPr>
              <w:t>September 30, 2024</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w w:val="97"/>
              </w:rPr>
              <w:t>December 31, 2023</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Level 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9"/>
              </w:rPr>
              <w:t>Level 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9"/>
              </w:rPr>
              <w:t>Level 2</w:t>
            </w:r>
          </w:p>
        </w:tc>
        <w:tc>
          <w:tcPr>
            <w:tcW w:w="14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4"/>
                <w:szCs w:val="14"/>
                <w:color w:val="auto"/>
              </w:rPr>
            </w:pPr>
          </w:p>
        </w:tc>
      </w:tr>
      <w:tr>
        <w:trPr>
          <w:trHeight w:val="169"/>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337"/>
              <w:spacing w:after="0"/>
              <w:rPr>
                <w:sz w:val="20"/>
                <w:szCs w:val="20"/>
                <w:color w:val="auto"/>
              </w:rPr>
            </w:pPr>
            <w:r>
              <w:rPr>
                <w:rFonts w:ascii="Arial" w:cs="Arial" w:eastAsia="Arial" w:hAnsi="Arial"/>
                <w:sz w:val="13"/>
                <w:szCs w:val="13"/>
                <w:color w:val="auto"/>
                <w:w w:val="98"/>
              </w:rPr>
              <w:t>(In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 (including restricted)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2,168,058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2,082,728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347,976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304,410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43,566</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43"/>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Debt securities (including restricted):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420" w:type="dxa"/>
            <w:vAlign w:val="bottom"/>
          </w:tcPr>
          <w:p>
            <w:pPr>
              <w:ind w:left="100"/>
              <w:spacing w:after="0"/>
              <w:rPr>
                <w:sz w:val="20"/>
                <w:szCs w:val="20"/>
                <w:color w:val="auto"/>
              </w:rPr>
            </w:pPr>
            <w:r>
              <w:rPr>
                <w:rFonts w:ascii="Arial" w:cs="Arial" w:eastAsia="Arial" w:hAnsi="Arial"/>
                <w:sz w:val="13"/>
                <w:szCs w:val="13"/>
                <w:color w:val="auto"/>
              </w:rPr>
              <w:t>U.S. Treasury and agency securities</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10,785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10,785</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7,567</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7,567</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9"/>
        </w:trPr>
        <w:tc>
          <w:tcPr>
            <w:tcW w:w="2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paper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89"/>
        </w:trPr>
        <w:tc>
          <w:tcPr>
            <w:tcW w:w="2420" w:type="dxa"/>
            <w:vAlign w:val="bottom"/>
          </w:tcPr>
          <w:p>
            <w:pPr>
              <w:ind w:left="100"/>
              <w:spacing w:after="0"/>
              <w:rPr>
                <w:sz w:val="20"/>
                <w:szCs w:val="20"/>
                <w:color w:val="auto"/>
              </w:rPr>
            </w:pPr>
            <w:r>
              <w:rPr>
                <w:rFonts w:ascii="Arial" w:cs="Arial" w:eastAsia="Arial" w:hAnsi="Arial"/>
                <w:sz w:val="13"/>
                <w:szCs w:val="13"/>
                <w:color w:val="auto"/>
              </w:rPr>
              <w:t>Corporate 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4,705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4,705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9"/>
        </w:trPr>
        <w:tc>
          <w:tcPr>
            <w:tcW w:w="2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60" w:type="dxa"/>
            <w:vAlign w:val="bottom"/>
            <w:shd w:val="clear" w:color="auto" w:fill="CCEEFF"/>
          </w:tcPr>
          <w:p>
            <w:pPr>
              <w:spacing w:after="0"/>
              <w:rPr>
                <w:sz w:val="16"/>
                <w:szCs w:val="16"/>
                <w:color w:val="auto"/>
              </w:rPr>
            </w:pPr>
          </w:p>
        </w:tc>
      </w:tr>
      <w:tr>
        <w:trPr>
          <w:trHeight w:val="189"/>
        </w:trPr>
        <w:tc>
          <w:tcPr>
            <w:tcW w:w="24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Equity 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7,799</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7,799</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6"/>
                <w:szCs w:val="16"/>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12,384</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60" w:type="dxa"/>
            <w:vAlign w:val="bottom"/>
            <w:shd w:val="clear" w:color="auto" w:fill="CCEEFF"/>
          </w:tcPr>
          <w:p>
            <w:pPr>
              <w:spacing w:after="0"/>
              <w:rPr>
                <w:sz w:val="13"/>
                <w:szCs w:val="13"/>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As of September 30, 2024, restricted and non-restricted marketable investment securities included debt securities of $11 million with contractual maturities within one year. Actual maturities may differ from contractual maturities as a result of our ability to sell these securities prior to maturity.</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had the option to purchase certain of T-Mobile’s 800 MHz spectrum licenses from T-Mobile at a fixed price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the License Purchase Agreement, as defined and detailed in our Annual Report on Form 10-K for</w:t>
      </w:r>
    </w:p>
    <w:p>
      <w:pPr>
        <w:ind w:left="60"/>
        <w:spacing w:after="0"/>
        <w:rPr>
          <w:sz w:val="20"/>
          <w:szCs w:val="20"/>
          <w:color w:val="auto"/>
        </w:rPr>
      </w:pPr>
      <w:r>
        <w:rPr>
          <w:rFonts w:ascii="Arial" w:cs="Arial" w:eastAsia="Arial" w:hAnsi="Arial"/>
          <w:sz w:val="17"/>
          <w:szCs w:val="17"/>
          <w:color w:val="auto"/>
        </w:rPr>
        <w:t>the year ended December 31, 2023. This instrument met the definition of a derivative and was valued based upon,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among other things, our estimate of the underlying asset price, the expected term, volatility, the risk free rate of</w:t>
      </w:r>
    </w:p>
    <w:p>
      <w:pPr>
        <w:ind w:left="60"/>
        <w:spacing w:after="0" w:line="234" w:lineRule="auto"/>
        <w:rPr>
          <w:sz w:val="20"/>
          <w:szCs w:val="20"/>
          <w:color w:val="auto"/>
        </w:rPr>
      </w:pPr>
      <w:r>
        <w:rPr>
          <w:rFonts w:ascii="Arial" w:cs="Arial" w:eastAsia="Arial" w:hAnsi="Arial"/>
          <w:sz w:val="18"/>
          <w:szCs w:val="18"/>
          <w:color w:val="auto"/>
        </w:rPr>
        <w:t>return and the probability of us exercising the option. We did not exercise the option to purchase the 800 MHz</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spectrum licenses pursuant to the License Purchase Agreement, which expired on its own terms on April 1, 2024.</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2023, the derivative’s fair value was zero on our Condensed Consolidated Balance Sheets.</w:t>
      </w:r>
    </w:p>
    <w:p>
      <w:pPr>
        <w:ind w:left="60"/>
        <w:spacing w:after="0"/>
        <w:rPr>
          <w:sz w:val="20"/>
          <w:szCs w:val="20"/>
          <w:color w:val="auto"/>
        </w:rPr>
      </w:pPr>
      <w:r>
        <w:rPr>
          <w:rFonts w:ascii="Arial" w:cs="Arial" w:eastAsia="Arial" w:hAnsi="Arial"/>
          <w:sz w:val="17"/>
          <w:szCs w:val="17"/>
          <w:color w:val="auto"/>
        </w:rPr>
        <w:t>All changes in the derivative’s fair value were recorded in “Other, net” on our Condensed Consolidated Statements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 Operations and Comprehensive Income (Loss). See the table below.</w:t>
      </w:r>
    </w:p>
    <w:p>
      <w:pPr>
        <w:spacing w:after="0" w:line="140" w:lineRule="exact"/>
        <w:rPr>
          <w:sz w:val="20"/>
          <w:szCs w:val="20"/>
          <w:color w:val="auto"/>
        </w:rPr>
      </w:pPr>
    </w:p>
    <w:p>
      <w:pPr>
        <w:ind w:left="60" w:right="699" w:hanging="7"/>
        <w:spacing w:after="0" w:line="271" w:lineRule="auto"/>
        <w:rPr>
          <w:sz w:val="20"/>
          <w:szCs w:val="20"/>
          <w:color w:val="auto"/>
        </w:rPr>
      </w:pPr>
      <w:r>
        <w:rPr>
          <w:rFonts w:ascii="Arial" w:cs="Arial" w:eastAsia="Arial" w:hAnsi="Arial"/>
          <w:sz w:val="18"/>
          <w:szCs w:val="18"/>
          <w:color w:val="auto"/>
        </w:rPr>
        <w:t>We accounted for our option to purchase certain T-Mobile’s 800 MHz spectrum licenses under the License Purchase Agreement as a Level 3 instrument within the fair value hierarchy.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5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“Other, net” within “Other Income (Expense)” included on our Condensed Consolidated Statements of Operations and Comprehensive Income (Loss) is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2380" w:type="dxa"/>
            <w:vAlign w:val="bottom"/>
            <w:gridSpan w:val="7"/>
          </w:tcPr>
          <w:p>
            <w:pPr>
              <w:ind w:left="2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3900" w:type="dxa"/>
            <w:vAlign w:val="bottom"/>
            <w:vMerge w:val="restart"/>
          </w:tcPr>
          <w:p>
            <w:pPr>
              <w:spacing w:after="0"/>
              <w:rPr>
                <w:sz w:val="20"/>
                <w:szCs w:val="20"/>
                <w:color w:val="auto"/>
              </w:rPr>
            </w:pPr>
            <w:r>
              <w:rPr>
                <w:rFonts w:ascii="Arial" w:cs="Arial" w:eastAsia="Arial" w:hAnsi="Arial"/>
                <w:sz w:val="16"/>
                <w:szCs w:val="16"/>
                <w:b w:val="1"/>
                <w:bCs w:val="1"/>
                <w:color w:val="auto"/>
              </w:rPr>
              <w:t>Other,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6"/>
          </w:tcPr>
          <w:p>
            <w:pPr>
              <w:ind w:left="3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4"/>
          </w:tcPr>
          <w:p>
            <w:pPr>
              <w:jc w:val="right"/>
              <w:ind w:right="53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Marketable and non-marketable investment securities</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 realized and unrealized gains (losses)</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Sale of Assets to EchoStar - realized gains (losses)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128,788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Derivative instruments - net realized and/or unrealized</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gains (losses)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(155,133)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(192,107)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Gains (losses) related to early redemption of debt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4,480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72,566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(losses) of affiliates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Liberty Puerto Rico Asset Sale (Note 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21,310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21,310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18,019</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(151,497)</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80,884</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(120,726)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3540" w:type="dxa"/>
            <w:vAlign w:val="bottom"/>
          </w:tcPr>
          <w:p>
            <w:pPr>
              <w:ind w:left="260"/>
              <w:spacing w:after="0"/>
              <w:rPr>
                <w:sz w:val="20"/>
                <w:szCs w:val="20"/>
                <w:color w:val="auto"/>
              </w:rPr>
            </w:pPr>
            <w:r>
              <w:rPr>
                <w:rFonts w:ascii="Arial" w:cs="Arial" w:eastAsia="Arial" w:hAnsi="Arial"/>
                <w:sz w:val="18"/>
                <w:szCs w:val="18"/>
                <w:b w:val="1"/>
                <w:bCs w:val="1"/>
                <w:color w:val="auto"/>
              </w:rPr>
              <w:t>Inventory</w:t>
            </w: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56"/>
        </w:trPr>
        <w:tc>
          <w:tcPr>
            <w:tcW w:w="3920" w:type="dxa"/>
            <w:vAlign w:val="bottom"/>
            <w:gridSpan w:val="2"/>
          </w:tcPr>
          <w:p>
            <w:pPr>
              <w:spacing w:after="0"/>
              <w:rPr>
                <w:sz w:val="20"/>
                <w:szCs w:val="20"/>
                <w:color w:val="auto"/>
              </w:rPr>
            </w:pPr>
            <w:r>
              <w:rPr>
                <w:rFonts w:ascii="Arial" w:cs="Arial" w:eastAsia="Arial" w:hAnsi="Arial"/>
                <w:sz w:val="18"/>
                <w:szCs w:val="18"/>
                <w:color w:val="auto"/>
              </w:rPr>
              <w:t>Inventory consisted of the following: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1"/>
        </w:trPr>
        <w:tc>
          <w:tcPr>
            <w:tcW w:w="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5"/>
                <w:szCs w:val="15"/>
                <w:color w:val="auto"/>
              </w:rPr>
            </w:pPr>
          </w:p>
        </w:tc>
      </w:tr>
      <w:tr>
        <w:trPr>
          <w:trHeight w:val="203"/>
        </w:trPr>
        <w:tc>
          <w:tcPr>
            <w:tcW w:w="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169"/>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4"/>
          </w:tcPr>
          <w:p>
            <w:pPr>
              <w:jc w:val="right"/>
              <w:ind w:right="1299"/>
              <w:spacing w:after="0" w:line="169"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4"/>
                <w:szCs w:val="14"/>
                <w:color w:val="auto"/>
              </w:rPr>
            </w:pPr>
          </w:p>
        </w:tc>
      </w:tr>
      <w:tr>
        <w:trPr>
          <w:trHeight w:val="189"/>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34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221,254</w:t>
            </w:r>
          </w:p>
        </w:tc>
        <w:tc>
          <w:tcPr>
            <w:tcW w:w="4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407,620</w:t>
            </w:r>
          </w:p>
        </w:tc>
        <w:tc>
          <w:tcPr>
            <w:tcW w:w="60" w:type="dxa"/>
            <w:vAlign w:val="bottom"/>
            <w:shd w:val="clear" w:color="auto" w:fill="CCEEFF"/>
          </w:tcPr>
          <w:p>
            <w:pPr>
              <w:spacing w:after="0"/>
              <w:rPr>
                <w:sz w:val="16"/>
                <w:szCs w:val="16"/>
                <w:color w:val="auto"/>
              </w:rPr>
            </w:pPr>
          </w:p>
        </w:tc>
      </w:tr>
      <w:tr>
        <w:trPr>
          <w:trHeight w:val="189"/>
        </w:trPr>
        <w:tc>
          <w:tcPr>
            <w:tcW w:w="3920" w:type="dxa"/>
            <w:vAlign w:val="bottom"/>
            <w:gridSpan w:val="2"/>
          </w:tcPr>
          <w:p>
            <w:pPr>
              <w:spacing w:after="0"/>
              <w:rPr>
                <w:sz w:val="20"/>
                <w:szCs w:val="20"/>
                <w:color w:val="auto"/>
              </w:rPr>
            </w:pPr>
            <w:r>
              <w:rPr>
                <w:rFonts w:ascii="Arial" w:cs="Arial" w:eastAsia="Arial" w:hAnsi="Arial"/>
                <w:sz w:val="16"/>
                <w:szCs w:val="16"/>
                <w:color w:val="auto"/>
              </w:rPr>
              <w:t>Work-in-process and service repairs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31,194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35,464</w:t>
            </w:r>
          </w:p>
        </w:tc>
        <w:tc>
          <w:tcPr>
            <w:tcW w:w="60" w:type="dxa"/>
            <w:vAlign w:val="bottom"/>
          </w:tcPr>
          <w:p>
            <w:pPr>
              <w:spacing w:after="0"/>
              <w:rPr>
                <w:sz w:val="16"/>
                <w:szCs w:val="16"/>
                <w:color w:val="auto"/>
              </w:rPr>
            </w:pPr>
          </w:p>
        </w:tc>
      </w:tr>
      <w:tr>
        <w:trPr>
          <w:trHeight w:val="189"/>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Consignment</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47,723</w:t>
            </w:r>
          </w:p>
        </w:tc>
        <w:tc>
          <w:tcPr>
            <w:tcW w:w="60" w:type="dxa"/>
            <w:vAlign w:val="bottom"/>
            <w:shd w:val="clear" w:color="auto" w:fill="CCEEFF"/>
          </w:tcPr>
          <w:p>
            <w:pPr>
              <w:spacing w:after="0"/>
              <w:rPr>
                <w:sz w:val="16"/>
                <w:szCs w:val="16"/>
                <w:color w:val="auto"/>
              </w:rPr>
            </w:pPr>
          </w:p>
        </w:tc>
      </w:tr>
      <w:tr>
        <w:trPr>
          <w:trHeight w:val="189"/>
        </w:trPr>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Raw materials</w:t>
            </w:r>
          </w:p>
        </w:tc>
        <w:tc>
          <w:tcPr>
            <w:tcW w:w="1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w:t>
            </w:r>
          </w:p>
        </w:tc>
        <w:tc>
          <w:tcPr>
            <w:tcW w:w="60" w:type="dxa"/>
            <w:vAlign w:val="bottom"/>
            <w:tcBorders>
              <w:bottom w:val="single" w:sz="8" w:color="CCEEFF"/>
            </w:tcBorders>
          </w:tcPr>
          <w:p>
            <w:pPr>
              <w:spacing w:after="0"/>
              <w:rPr>
                <w:sz w:val="16"/>
                <w:szCs w:val="16"/>
                <w:color w:val="auto"/>
              </w:rPr>
            </w:pPr>
          </w:p>
        </w:tc>
      </w:tr>
      <w:tr>
        <w:trPr>
          <w:trHeight w:val="183"/>
        </w:trPr>
        <w:tc>
          <w:tcPr>
            <w:tcW w:w="39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inventory</w:t>
            </w:r>
          </w:p>
        </w:tc>
        <w:tc>
          <w:tcPr>
            <w:tcW w:w="1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268,653</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497,058</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700" w:hanging="650"/>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Intangible Assets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consisted of the following:</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Depreciable</w:t>
            </w:r>
          </w:p>
        </w:tc>
        <w:tc>
          <w:tcPr>
            <w:tcW w:w="240" w:type="dxa"/>
            <w:vAlign w:val="bottom"/>
          </w:tcPr>
          <w:p>
            <w:pPr>
              <w:spacing w:after="0"/>
              <w:rPr>
                <w:sz w:val="18"/>
                <w:szCs w:val="18"/>
                <w:color w:val="auto"/>
              </w:rPr>
            </w:pPr>
          </w:p>
        </w:tc>
        <w:tc>
          <w:tcPr>
            <w:tcW w:w="2480" w:type="dxa"/>
            <w:vAlign w:val="bottom"/>
            <w:gridSpan w:val="5"/>
          </w:tcPr>
          <w:p>
            <w:pPr>
              <w:ind w:left="900"/>
              <w:spacing w:after="0"/>
              <w:rPr>
                <w:sz w:val="20"/>
                <w:szCs w:val="20"/>
                <w:color w:val="auto"/>
              </w:rPr>
            </w:pPr>
            <w:r>
              <w:rPr>
                <w:rFonts w:ascii="Arial" w:cs="Arial" w:eastAsia="Arial" w:hAnsi="Arial"/>
                <w:sz w:val="16"/>
                <w:szCs w:val="16"/>
                <w:b w:val="1"/>
                <w:bCs w:val="1"/>
                <w:color w:val="auto"/>
              </w:rPr>
              <w:t>As of</w:t>
            </w:r>
          </w:p>
        </w:tc>
      </w:tr>
      <w:tr>
        <w:trPr>
          <w:trHeight w:val="175"/>
        </w:trPr>
        <w:tc>
          <w:tcPr>
            <w:tcW w:w="4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8"/>
              </w:rPr>
              <w:t>Life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Borders>
              <w:top w:val="single" w:sz="8" w:color="auto"/>
            </w:tcBorders>
            <w:gridSpan w:val="3"/>
          </w:tcPr>
          <w:p>
            <w:pPr>
              <w:jc w:val="right"/>
              <w:ind w:right="240"/>
              <w:spacing w:after="0" w:line="175" w:lineRule="exact"/>
              <w:rPr>
                <w:sz w:val="20"/>
                <w:szCs w:val="20"/>
                <w:color w:val="auto"/>
              </w:rPr>
            </w:pPr>
            <w:r>
              <w:rPr>
                <w:rFonts w:ascii="Arial" w:cs="Arial" w:eastAsia="Arial" w:hAnsi="Arial"/>
                <w:sz w:val="16"/>
                <w:szCs w:val="16"/>
                <w:b w:val="1"/>
                <w:bCs w:val="1"/>
                <w:color w:val="auto"/>
              </w:rPr>
              <w:t>September 30,</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9"/>
              <w:spacing w:after="0" w:line="175" w:lineRule="exact"/>
              <w:rPr>
                <w:sz w:val="20"/>
                <w:szCs w:val="20"/>
                <w:color w:val="auto"/>
              </w:rPr>
            </w:pPr>
            <w:r>
              <w:rPr>
                <w:rFonts w:ascii="Arial" w:cs="Arial" w:eastAsia="Arial" w:hAnsi="Arial"/>
                <w:sz w:val="16"/>
                <w:szCs w:val="16"/>
                <w:b w:val="1"/>
                <w:bCs w:val="1"/>
                <w:color w:val="auto"/>
                <w:w w:val="99"/>
              </w:rPr>
              <w:t>December 31,</w:t>
            </w:r>
          </w:p>
        </w:tc>
        <w:tc>
          <w:tcPr>
            <w:tcW w:w="40" w:type="dxa"/>
            <w:vAlign w:val="bottom"/>
          </w:tcPr>
          <w:p>
            <w:pPr>
              <w:spacing w:after="0"/>
              <w:rPr>
                <w:sz w:val="15"/>
                <w:szCs w:val="15"/>
                <w:color w:val="auto"/>
              </w:rPr>
            </w:pPr>
          </w:p>
        </w:tc>
      </w:tr>
      <w:tr>
        <w:trPr>
          <w:trHeight w:val="203"/>
        </w:trPr>
        <w:tc>
          <w:tcPr>
            <w:tcW w:w="4980" w:type="dxa"/>
            <w:vAlign w:val="bottom"/>
          </w:tcPr>
          <w:p>
            <w:pPr>
              <w:spacing w:after="0"/>
              <w:rPr>
                <w:sz w:val="17"/>
                <w:szCs w:val="17"/>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7"/>
                <w:szCs w:val="17"/>
                <w:color w:val="auto"/>
              </w:rPr>
            </w:pPr>
          </w:p>
        </w:tc>
      </w:tr>
      <w:tr>
        <w:trPr>
          <w:trHeight w:val="169"/>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right"/>
              <w:ind w:right="739"/>
              <w:spacing w:after="0" w:line="169"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4"/>
                <w:szCs w:val="14"/>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1,044,268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1,181,193</w:t>
            </w:r>
          </w:p>
        </w:tc>
        <w:tc>
          <w:tcPr>
            <w:tcW w:w="40" w:type="dxa"/>
            <w:vAlign w:val="bottom"/>
            <w:shd w:val="clear" w:color="auto" w:fill="CCEEFF"/>
          </w:tcPr>
          <w:p>
            <w:pPr>
              <w:spacing w:after="0"/>
              <w:rPr>
                <w:sz w:val="16"/>
                <w:szCs w:val="16"/>
                <w:color w:val="auto"/>
              </w:rPr>
            </w:pPr>
          </w:p>
        </w:tc>
      </w:tr>
      <w:tr>
        <w:trPr>
          <w:trHeight w:val="189"/>
        </w:trPr>
        <w:tc>
          <w:tcPr>
            <w:tcW w:w="4980" w:type="dxa"/>
            <w:vAlign w:val="bottom"/>
          </w:tcPr>
          <w:p>
            <w:pPr>
              <w:ind w:left="20"/>
              <w:spacing w:after="0"/>
              <w:rPr>
                <w:sz w:val="20"/>
                <w:szCs w:val="20"/>
                <w:color w:val="auto"/>
              </w:rPr>
            </w:pPr>
            <w:r>
              <w:rPr>
                <w:rFonts w:ascii="Arial" w:cs="Arial" w:eastAsia="Arial" w:hAnsi="Arial"/>
                <w:sz w:val="16"/>
                <w:szCs w:val="16"/>
                <w:color w:val="auto"/>
              </w:rPr>
              <w:t>Satellites</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1,718,865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1,718,865</w:t>
            </w:r>
          </w:p>
        </w:tc>
        <w:tc>
          <w:tcPr>
            <w:tcW w:w="40" w:type="dxa"/>
            <w:vAlign w:val="bottom"/>
          </w:tcPr>
          <w:p>
            <w:pPr>
              <w:spacing w:after="0"/>
              <w:rPr>
                <w:sz w:val="16"/>
                <w:szCs w:val="16"/>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Satellites acquired under finance lease agreements</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344,447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344,447</w:t>
            </w:r>
          </w:p>
        </w:tc>
        <w:tc>
          <w:tcPr>
            <w:tcW w:w="40" w:type="dxa"/>
            <w:vAlign w:val="bottom"/>
            <w:shd w:val="clear" w:color="auto" w:fill="CCEEFF"/>
          </w:tcPr>
          <w:p>
            <w:pPr>
              <w:spacing w:after="0"/>
              <w:rPr>
                <w:sz w:val="16"/>
                <w:szCs w:val="16"/>
                <w:color w:val="auto"/>
              </w:rPr>
            </w:pPr>
          </w:p>
        </w:tc>
      </w:tr>
      <w:tr>
        <w:trPr>
          <w:trHeight w:val="189"/>
        </w:trPr>
        <w:tc>
          <w:tcPr>
            <w:tcW w:w="4980" w:type="dxa"/>
            <w:vAlign w:val="bottom"/>
          </w:tcPr>
          <w:p>
            <w:pPr>
              <w:ind w:left="20"/>
              <w:spacing w:after="0"/>
              <w:rPr>
                <w:sz w:val="20"/>
                <w:szCs w:val="20"/>
                <w:color w:val="auto"/>
              </w:rPr>
            </w:pPr>
            <w:r>
              <w:rPr>
                <w:rFonts w:ascii="Arial" w:cs="Arial" w:eastAsia="Arial" w:hAnsi="Arial"/>
                <w:sz w:val="16"/>
                <w:szCs w:val="16"/>
                <w:color w:val="auto"/>
              </w:rPr>
              <w:t>Furniture, fixtures, equipment and other (1)</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799,644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908,924</w:t>
            </w:r>
          </w:p>
        </w:tc>
        <w:tc>
          <w:tcPr>
            <w:tcW w:w="40" w:type="dxa"/>
            <w:vAlign w:val="bottom"/>
          </w:tcPr>
          <w:p>
            <w:pPr>
              <w:spacing w:after="0"/>
              <w:rPr>
                <w:sz w:val="16"/>
                <w:szCs w:val="16"/>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 equipment (2)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4,860,116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4,263,327</w:t>
            </w:r>
          </w:p>
        </w:tc>
        <w:tc>
          <w:tcPr>
            <w:tcW w:w="40" w:type="dxa"/>
            <w:vAlign w:val="bottom"/>
            <w:shd w:val="clear" w:color="auto" w:fill="CCEEFF"/>
          </w:tcPr>
          <w:p>
            <w:pPr>
              <w:spacing w:after="0"/>
              <w:rPr>
                <w:sz w:val="16"/>
                <w:szCs w:val="16"/>
                <w:color w:val="auto"/>
              </w:rPr>
            </w:pPr>
          </w:p>
        </w:tc>
      </w:tr>
      <w:tr>
        <w:trPr>
          <w:trHeight w:val="189"/>
        </w:trPr>
        <w:tc>
          <w:tcPr>
            <w:tcW w:w="4980" w:type="dxa"/>
            <w:vAlign w:val="bottom"/>
          </w:tcPr>
          <w:p>
            <w:pPr>
              <w:ind w:left="20"/>
              <w:spacing w:after="0"/>
              <w:rPr>
                <w:sz w:val="20"/>
                <w:szCs w:val="20"/>
                <w:color w:val="auto"/>
              </w:rPr>
            </w:pPr>
            <w:r>
              <w:rPr>
                <w:rFonts w:ascii="Arial" w:cs="Arial" w:eastAsia="Arial" w:hAnsi="Arial"/>
                <w:sz w:val="16"/>
                <w:szCs w:val="16"/>
                <w:color w:val="auto"/>
              </w:rPr>
              <w:t>Software and computer equipment</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2,347,536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2,111,305</w:t>
            </w:r>
          </w:p>
        </w:tc>
        <w:tc>
          <w:tcPr>
            <w:tcW w:w="40" w:type="dxa"/>
            <w:vAlign w:val="bottom"/>
          </w:tcPr>
          <w:p>
            <w:pPr>
              <w:spacing w:after="0"/>
              <w:rPr>
                <w:sz w:val="16"/>
                <w:szCs w:val="16"/>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 (1)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334,017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381,757</w:t>
            </w:r>
          </w:p>
        </w:tc>
        <w:tc>
          <w:tcPr>
            <w:tcW w:w="40" w:type="dxa"/>
            <w:vAlign w:val="bottom"/>
            <w:shd w:val="clear" w:color="auto" w:fill="CCEEFF"/>
          </w:tcPr>
          <w:p>
            <w:pPr>
              <w:spacing w:after="0"/>
              <w:rPr>
                <w:sz w:val="16"/>
                <w:szCs w:val="16"/>
                <w:color w:val="auto"/>
              </w:rPr>
            </w:pPr>
          </w:p>
        </w:tc>
      </w:tr>
      <w:tr>
        <w:trPr>
          <w:trHeight w:val="189"/>
        </w:trPr>
        <w:tc>
          <w:tcPr>
            <w:tcW w:w="4980" w:type="dxa"/>
            <w:vAlign w:val="bottom"/>
          </w:tcPr>
          <w:p>
            <w:pPr>
              <w:ind w:left="20"/>
              <w:spacing w:after="0"/>
              <w:rPr>
                <w:sz w:val="20"/>
                <w:szCs w:val="20"/>
                <w:color w:val="auto"/>
              </w:rPr>
            </w:pPr>
            <w:r>
              <w:rPr>
                <w:rFonts w:ascii="Arial" w:cs="Arial" w:eastAsia="Arial" w:hAnsi="Arial"/>
                <w:sz w:val="16"/>
                <w:szCs w:val="16"/>
                <w:color w:val="auto"/>
              </w:rPr>
              <w:t>Land (1)</w:t>
            </w:r>
          </w:p>
        </w:tc>
        <w:tc>
          <w:tcPr>
            <w:tcW w:w="2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12,041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17,513</w:t>
            </w:r>
          </w:p>
        </w:tc>
        <w:tc>
          <w:tcPr>
            <w:tcW w:w="40" w:type="dxa"/>
            <w:vAlign w:val="bottom"/>
          </w:tcPr>
          <w:p>
            <w:pPr>
              <w:spacing w:after="0"/>
              <w:rPr>
                <w:sz w:val="16"/>
                <w:szCs w:val="16"/>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1,833,073</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1,802,000</w:t>
            </w:r>
          </w:p>
        </w:tc>
        <w:tc>
          <w:tcPr>
            <w:tcW w:w="40" w:type="dxa"/>
            <w:vAlign w:val="bottom"/>
            <w:shd w:val="clear" w:color="auto" w:fill="CCEEFF"/>
          </w:tcPr>
          <w:p>
            <w:pPr>
              <w:spacing w:after="0"/>
              <w:rPr>
                <w:sz w:val="16"/>
                <w:szCs w:val="16"/>
                <w:color w:val="auto"/>
              </w:rPr>
            </w:pPr>
          </w:p>
        </w:tc>
      </w:tr>
      <w:tr>
        <w:trPr>
          <w:trHeight w:val="183"/>
        </w:trPr>
        <w:tc>
          <w:tcPr>
            <w:tcW w:w="49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13,294,007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12,729,331</w:t>
            </w:r>
          </w:p>
        </w:tc>
        <w:tc>
          <w:tcPr>
            <w:tcW w:w="40" w:type="dxa"/>
            <w:vAlign w:val="bottom"/>
          </w:tcPr>
          <w:p>
            <w:pPr>
              <w:spacing w:after="0"/>
              <w:rPr>
                <w:sz w:val="15"/>
                <w:szCs w:val="15"/>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(6,036,386)</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(5,327,384)</w:t>
            </w:r>
          </w:p>
        </w:tc>
      </w:tr>
      <w:tr>
        <w:trPr>
          <w:trHeight w:val="183"/>
        </w:trPr>
        <w:tc>
          <w:tcPr>
            <w:tcW w:w="49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7,257,621</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7,401,947</w:t>
            </w:r>
          </w:p>
        </w:tc>
        <w:tc>
          <w:tcPr>
            <w:tcW w:w="4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799" w:hanging="330"/>
        <w:spacing w:after="0" w:line="245"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change primarily relates to the Sale and Transfer of Assets to EchoStar. See Note 1 for further information.</w:t>
      </w: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5G Network Deployment assets acquired under finance lease agreements.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9"/>
              </w:rPr>
              <w:t>For the Nine Months Ended</w:t>
            </w:r>
          </w:p>
        </w:tc>
      </w:tr>
      <w:tr>
        <w:trPr>
          <w:trHeight w:val="210"/>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r>
      <w:tr>
        <w:trPr>
          <w:trHeight w:val="169"/>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61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Equipment leased to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38,489</w:t>
            </w:r>
          </w:p>
        </w:tc>
        <w:tc>
          <w:tcPr>
            <w:tcW w:w="4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110,062</w:t>
            </w:r>
          </w:p>
        </w:tc>
        <w:tc>
          <w:tcPr>
            <w:tcW w:w="4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126,073</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Satellites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32,384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32,956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98,295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101,993</w:t>
            </w: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Buildings, furniture, fixtures, equipment and other</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47,506</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5G Network Deployment equipment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187,281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94,204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533,575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231,085</w:t>
            </w: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Software and computer equipment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86,316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65,069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254,830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164,053</w:t>
            </w:r>
          </w:p>
        </w:tc>
      </w:tr>
      <w:tr>
        <w:trPr>
          <w:trHeight w:val="189"/>
        </w:trPr>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Intangible assets and other amortization expense</w:t>
            </w:r>
          </w:p>
        </w:tc>
        <w:tc>
          <w:tcPr>
            <w:tcW w:w="2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7,337</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44,907</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92,102</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135,794</w:t>
            </w:r>
          </w:p>
        </w:tc>
      </w:tr>
      <w:tr>
        <w:trPr>
          <w:trHeight w:val="183"/>
        </w:trPr>
        <w:tc>
          <w:tcPr>
            <w:tcW w:w="37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depreciation and amortization</w:t>
            </w: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364,199</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294,797</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1,122,383</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806,504</w:t>
            </w:r>
          </w:p>
        </w:tc>
      </w:tr>
      <w:tr>
        <w:trPr>
          <w:trHeight w:val="20"/>
        </w:trPr>
        <w:tc>
          <w:tcPr>
            <w:tcW w:w="3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Deployment equipment and software.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Activity relating to our asset retirement obligations was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6"/>
                <w:szCs w:val="16"/>
                <w:color w:val="auto"/>
              </w:rPr>
            </w:pPr>
          </w:p>
        </w:tc>
        <w:tc>
          <w:tcPr>
            <w:tcW w:w="24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24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36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69"/>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639"/>
              <w:spacing w:after="0" w:line="169"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300,475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246,656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278,287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183,135</w:t>
            </w: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Liabilities incurred</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5,051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11,229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14,010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65,580</w:t>
            </w: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14,835</w:t>
            </w: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Revision to estimated cash flows</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6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312,640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263,550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312,640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263,550</w:t>
            </w: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3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83"/>
        </w:trPr>
        <w:tc>
          <w:tcPr>
            <w:tcW w:w="366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included in Other long-term liabilities</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312,640</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263,550</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312,640</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263,550</w:t>
            </w: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corresponding assets, net of accumulated depreciation, related to asset retirement obligations were $215 million and $217 million as of September 30, 2024 and December 31, 2023, respectively.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w:t>
      </w:r>
    </w:p>
    <w:p>
      <w:pPr>
        <w:spacing w:after="0" w:line="19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b w:val="1"/>
          <w:bCs w:val="1"/>
          <w:i w:val="1"/>
          <w:iCs w:val="1"/>
          <w:color w:val="auto"/>
        </w:rPr>
        <w:t>Pay-TV Segment</w:t>
      </w:r>
      <w:r>
        <w:rPr>
          <w:rFonts w:ascii="Arial" w:cs="Arial" w:eastAsia="Arial" w:hAnsi="Arial"/>
          <w:sz w:val="18"/>
          <w:szCs w:val="18"/>
          <w:color w:val="auto"/>
        </w:rPr>
        <w:t>. Our Pay-TV segment currently utilizes nine satellites in geostationary orbit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22,300 miles above the equator, seven of which we own and depreciate over their estimated useful life. We also lease two satellites from third parties: Anik F3, which is accounted for as an operating lease, and Nimiq 5, which is accounted for as a finance lease and is depreciated over its economic life.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2024, our Pay-TV segment satellite fleet in service consisted of the following:</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Degree</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Launch</w:t>
            </w: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Orbital</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3240" w:type="dxa"/>
            <w:vAlign w:val="bottom"/>
            <w:gridSpan w:val="2"/>
          </w:tcPr>
          <w:p>
            <w:pPr>
              <w:ind w:left="20"/>
              <w:spacing w:after="0"/>
              <w:rPr>
                <w:sz w:val="20"/>
                <w:szCs w:val="20"/>
                <w:color w:val="auto"/>
              </w:rPr>
            </w:pPr>
            <w:r>
              <w:rPr>
                <w:rFonts w:ascii="Arial" w:cs="Arial" w:eastAsia="Arial" w:hAnsi="Arial"/>
                <w:sz w:val="16"/>
                <w:szCs w:val="16"/>
                <w:b w:val="1"/>
                <w:bCs w:val="1"/>
                <w:color w:val="auto"/>
              </w:rPr>
              <w:t>Satellites</w:t>
            </w:r>
          </w:p>
        </w:tc>
        <w:tc>
          <w:tcPr>
            <w:tcW w:w="2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Date</w:t>
            </w: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Location</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183"/>
        </w:trPr>
        <w:tc>
          <w:tcPr>
            <w:tcW w:w="304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0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w:t>
            </w:r>
          </w:p>
        </w:tc>
        <w:tc>
          <w:tcPr>
            <w:tcW w:w="2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February 2006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XI</w:t>
            </w:r>
          </w:p>
        </w:tc>
        <w:tc>
          <w:tcPr>
            <w:tcW w:w="2220" w:type="dxa"/>
            <w:vAlign w:val="bottom"/>
            <w:gridSpan w:val="2"/>
          </w:tcPr>
          <w:p>
            <w:pPr>
              <w:jc w:val="center"/>
              <w:ind w:right="200"/>
              <w:spacing w:after="0"/>
              <w:rPr>
                <w:sz w:val="20"/>
                <w:szCs w:val="20"/>
                <w:color w:val="auto"/>
              </w:rPr>
            </w:pPr>
            <w:r>
              <w:rPr>
                <w:rFonts w:ascii="Arial" w:cs="Arial" w:eastAsia="Arial" w:hAnsi="Arial"/>
                <w:sz w:val="16"/>
                <w:szCs w:val="16"/>
                <w:color w:val="auto"/>
              </w:rPr>
              <w:t>July 2008</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XIV</w:t>
            </w:r>
          </w:p>
        </w:tc>
        <w:tc>
          <w:tcPr>
            <w:tcW w:w="2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March 2010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119</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XV</w:t>
            </w:r>
          </w:p>
        </w:tc>
        <w:tc>
          <w:tcPr>
            <w:tcW w:w="2220" w:type="dxa"/>
            <w:vAlign w:val="bottom"/>
            <w:gridSpan w:val="2"/>
          </w:tcPr>
          <w:p>
            <w:pPr>
              <w:jc w:val="center"/>
              <w:ind w:right="200"/>
              <w:spacing w:after="0"/>
              <w:rPr>
                <w:sz w:val="20"/>
                <w:szCs w:val="20"/>
                <w:color w:val="auto"/>
              </w:rPr>
            </w:pPr>
            <w:r>
              <w:rPr>
                <w:rFonts w:ascii="Arial" w:cs="Arial" w:eastAsia="Arial" w:hAnsi="Arial"/>
                <w:sz w:val="16"/>
                <w:szCs w:val="16"/>
                <w:color w:val="auto"/>
              </w:rPr>
              <w:t>July 2010</w:t>
            </w:r>
          </w:p>
        </w:tc>
        <w:tc>
          <w:tcPr>
            <w:tcW w:w="1020" w:type="dxa"/>
            <w:vAlign w:val="bottom"/>
          </w:tcPr>
          <w:p>
            <w:pPr>
              <w:jc w:val="center"/>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XVI</w:t>
            </w:r>
          </w:p>
        </w:tc>
        <w:tc>
          <w:tcPr>
            <w:tcW w:w="22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November 2012</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61.5</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XVIII</w:t>
            </w:r>
          </w:p>
        </w:tc>
        <w:tc>
          <w:tcPr>
            <w:tcW w:w="2220" w:type="dxa"/>
            <w:vAlign w:val="bottom"/>
            <w:gridSpan w:val="2"/>
          </w:tcPr>
          <w:p>
            <w:pPr>
              <w:jc w:val="center"/>
              <w:ind w:right="180"/>
              <w:spacing w:after="0"/>
              <w:rPr>
                <w:sz w:val="20"/>
                <w:szCs w:val="20"/>
                <w:color w:val="auto"/>
              </w:rPr>
            </w:pPr>
            <w:r>
              <w:rPr>
                <w:rFonts w:ascii="Arial" w:cs="Arial" w:eastAsia="Arial" w:hAnsi="Arial"/>
                <w:sz w:val="16"/>
                <w:szCs w:val="16"/>
                <w:color w:val="auto"/>
              </w:rPr>
              <w:t>June 2016</w:t>
            </w:r>
          </w:p>
        </w:tc>
        <w:tc>
          <w:tcPr>
            <w:tcW w:w="1020" w:type="dxa"/>
            <w:vAlign w:val="bottom"/>
          </w:tcPr>
          <w:p>
            <w:pPr>
              <w:jc w:val="center"/>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XXIII</w:t>
            </w:r>
          </w:p>
        </w:tc>
        <w:tc>
          <w:tcPr>
            <w:tcW w:w="22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March 2017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Under Construction:</w:t>
            </w:r>
          </w:p>
        </w:tc>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EchoStar XXV</w:t>
            </w:r>
          </w:p>
        </w:tc>
        <w:tc>
          <w:tcPr>
            <w:tcW w:w="2040" w:type="dxa"/>
            <w:vAlign w:val="bottom"/>
          </w:tcPr>
          <w:p>
            <w:pPr>
              <w:jc w:val="center"/>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Anik F3</w:t>
            </w:r>
          </w:p>
        </w:tc>
        <w:tc>
          <w:tcPr>
            <w:tcW w:w="22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April 2007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118.7</w:t>
            </w:r>
          </w:p>
        </w:tc>
        <w:tc>
          <w:tcPr>
            <w:tcW w:w="20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April 2025</w:t>
            </w: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Nimiq 5 (1)</w:t>
            </w:r>
          </w:p>
        </w:tc>
        <w:tc>
          <w:tcPr>
            <w:tcW w:w="2220" w:type="dxa"/>
            <w:vAlign w:val="bottom"/>
            <w:gridSpan w:val="2"/>
          </w:tcPr>
          <w:p>
            <w:pPr>
              <w:jc w:val="center"/>
              <w:ind w:right="180"/>
              <w:spacing w:after="0"/>
              <w:rPr>
                <w:sz w:val="20"/>
                <w:szCs w:val="20"/>
                <w:color w:val="auto"/>
              </w:rPr>
            </w:pPr>
            <w:r>
              <w:rPr>
                <w:rFonts w:ascii="Arial" w:cs="Arial" w:eastAsia="Arial" w:hAnsi="Arial"/>
                <w:sz w:val="16"/>
                <w:szCs w:val="16"/>
                <w:color w:val="auto"/>
              </w:rPr>
              <w:t>September 2009</w:t>
            </w:r>
          </w:p>
        </w:tc>
        <w:tc>
          <w:tcPr>
            <w:tcW w:w="1020" w:type="dxa"/>
            <w:vAlign w:val="bottom"/>
          </w:tcPr>
          <w:p>
            <w:pPr>
              <w:jc w:val="center"/>
              <w:spacing w:after="0"/>
              <w:rPr>
                <w:sz w:val="20"/>
                <w:szCs w:val="20"/>
                <w:color w:val="auto"/>
              </w:rPr>
            </w:pPr>
            <w:r>
              <w:rPr>
                <w:rFonts w:ascii="Arial" w:cs="Arial" w:eastAsia="Arial" w:hAnsi="Arial"/>
                <w:sz w:val="16"/>
                <w:szCs w:val="16"/>
                <w:color w:val="auto"/>
              </w:rPr>
              <w:t>72.7</w:t>
            </w:r>
          </w:p>
        </w:tc>
        <w:tc>
          <w:tcPr>
            <w:tcW w:w="2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October 2029</w:t>
            </w:r>
          </w:p>
        </w:tc>
      </w:tr>
    </w:tbl>
    <w:p>
      <w:pPr>
        <w:spacing w:after="0" w:line="145" w:lineRule="exact"/>
        <w:rPr>
          <w:sz w:val="20"/>
          <w:szCs w:val="20"/>
          <w:color w:val="auto"/>
        </w:rPr>
      </w:pPr>
    </w:p>
    <w:p>
      <w:pPr>
        <w:ind w:left="380" w:right="619" w:hanging="330"/>
        <w:spacing w:after="0" w:line="301"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Subsequent to September 30, 2024, we extended the Nimiq 5 lease to October 2029 and as a result, beginning in the fourth quarter of 2024, we will account for the Nimiq 5 lease as an operating lease.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 Under Construction</w:t>
      </w:r>
    </w:p>
    <w:p>
      <w:pPr>
        <w:spacing w:after="0" w:line="21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i w:val="1"/>
          <w:iCs w:val="1"/>
          <w:color w:val="auto"/>
        </w:rPr>
        <w:t>EchoStar XXV</w:t>
      </w:r>
      <w:r>
        <w:rPr>
          <w:rFonts w:ascii="Arial" w:cs="Arial" w:eastAsia="Arial" w:hAnsi="Arial"/>
          <w:sz w:val="18"/>
          <w:szCs w:val="18"/>
          <w:color w:val="auto"/>
        </w:rPr>
        <w:t>. On March 20, 2023, we entered into a contract with Maxar Space LLC 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 The EchoStar XXV contract was included in the Sale and Transfer of Assets to EchoStar on January 10, 2024. Subsequently, on May 2, 2024, the EchoStar XXV contract was included in the Orbital II Transfer from EchoStar. For the nine months ended September 30, 2024, capital expenditures for EchoStar XXV totaled $94 million, which includes $47 million for capital expenditures incurred after May 2, 2024, which is included in “Purchases of property and equipment,” and $47 million for capital expenditures incurred between the Sale and Transfer of Assets to EchoStar on January 10, 2024 and May 2, 2024, which is included in “Other, net” within “Net cash flows from investing activities” on our Condensed Consolidated Statements of Cash Flows. See Note 1 for further information.</w:t>
      </w:r>
    </w:p>
    <w:p>
      <w:pPr>
        <w:spacing w:after="0" w:line="169" w:lineRule="exact"/>
        <w:rPr>
          <w:sz w:val="20"/>
          <w:szCs w:val="20"/>
          <w:color w:val="auto"/>
        </w:rPr>
      </w:pPr>
    </w:p>
    <w:p>
      <w:pPr>
        <w:ind w:left="700" w:hanging="650"/>
        <w:spacing w:after="0"/>
        <w:tabs>
          <w:tab w:leader="none" w:pos="7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96"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one to 13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15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Our Nimiq 5 satellite is accounted for as finance lease within our Pay-TV segment. Subsequent to September 30, 2024, we extended the Nimiq 5 lease to October 2029 and as a result, beginning in the fourth quarter of 2024, we will account for the Nimiq 5 lease as an operating lease. Substantially all of our remaining leases are accounted for as operating leases, including our Anik F3 satellite lease.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lease expense were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6"/>
                <w:szCs w:val="16"/>
                <w:color w:val="auto"/>
              </w:rPr>
            </w:pPr>
          </w:p>
        </w:tc>
        <w:tc>
          <w:tcPr>
            <w:tcW w:w="23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23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37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r>
      <w:tr>
        <w:trPr>
          <w:trHeight w:val="169"/>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699"/>
              <w:spacing w:after="0" w:line="169"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150,048</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130,288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461,172</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364,622</w:t>
            </w:r>
          </w:p>
        </w:tc>
      </w:tr>
      <w:tr>
        <w:trPr>
          <w:trHeight w:val="189"/>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 (2)</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8,951</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8,107</w:t>
            </w:r>
          </w:p>
        </w:tc>
      </w:tr>
      <w:tr>
        <w:trPr>
          <w:trHeight w:val="189"/>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700" w:type="dxa"/>
            <w:vAlign w:val="bottom"/>
          </w:tcPr>
          <w:p>
            <w:pPr>
              <w:ind w:left="240"/>
              <w:spacing w:after="0"/>
              <w:rPr>
                <w:sz w:val="20"/>
                <w:szCs w:val="20"/>
                <w:color w:val="auto"/>
              </w:rPr>
            </w:pPr>
            <w:r>
              <w:rPr>
                <w:rFonts w:ascii="Arial" w:cs="Arial" w:eastAsia="Arial" w:hAnsi="Arial"/>
                <w:sz w:val="16"/>
                <w:szCs w:val="16"/>
                <w:color w:val="auto"/>
              </w:rPr>
              <w:t>Amortization of right-of-use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12,847</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13,316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40,211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53,505</w:t>
            </w:r>
          </w:p>
        </w:tc>
      </w:tr>
      <w:tr>
        <w:trPr>
          <w:trHeight w:val="189"/>
        </w:trPr>
        <w:tc>
          <w:tcPr>
            <w:tcW w:w="3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on lease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7,169</w:t>
            </w: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10,915</w:t>
            </w:r>
          </w:p>
        </w:tc>
      </w:tr>
      <w:tr>
        <w:trPr>
          <w:trHeight w:val="183"/>
        </w:trPr>
        <w:tc>
          <w:tcPr>
            <w:tcW w:w="370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finance lease cost</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14,827</w:t>
            </w: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16,837</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47,380</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64,420</w:t>
            </w:r>
          </w:p>
        </w:tc>
      </w:tr>
      <w:tr>
        <w:trPr>
          <w:trHeight w:val="183"/>
        </w:trPr>
        <w:tc>
          <w:tcPr>
            <w:tcW w:w="37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167,964</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149,811</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517,503</w:t>
            </w: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437,149</w:t>
            </w: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 in operating lease cost is primarily related to communication tower leases.</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Leases that have terms of 12 months or less.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3"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For the Nine Months Ended</w:t>
      </w:r>
    </w:p>
    <w:p>
      <w:pPr>
        <w:spacing w:after="0" w:line="21"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September 30,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tcBorders>
          </w:tcPr>
          <w:p>
            <w:pPr>
              <w:spacing w:after="0"/>
              <w:rPr>
                <w:sz w:val="17"/>
                <w:szCs w:val="17"/>
                <w:color w:val="auto"/>
              </w:rPr>
            </w:pPr>
          </w:p>
        </w:tc>
      </w:tr>
      <w:tr>
        <w:trPr>
          <w:trHeight w:val="169"/>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4"/>
          </w:tcPr>
          <w:p>
            <w:pPr>
              <w:jc w:val="right"/>
              <w:ind w:right="699"/>
              <w:spacing w:after="0" w:line="169"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4"/>
                <w:szCs w:val="14"/>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20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344,810</w:t>
            </w:r>
          </w:p>
        </w:tc>
        <w:tc>
          <w:tcPr>
            <w:tcW w:w="4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233,135</w:t>
            </w:r>
          </w:p>
        </w:tc>
        <w:tc>
          <w:tcPr>
            <w:tcW w:w="40" w:type="dxa"/>
            <w:vAlign w:val="bottom"/>
          </w:tcPr>
          <w:p>
            <w:pPr>
              <w:spacing w:after="0"/>
              <w:rPr>
                <w:sz w:val="16"/>
                <w:szCs w:val="16"/>
                <w:color w:val="auto"/>
              </w:rPr>
            </w:pPr>
          </w:p>
        </w:tc>
      </w:tr>
      <w:tr>
        <w:trPr>
          <w:trHeight w:val="189"/>
        </w:trPr>
        <w:tc>
          <w:tcPr>
            <w:tcW w:w="6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7,363</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9,778</w:t>
            </w:r>
          </w:p>
        </w:tc>
        <w:tc>
          <w:tcPr>
            <w:tcW w:w="40" w:type="dxa"/>
            <w:vAlign w:val="bottom"/>
            <w:shd w:val="clear" w:color="auto" w:fill="CCEEFF"/>
          </w:tcPr>
          <w:p>
            <w:pPr>
              <w:spacing w:after="0"/>
              <w:rPr>
                <w:sz w:val="16"/>
                <w:szCs w:val="16"/>
                <w:color w:val="auto"/>
              </w:rPr>
            </w:pPr>
          </w:p>
        </w:tc>
      </w:tr>
      <w:tr>
        <w:trPr>
          <w:trHeight w:val="189"/>
        </w:trPr>
        <w:tc>
          <w:tcPr>
            <w:tcW w:w="620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49,648</w:t>
            </w:r>
          </w:p>
        </w:tc>
        <w:tc>
          <w:tcPr>
            <w:tcW w:w="4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37,936</w:t>
            </w:r>
          </w:p>
        </w:tc>
        <w:tc>
          <w:tcPr>
            <w:tcW w:w="40" w:type="dxa"/>
            <w:vAlign w:val="bottom"/>
          </w:tcPr>
          <w:p>
            <w:pPr>
              <w:spacing w:after="0"/>
              <w:rPr>
                <w:sz w:val="16"/>
                <w:szCs w:val="16"/>
                <w:color w:val="auto"/>
              </w:rPr>
            </w:pPr>
          </w:p>
        </w:tc>
      </w:tr>
      <w:tr>
        <w:trPr>
          <w:trHeight w:val="189"/>
        </w:trPr>
        <w:tc>
          <w:tcPr>
            <w:tcW w:w="6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406,101</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559,539</w:t>
            </w:r>
          </w:p>
        </w:tc>
        <w:tc>
          <w:tcPr>
            <w:tcW w:w="40" w:type="dxa"/>
            <w:vAlign w:val="bottom"/>
            <w:shd w:val="clear" w:color="auto" w:fill="CCEEFF"/>
          </w:tcPr>
          <w:p>
            <w:pPr>
              <w:spacing w:after="0"/>
              <w:rPr>
                <w:sz w:val="16"/>
                <w:szCs w:val="16"/>
                <w:color w:val="auto"/>
              </w:rPr>
            </w:pPr>
          </w:p>
        </w:tc>
      </w:tr>
      <w:tr>
        <w:trPr>
          <w:trHeight w:val="215"/>
        </w:trPr>
        <w:tc>
          <w:tcPr>
            <w:tcW w:w="6200" w:type="dxa"/>
            <w:vAlign w:val="bottom"/>
          </w:tcPr>
          <w:p>
            <w:pPr>
              <w:ind w:left="240"/>
              <w:spacing w:after="0"/>
              <w:rPr>
                <w:sz w:val="20"/>
                <w:szCs w:val="20"/>
                <w:color w:val="auto"/>
              </w:rPr>
            </w:pPr>
            <w:r>
              <w:rPr>
                <w:rFonts w:ascii="Arial" w:cs="Arial" w:eastAsia="Arial" w:hAnsi="Arial"/>
                <w:sz w:val="16"/>
                <w:szCs w:val="16"/>
                <w:color w:val="auto"/>
              </w:rPr>
              <w:t>Finance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53,771</w:t>
            </w:r>
          </w:p>
        </w:tc>
        <w:tc>
          <w:tcPr>
            <w:tcW w:w="40" w:type="dxa"/>
            <w:vAlign w:val="bottom"/>
          </w:tcPr>
          <w:p>
            <w:pPr>
              <w:spacing w:after="0"/>
              <w:rPr>
                <w:sz w:val="18"/>
                <w:szCs w:val="18"/>
                <w:color w:val="auto"/>
              </w:rPr>
            </w:pPr>
          </w:p>
        </w:tc>
      </w:tr>
      <w:tr>
        <w:trPr>
          <w:trHeight w:val="383"/>
        </w:trPr>
        <w:tc>
          <w:tcPr>
            <w:tcW w:w="6200" w:type="dxa"/>
            <w:vAlign w:val="bottom"/>
          </w:tcPr>
          <w:p>
            <w:pPr>
              <w:ind w:left="2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As of</w:t>
            </w:r>
          </w:p>
        </w:tc>
        <w:tc>
          <w:tcPr>
            <w:tcW w:w="1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5"/>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400"/>
              <w:spacing w:after="0" w:line="17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5"/>
                <w:szCs w:val="15"/>
                <w:color w:val="auto"/>
              </w:rPr>
            </w:pPr>
          </w:p>
        </w:tc>
        <w:tc>
          <w:tcPr>
            <w:tcW w:w="15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5"/>
                <w:szCs w:val="15"/>
                <w:color w:val="auto"/>
              </w:rPr>
            </w:pPr>
          </w:p>
        </w:tc>
      </w:tr>
      <w:tr>
        <w:trPr>
          <w:trHeight w:val="203"/>
        </w:trPr>
        <w:tc>
          <w:tcPr>
            <w:tcW w:w="5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169"/>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4"/>
          </w:tcPr>
          <w:p>
            <w:pPr>
              <w:jc w:val="right"/>
              <w:ind w:right="1219"/>
              <w:spacing w:after="0" w:line="169"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4"/>
                <w:szCs w:val="14"/>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3,030,380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2,934,862</w:t>
            </w:r>
          </w:p>
        </w:tc>
        <w:tc>
          <w:tcPr>
            <w:tcW w:w="60" w:type="dxa"/>
            <w:vAlign w:val="bottom"/>
            <w:tcBorders>
              <w:bottom w:val="single" w:sz="8" w:color="CCEEFF"/>
            </w:tcBorders>
          </w:tcPr>
          <w:p>
            <w:pPr>
              <w:spacing w:after="0"/>
              <w:rPr>
                <w:sz w:val="19"/>
                <w:szCs w:val="19"/>
                <w:color w:val="auto"/>
              </w:rPr>
            </w:pPr>
          </w:p>
        </w:tc>
      </w:tr>
      <w:tr>
        <w:trPr>
          <w:trHeight w:val="170"/>
        </w:trPr>
        <w:tc>
          <w:tcPr>
            <w:tcW w:w="5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471,663</w:t>
            </w:r>
          </w:p>
        </w:tc>
        <w:tc>
          <w:tcPr>
            <w:tcW w:w="8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301,172</w:t>
            </w:r>
          </w:p>
        </w:tc>
        <w:tc>
          <w:tcPr>
            <w:tcW w:w="60" w:type="dxa"/>
            <w:vAlign w:val="bottom"/>
          </w:tcPr>
          <w:p>
            <w:pPr>
              <w:spacing w:after="0"/>
              <w:rPr>
                <w:sz w:val="16"/>
                <w:szCs w:val="16"/>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2,999,747</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2,992,863</w:t>
            </w:r>
          </w:p>
        </w:tc>
        <w:tc>
          <w:tcPr>
            <w:tcW w:w="60" w:type="dxa"/>
            <w:vAlign w:val="bottom"/>
            <w:shd w:val="clear" w:color="auto" w:fill="CCEEFF"/>
          </w:tcPr>
          <w:p>
            <w:pPr>
              <w:spacing w:after="0"/>
              <w:rPr>
                <w:sz w:val="16"/>
                <w:szCs w:val="16"/>
                <w:color w:val="auto"/>
              </w:rPr>
            </w:pPr>
          </w:p>
        </w:tc>
      </w:tr>
      <w:tr>
        <w:trPr>
          <w:trHeight w:val="223"/>
        </w:trPr>
        <w:tc>
          <w:tcPr>
            <w:tcW w:w="520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operating lease liabilities</w:t>
            </w: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3,471,410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3,294,035</w:t>
            </w:r>
          </w:p>
        </w:tc>
        <w:tc>
          <w:tcPr>
            <w:tcW w:w="60" w:type="dxa"/>
            <w:vAlign w:val="bottom"/>
            <w:tcBorders>
              <w:bottom w:val="single" w:sz="8" w:color="CCEEFF"/>
            </w:tcBorders>
          </w:tcPr>
          <w:p>
            <w:pPr>
              <w:spacing w:after="0"/>
              <w:rPr>
                <w:sz w:val="19"/>
                <w:szCs w:val="19"/>
                <w:color w:val="auto"/>
              </w:rPr>
            </w:pPr>
          </w:p>
        </w:tc>
      </w:tr>
      <w:tr>
        <w:trPr>
          <w:trHeight w:val="170"/>
        </w:trPr>
        <w:tc>
          <w:tcPr>
            <w:tcW w:w="5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Finance Leases: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465,549</w:t>
            </w:r>
          </w:p>
        </w:tc>
        <w:tc>
          <w:tcPr>
            <w:tcW w:w="60" w:type="dxa"/>
            <w:vAlign w:val="bottom"/>
            <w:shd w:val="clear" w:color="auto" w:fill="CCEEFF"/>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220" w:type="dxa"/>
            <w:vAlign w:val="bottom"/>
          </w:tcPr>
          <w:p>
            <w:pPr>
              <w:spacing w:after="0"/>
              <w:rPr>
                <w:sz w:val="16"/>
                <w:szCs w:val="16"/>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6"/>
                <w:szCs w:val="16"/>
                <w:color w:val="auto"/>
              </w:rPr>
              <w:t>(410,467)</w:t>
            </w:r>
          </w:p>
        </w:tc>
        <w:tc>
          <w:tcPr>
            <w:tcW w:w="26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(370,768)</w:t>
            </w:r>
          </w:p>
        </w:tc>
      </w:tr>
      <w:tr>
        <w:trPr>
          <w:trHeight w:val="183"/>
        </w:trPr>
        <w:tc>
          <w:tcPr>
            <w:tcW w:w="520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Property and equipment, net</w:t>
            </w:r>
          </w:p>
        </w:tc>
        <w:tc>
          <w:tcPr>
            <w:tcW w:w="22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55,082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94,781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56,459</w:t>
            </w:r>
          </w:p>
        </w:tc>
        <w:tc>
          <w:tcPr>
            <w:tcW w:w="60" w:type="dxa"/>
            <w:vAlign w:val="bottom"/>
            <w:shd w:val="clear" w:color="auto" w:fill="CCEEFF"/>
          </w:tcPr>
          <w:p>
            <w:pPr>
              <w:spacing w:after="0"/>
              <w:rPr>
                <w:sz w:val="16"/>
                <w:szCs w:val="16"/>
                <w:color w:val="auto"/>
              </w:rPr>
            </w:pP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67,199</w:t>
            </w:r>
          </w:p>
        </w:tc>
        <w:tc>
          <w:tcPr>
            <w:tcW w:w="60" w:type="dxa"/>
            <w:vAlign w:val="bottom"/>
            <w:tcBorders>
              <w:bottom w:val="single" w:sz="8" w:color="CCEEFF"/>
            </w:tcBorders>
          </w:tcPr>
          <w:p>
            <w:pPr>
              <w:spacing w:after="0"/>
              <w:rPr>
                <w:sz w:val="16"/>
                <w:szCs w:val="16"/>
                <w:color w:val="auto"/>
              </w:rPr>
            </w:pPr>
          </w:p>
        </w:tc>
      </w:tr>
      <w:tr>
        <w:trPr>
          <w:trHeight w:val="183"/>
        </w:trPr>
        <w:tc>
          <w:tcPr>
            <w:tcW w:w="52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finance lease liabilities</w:t>
            </w: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74,009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123,658</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10.0 years</w:t>
            </w:r>
          </w:p>
        </w:tc>
        <w:tc>
          <w:tcPr>
            <w:tcW w:w="26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10.7 years</w:t>
            </w:r>
          </w:p>
        </w:tc>
      </w:tr>
      <w:tr>
        <w:trPr>
          <w:trHeight w:val="189"/>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2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 years</w:t>
            </w:r>
          </w:p>
        </w:tc>
        <w:tc>
          <w:tcPr>
            <w:tcW w:w="26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 years</w:t>
            </w:r>
          </w:p>
        </w:tc>
      </w:tr>
      <w:tr>
        <w:trPr>
          <w:trHeight w:val="189"/>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200" w:type="dxa"/>
            <w:vAlign w:val="bottom"/>
          </w:tcPr>
          <w:p>
            <w:pPr>
              <w:ind w:left="24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9.5%</w:t>
            </w:r>
          </w:p>
        </w:tc>
        <w:tc>
          <w:tcPr>
            <w:tcW w:w="60" w:type="dxa"/>
            <w:vAlign w:val="bottom"/>
          </w:tcPr>
          <w:p>
            <w:pPr>
              <w:spacing w:after="0"/>
              <w:rPr>
                <w:sz w:val="16"/>
                <w:szCs w:val="16"/>
                <w:color w:val="auto"/>
              </w:rPr>
            </w:pPr>
          </w:p>
        </w:tc>
      </w:tr>
      <w:tr>
        <w:trPr>
          <w:trHeight w:val="189"/>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6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lease liabilities as of September 30, 2024 were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rPr>
              <w:t>Maturities of Lease Liabilities</w:t>
            </w:r>
          </w:p>
        </w:tc>
      </w:tr>
      <w:tr>
        <w:trPr>
          <w:trHeight w:val="175"/>
        </w:trPr>
        <w:tc>
          <w:tcPr>
            <w:tcW w:w="5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280"/>
              <w:spacing w:after="0" w:line="175" w:lineRule="exact"/>
              <w:rPr>
                <w:sz w:val="20"/>
                <w:szCs w:val="20"/>
                <w:color w:val="auto"/>
              </w:rPr>
            </w:pPr>
            <w:r>
              <w:rPr>
                <w:rFonts w:ascii="Arial" w:cs="Arial" w:eastAsia="Arial" w:hAnsi="Arial"/>
                <w:sz w:val="16"/>
                <w:szCs w:val="16"/>
                <w:b w:val="1"/>
                <w:bCs w:val="1"/>
                <w:color w:val="auto"/>
              </w:rPr>
              <w:t>Operating</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99"/>
              </w:rPr>
              <w:t>Finance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1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16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Leases</w:t>
            </w:r>
          </w:p>
        </w:tc>
        <w:tc>
          <w:tcPr>
            <w:tcW w:w="8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Leases</w:t>
            </w:r>
          </w:p>
        </w:tc>
        <w:tc>
          <w:tcPr>
            <w:tcW w:w="24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183"/>
        </w:trPr>
        <w:tc>
          <w:tcPr>
            <w:tcW w:w="5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(In thousands)</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 (remaining three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95,440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103,903</w:t>
            </w:r>
          </w:p>
        </w:tc>
        <w:tc>
          <w:tcPr>
            <w:tcW w:w="60" w:type="dxa"/>
            <w:vAlign w:val="bottom"/>
            <w:shd w:val="clear" w:color="auto" w:fill="CCEEFF"/>
          </w:tcPr>
          <w:p>
            <w:pPr>
              <w:spacing w:after="0"/>
              <w:rPr>
                <w:sz w:val="16"/>
                <w:szCs w:val="16"/>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6"/>
                <w:szCs w:val="16"/>
                <w:color w:val="auto"/>
              </w:rPr>
              <w:t>2025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504,878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35,392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540,270</w:t>
            </w:r>
          </w:p>
        </w:tc>
        <w:tc>
          <w:tcPr>
            <w:tcW w:w="60" w:type="dxa"/>
            <w:vAlign w:val="bottom"/>
          </w:tcPr>
          <w:p>
            <w:pPr>
              <w:spacing w:after="0"/>
              <w:rPr>
                <w:sz w:val="16"/>
                <w:szCs w:val="16"/>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541,249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36,588</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577,837</w:t>
            </w:r>
          </w:p>
        </w:tc>
        <w:tc>
          <w:tcPr>
            <w:tcW w:w="60" w:type="dxa"/>
            <w:vAlign w:val="bottom"/>
            <w:shd w:val="clear" w:color="auto" w:fill="CCEEFF"/>
          </w:tcPr>
          <w:p>
            <w:pPr>
              <w:spacing w:after="0"/>
              <w:rPr>
                <w:sz w:val="16"/>
                <w:szCs w:val="16"/>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6"/>
                <w:szCs w:val="16"/>
                <w:color w:val="auto"/>
              </w:rPr>
              <w:t>2027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545,983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548,557</w:t>
            </w:r>
          </w:p>
        </w:tc>
        <w:tc>
          <w:tcPr>
            <w:tcW w:w="60" w:type="dxa"/>
            <w:vAlign w:val="bottom"/>
          </w:tcPr>
          <w:p>
            <w:pPr>
              <w:spacing w:after="0"/>
              <w:rPr>
                <w:sz w:val="16"/>
                <w:szCs w:val="16"/>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505,253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505,253</w:t>
            </w:r>
          </w:p>
        </w:tc>
        <w:tc>
          <w:tcPr>
            <w:tcW w:w="60" w:type="dxa"/>
            <w:vAlign w:val="bottom"/>
            <w:shd w:val="clear" w:color="auto" w:fill="CCEEFF"/>
          </w:tcPr>
          <w:p>
            <w:pPr>
              <w:spacing w:after="0"/>
              <w:rPr>
                <w:sz w:val="16"/>
                <w:szCs w:val="16"/>
                <w:color w:val="auto"/>
              </w:rPr>
            </w:pPr>
          </w:p>
        </w:tc>
      </w:tr>
      <w:tr>
        <w:trPr>
          <w:trHeight w:val="189"/>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3,371,530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3,371,530</w:t>
            </w:r>
          </w:p>
        </w:tc>
        <w:tc>
          <w:tcPr>
            <w:tcW w:w="60" w:type="dxa"/>
            <w:vAlign w:val="bottom"/>
          </w:tcPr>
          <w:p>
            <w:pPr>
              <w:spacing w:after="0"/>
              <w:rPr>
                <w:sz w:val="16"/>
                <w:szCs w:val="16"/>
                <w:color w:val="auto"/>
              </w:rPr>
            </w:pPr>
          </w:p>
        </w:tc>
      </w:tr>
      <w:tr>
        <w:trPr>
          <w:trHeight w:val="183"/>
        </w:trPr>
        <w:tc>
          <w:tcPr>
            <w:tcW w:w="51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payments</w:t>
            </w: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5,564,333</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83,017</w:t>
            </w: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5,647,350</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Less: Imputed interest</w:t>
            </w:r>
          </w:p>
        </w:tc>
        <w:tc>
          <w:tcPr>
            <w:tcW w:w="1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(2,092,923)</w:t>
            </w:r>
          </w:p>
        </w:tc>
        <w:tc>
          <w:tcPr>
            <w:tcW w:w="8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(9,008)</w:t>
            </w:r>
          </w:p>
        </w:tc>
        <w:tc>
          <w:tcPr>
            <w:tcW w:w="24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(2,101,931)</w:t>
            </w:r>
          </w:p>
        </w:tc>
      </w:tr>
      <w:tr>
        <w:trPr>
          <w:trHeight w:val="183"/>
        </w:trPr>
        <w:tc>
          <w:tcPr>
            <w:tcW w:w="51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3,471,410</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74,009</w:t>
            </w: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3,545,419</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Less: Current portion</w:t>
            </w:r>
          </w:p>
        </w:tc>
        <w:tc>
          <w:tcPr>
            <w:tcW w:w="1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(471,663)</w:t>
            </w:r>
          </w:p>
        </w:tc>
        <w:tc>
          <w:tcPr>
            <w:tcW w:w="8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(29,386)</w:t>
            </w:r>
          </w:p>
        </w:tc>
        <w:tc>
          <w:tcPr>
            <w:tcW w:w="24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(501,049)</w:t>
            </w:r>
          </w:p>
        </w:tc>
      </w:tr>
      <w:tr>
        <w:trPr>
          <w:trHeight w:val="183"/>
        </w:trPr>
        <w:tc>
          <w:tcPr>
            <w:tcW w:w="510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Long-term portion of lease obligations</w:t>
            </w: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2,999,747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44,623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3,044,370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3" w:lineRule="exact"/>
        <w:rPr>
          <w:sz w:val="20"/>
          <w:szCs w:val="20"/>
          <w:color w:val="auto"/>
        </w:rPr>
      </w:pPr>
    </w:p>
    <w:p>
      <w:pPr>
        <w:ind w:left="700" w:hanging="650"/>
        <w:spacing w:after="0"/>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Debt and Finance Lease Obligations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our Debt</w:t>
      </w:r>
    </w:p>
    <w:p>
      <w:pPr>
        <w:spacing w:after="0" w:line="196" w:lineRule="exact"/>
        <w:rPr>
          <w:sz w:val="20"/>
          <w:szCs w:val="20"/>
          <w:color w:val="auto"/>
        </w:rPr>
      </w:pPr>
    </w:p>
    <w:p>
      <w:pPr>
        <w:ind w:left="60" w:right="159"/>
        <w:spacing w:after="0" w:line="266" w:lineRule="auto"/>
        <w:rPr>
          <w:sz w:val="20"/>
          <w:szCs w:val="20"/>
          <w:color w:val="auto"/>
        </w:rPr>
      </w:pPr>
      <w:r>
        <w:rPr>
          <w:rFonts w:ascii="Arial" w:cs="Arial" w:eastAsia="Arial" w:hAnsi="Arial"/>
          <w:sz w:val="18"/>
          <w:szCs w:val="18"/>
          <w:color w:val="auto"/>
        </w:rPr>
        <w:t>The following table summarizes the carrying amount and fair value of our debt facilities as of September 30, 2024 and December 31, 2023:</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left="517"/>
              <w:spacing w:after="0"/>
              <w:rPr>
                <w:sz w:val="20"/>
                <w:szCs w:val="20"/>
                <w:color w:val="auto"/>
              </w:rPr>
            </w:pPr>
            <w:r>
              <w:rPr>
                <w:rFonts w:ascii="Arial" w:cs="Arial" w:eastAsia="Arial" w:hAnsi="Arial"/>
                <w:sz w:val="13"/>
                <w:szCs w:val="13"/>
                <w:b w:val="1"/>
                <w:bCs w:val="1"/>
                <w:color w:val="auto"/>
                <w:w w:val="98"/>
              </w:rPr>
              <w:t>As of</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3"/>
                <w:szCs w:val="13"/>
                <w:b w:val="1"/>
                <w:bCs w:val="1"/>
                <w:color w:val="auto"/>
              </w:rPr>
              <w:t>September 30, 2024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3"/>
                <w:szCs w:val="13"/>
                <w:b w:val="1"/>
                <w:bCs w:val="1"/>
                <w:color w:val="auto"/>
              </w:rPr>
              <w:t>December 31, 2023</w:t>
            </w:r>
          </w:p>
        </w:tc>
        <w:tc>
          <w:tcPr>
            <w:tcW w:w="0" w:type="dxa"/>
            <w:vAlign w:val="bottom"/>
          </w:tcPr>
          <w:p>
            <w:pPr>
              <w:spacing w:after="0"/>
              <w:rPr>
                <w:sz w:val="1"/>
                <w:szCs w:val="1"/>
                <w:color w:val="auto"/>
              </w:rPr>
            </w:pPr>
          </w:p>
        </w:tc>
      </w:tr>
      <w:tr>
        <w:trPr>
          <w:trHeight w:val="111"/>
        </w:trPr>
        <w:tc>
          <w:tcPr>
            <w:tcW w:w="2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Issuer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right"/>
              <w:ind w:right="237"/>
              <w:spacing w:after="0" w:line="111" w:lineRule="exact"/>
              <w:rPr>
                <w:sz w:val="20"/>
                <w:szCs w:val="20"/>
                <w:color w:val="auto"/>
              </w:rPr>
            </w:pPr>
            <w:r>
              <w:rPr>
                <w:rFonts w:ascii="Arial" w:cs="Arial" w:eastAsia="Arial" w:hAnsi="Arial"/>
                <w:sz w:val="12"/>
                <w:szCs w:val="12"/>
                <w:b w:val="1"/>
                <w:bCs w:val="1"/>
                <w:color w:val="auto"/>
              </w:rPr>
              <w:t>Carrying</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Fair Value</w:t>
            </w:r>
          </w:p>
        </w:tc>
        <w:tc>
          <w:tcPr>
            <w:tcW w:w="1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Carrying</w:t>
            </w:r>
          </w:p>
        </w:tc>
        <w:tc>
          <w:tcPr>
            <w:tcW w:w="80" w:type="dxa"/>
            <w:vAlign w:val="bottom"/>
          </w:tcPr>
          <w:p>
            <w:pPr>
              <w:spacing w:after="0"/>
              <w:rPr>
                <w:sz w:val="9"/>
                <w:szCs w:val="9"/>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tcPr>
          <w:p>
            <w:pPr>
              <w:jc w:val="center"/>
              <w:ind w:left="297"/>
              <w:spacing w:after="0"/>
              <w:rPr>
                <w:sz w:val="20"/>
                <w:szCs w:val="20"/>
                <w:color w:val="auto"/>
              </w:rPr>
            </w:pPr>
            <w:r>
              <w:rPr>
                <w:rFonts w:ascii="Arial" w:cs="Arial" w:eastAsia="Arial" w:hAnsi="Arial"/>
                <w:sz w:val="13"/>
                <w:szCs w:val="13"/>
                <w:color w:val="auto"/>
                <w:w w:val="96"/>
              </w:rPr>
              <w:t>(In thousands)</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gridSpan w:val="2"/>
          </w:tcPr>
          <w:p>
            <w:pPr>
              <w:ind w:left="160"/>
              <w:spacing w:after="0"/>
              <w:rPr>
                <w:sz w:val="20"/>
                <w:szCs w:val="20"/>
                <w:color w:val="auto"/>
              </w:rPr>
            </w:pPr>
            <w:r>
              <w:rPr>
                <w:rFonts w:ascii="Arial" w:cs="Arial" w:eastAsia="Arial" w:hAnsi="Arial"/>
                <w:sz w:val="13"/>
                <w:szCs w:val="13"/>
                <w:b w:val="1"/>
                <w:bCs w:val="1"/>
                <w:i w:val="1"/>
                <w:iCs w:val="1"/>
                <w:color w:val="auto"/>
              </w:rPr>
              <w:t>Current:</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w:t>
            </w: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3/8% Convertible Notes due 2024 (1)</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DISH</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951,168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944,034</w:t>
            </w:r>
          </w:p>
        </w:tc>
        <w:tc>
          <w:tcPr>
            <w:tcW w:w="0" w:type="dxa"/>
            <w:vAlign w:val="bottom"/>
          </w:tcPr>
          <w:p>
            <w:pPr>
              <w:spacing w:after="0"/>
              <w:rPr>
                <w:sz w:val="1"/>
                <w:szCs w:val="1"/>
                <w:color w:val="auto"/>
              </w:rPr>
            </w:pPr>
          </w:p>
        </w:tc>
      </w:tr>
      <w:tr>
        <w:trPr>
          <w:trHeight w:val="189"/>
        </w:trPr>
        <w:tc>
          <w:tcPr>
            <w:tcW w:w="200" w:type="dxa"/>
            <w:vAlign w:val="bottom"/>
          </w:tcPr>
          <w:p>
            <w:pPr>
              <w:ind w:left="100"/>
              <w:spacing w:after="0"/>
              <w:rPr>
                <w:sz w:val="20"/>
                <w:szCs w:val="20"/>
                <w:color w:val="auto"/>
              </w:rPr>
            </w:pPr>
            <w:r>
              <w:rPr>
                <w:rFonts w:ascii="Arial" w:cs="Arial" w:eastAsia="Arial" w:hAnsi="Arial"/>
                <w:sz w:val="13"/>
                <w:szCs w:val="13"/>
                <w:color w:val="auto"/>
              </w:rPr>
              <w:t>5</w:t>
            </w:r>
          </w:p>
        </w:tc>
        <w:tc>
          <w:tcPr>
            <w:tcW w:w="3200" w:type="dxa"/>
            <w:vAlign w:val="bottom"/>
          </w:tcPr>
          <w:p>
            <w:pPr>
              <w:spacing w:after="0"/>
              <w:rPr>
                <w:sz w:val="20"/>
                <w:szCs w:val="20"/>
                <w:color w:val="auto"/>
              </w:rPr>
            </w:pPr>
            <w:r>
              <w:rPr>
                <w:rFonts w:ascii="Arial" w:cs="Arial" w:eastAsia="Arial" w:hAnsi="Arial"/>
                <w:sz w:val="13"/>
                <w:szCs w:val="13"/>
                <w:color w:val="auto"/>
              </w:rPr>
              <w:t>7/8% Senior Notes due 2024</w:t>
            </w:r>
          </w:p>
        </w:tc>
        <w:tc>
          <w:tcPr>
            <w:tcW w:w="1200" w:type="dxa"/>
            <w:vAlign w:val="bottom"/>
          </w:tcPr>
          <w:p>
            <w:pPr>
              <w:jc w:val="center"/>
              <w:spacing w:after="0"/>
              <w:rPr>
                <w:sz w:val="20"/>
                <w:szCs w:val="20"/>
                <w:color w:val="auto"/>
              </w:rPr>
            </w:pPr>
            <w:r>
              <w:rPr>
                <w:rFonts w:ascii="Arial" w:cs="Arial" w:eastAsia="Arial" w:hAnsi="Arial"/>
                <w:sz w:val="13"/>
                <w:szCs w:val="13"/>
                <w:color w:val="auto"/>
                <w:w w:val="94"/>
              </w:rPr>
              <w:t>DDBS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1,982,544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1,978,559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1,982,544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1,872,275</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Term Loan due 2025 (2)</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DBS SubscriberCo</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4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Long-Term:</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0% Convertible Notes due 2025</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DISH</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1,957,197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1,702,761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1,957,197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1,228,141</w:t>
            </w:r>
          </w:p>
        </w:tc>
        <w:tc>
          <w:tcPr>
            <w:tcW w:w="0" w:type="dxa"/>
            <w:vAlign w:val="bottom"/>
          </w:tcPr>
          <w:p>
            <w:pPr>
              <w:spacing w:after="0"/>
              <w:rPr>
                <w:sz w:val="1"/>
                <w:szCs w:val="1"/>
                <w:color w:val="auto"/>
              </w:rPr>
            </w:pPr>
          </w:p>
        </w:tc>
      </w:tr>
      <w:tr>
        <w:trPr>
          <w:trHeight w:val="189"/>
        </w:trPr>
        <w:tc>
          <w:tcPr>
            <w:tcW w:w="200" w:type="dxa"/>
            <w:vAlign w:val="bottom"/>
          </w:tcPr>
          <w:p>
            <w:pPr>
              <w:ind w:left="100"/>
              <w:spacing w:after="0"/>
              <w:rPr>
                <w:sz w:val="20"/>
                <w:szCs w:val="20"/>
                <w:color w:val="auto"/>
              </w:rPr>
            </w:pPr>
            <w:r>
              <w:rPr>
                <w:rFonts w:ascii="Arial" w:cs="Arial" w:eastAsia="Arial" w:hAnsi="Arial"/>
                <w:sz w:val="13"/>
                <w:szCs w:val="13"/>
                <w:color w:val="auto"/>
              </w:rPr>
              <w:t>7</w:t>
            </w:r>
          </w:p>
        </w:tc>
        <w:tc>
          <w:tcPr>
            <w:tcW w:w="3200" w:type="dxa"/>
            <w:vAlign w:val="bottom"/>
          </w:tcPr>
          <w:p>
            <w:pPr>
              <w:spacing w:after="0"/>
              <w:rPr>
                <w:sz w:val="20"/>
                <w:szCs w:val="20"/>
                <w:color w:val="auto"/>
              </w:rPr>
            </w:pPr>
            <w:r>
              <w:rPr>
                <w:rFonts w:ascii="Arial" w:cs="Arial" w:eastAsia="Arial" w:hAnsi="Arial"/>
                <w:sz w:val="13"/>
                <w:szCs w:val="13"/>
                <w:color w:val="auto"/>
              </w:rPr>
              <w:t>3/4% Senior Notes due 2026</w:t>
            </w:r>
          </w:p>
        </w:tc>
        <w:tc>
          <w:tcPr>
            <w:tcW w:w="1200" w:type="dxa"/>
            <w:vAlign w:val="bottom"/>
          </w:tcPr>
          <w:p>
            <w:pPr>
              <w:jc w:val="center"/>
              <w:spacing w:after="0"/>
              <w:rPr>
                <w:sz w:val="20"/>
                <w:szCs w:val="20"/>
                <w:color w:val="auto"/>
              </w:rPr>
            </w:pPr>
            <w:r>
              <w:rPr>
                <w:rFonts w:ascii="Arial" w:cs="Arial" w:eastAsia="Arial" w:hAnsi="Arial"/>
                <w:sz w:val="13"/>
                <w:szCs w:val="13"/>
                <w:color w:val="auto"/>
                <w:w w:val="94"/>
              </w:rPr>
              <w:t>DDBS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2,000,000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1,718,660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1,388,060</w:t>
            </w:r>
          </w:p>
        </w:tc>
        <w:tc>
          <w:tcPr>
            <w:tcW w:w="0" w:type="dxa"/>
            <w:vAlign w:val="bottom"/>
          </w:tcPr>
          <w:p>
            <w:pPr>
              <w:spacing w:after="0"/>
              <w:rPr>
                <w:sz w:val="1"/>
                <w:szCs w:val="1"/>
                <w:color w:val="auto"/>
              </w:rPr>
            </w:pPr>
          </w:p>
        </w:tc>
      </w:tr>
      <w:tr>
        <w:trPr>
          <w:trHeight w:val="189"/>
        </w:trPr>
        <w:tc>
          <w:tcPr>
            <w:tcW w:w="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3</w:t>
            </w: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3/8% Convertible Notes due 2026</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DISH</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2,908,799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2,367,035</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2,908,801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1,570,753</w:t>
            </w:r>
          </w:p>
        </w:tc>
        <w:tc>
          <w:tcPr>
            <w:tcW w:w="0" w:type="dxa"/>
            <w:vAlign w:val="bottom"/>
          </w:tcPr>
          <w:p>
            <w:pPr>
              <w:spacing w:after="0"/>
              <w:rPr>
                <w:sz w:val="1"/>
                <w:szCs w:val="1"/>
                <w:color w:val="auto"/>
              </w:rPr>
            </w:pPr>
          </w:p>
        </w:tc>
      </w:tr>
      <w:tr>
        <w:trPr>
          <w:trHeight w:val="189"/>
        </w:trPr>
        <w:tc>
          <w:tcPr>
            <w:tcW w:w="200" w:type="dxa"/>
            <w:vAlign w:val="bottom"/>
          </w:tcPr>
          <w:p>
            <w:pPr>
              <w:ind w:left="100"/>
              <w:spacing w:after="0"/>
              <w:rPr>
                <w:sz w:val="20"/>
                <w:szCs w:val="20"/>
                <w:color w:val="auto"/>
              </w:rPr>
            </w:pPr>
            <w:r>
              <w:rPr>
                <w:rFonts w:ascii="Arial" w:cs="Arial" w:eastAsia="Arial" w:hAnsi="Arial"/>
                <w:sz w:val="13"/>
                <w:szCs w:val="13"/>
                <w:color w:val="auto"/>
              </w:rPr>
              <w:t>5</w:t>
            </w:r>
          </w:p>
        </w:tc>
        <w:tc>
          <w:tcPr>
            <w:tcW w:w="3200" w:type="dxa"/>
            <w:vAlign w:val="bottom"/>
          </w:tcPr>
          <w:p>
            <w:pPr>
              <w:spacing w:after="0"/>
              <w:rPr>
                <w:sz w:val="20"/>
                <w:szCs w:val="20"/>
                <w:color w:val="auto"/>
              </w:rPr>
            </w:pPr>
            <w:r>
              <w:rPr>
                <w:rFonts w:ascii="Arial" w:cs="Arial" w:eastAsia="Arial" w:hAnsi="Arial"/>
                <w:sz w:val="13"/>
                <w:szCs w:val="13"/>
                <w:color w:val="auto"/>
              </w:rPr>
              <w:t>1/4% Senior Secured Notes due 2026</w:t>
            </w:r>
          </w:p>
        </w:tc>
        <w:tc>
          <w:tcPr>
            <w:tcW w:w="1200" w:type="dxa"/>
            <w:vAlign w:val="bottom"/>
          </w:tcPr>
          <w:p>
            <w:pPr>
              <w:jc w:val="center"/>
              <w:spacing w:after="0"/>
              <w:rPr>
                <w:sz w:val="20"/>
                <w:szCs w:val="20"/>
                <w:color w:val="auto"/>
              </w:rPr>
            </w:pPr>
            <w:r>
              <w:rPr>
                <w:rFonts w:ascii="Arial" w:cs="Arial" w:eastAsia="Arial" w:hAnsi="Arial"/>
                <w:sz w:val="13"/>
                <w:szCs w:val="13"/>
                <w:color w:val="auto"/>
                <w:w w:val="94"/>
              </w:rPr>
              <w:t>DDBS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2,750,000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2,536,875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2,750,000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2,366,073</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11 3/4% Senior Secured Notes due 2027</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DISH</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3,683,750</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3,668,980</w:t>
            </w:r>
          </w:p>
        </w:tc>
        <w:tc>
          <w:tcPr>
            <w:tcW w:w="0" w:type="dxa"/>
            <w:vAlign w:val="bottom"/>
          </w:tcPr>
          <w:p>
            <w:pPr>
              <w:spacing w:after="0"/>
              <w:rPr>
                <w:sz w:val="1"/>
                <w:szCs w:val="1"/>
                <w:color w:val="auto"/>
              </w:rPr>
            </w:pPr>
          </w:p>
        </w:tc>
      </w:tr>
      <w:tr>
        <w:trPr>
          <w:trHeight w:val="189"/>
        </w:trPr>
        <w:tc>
          <w:tcPr>
            <w:tcW w:w="200" w:type="dxa"/>
            <w:vAlign w:val="bottom"/>
          </w:tcPr>
          <w:p>
            <w:pPr>
              <w:ind w:left="100"/>
              <w:spacing w:after="0"/>
              <w:rPr>
                <w:sz w:val="20"/>
                <w:szCs w:val="20"/>
                <w:color w:val="auto"/>
              </w:rPr>
            </w:pPr>
            <w:r>
              <w:rPr>
                <w:rFonts w:ascii="Arial" w:cs="Arial" w:eastAsia="Arial" w:hAnsi="Arial"/>
                <w:sz w:val="13"/>
                <w:szCs w:val="13"/>
                <w:color w:val="auto"/>
              </w:rPr>
              <w:t>7</w:t>
            </w:r>
          </w:p>
        </w:tc>
        <w:tc>
          <w:tcPr>
            <w:tcW w:w="3200" w:type="dxa"/>
            <w:vAlign w:val="bottom"/>
          </w:tcPr>
          <w:p>
            <w:pPr>
              <w:spacing w:after="0"/>
              <w:rPr>
                <w:sz w:val="20"/>
                <w:szCs w:val="20"/>
                <w:color w:val="auto"/>
              </w:rPr>
            </w:pPr>
            <w:r>
              <w:rPr>
                <w:rFonts w:ascii="Arial" w:cs="Arial" w:eastAsia="Arial" w:hAnsi="Arial"/>
                <w:sz w:val="13"/>
                <w:szCs w:val="13"/>
                <w:color w:val="auto"/>
              </w:rPr>
              <w:t>3/8% Senior Notes due 2028</w:t>
            </w:r>
          </w:p>
        </w:tc>
        <w:tc>
          <w:tcPr>
            <w:tcW w:w="1200" w:type="dxa"/>
            <w:vAlign w:val="bottom"/>
          </w:tcPr>
          <w:p>
            <w:pPr>
              <w:jc w:val="center"/>
              <w:spacing w:after="0"/>
              <w:rPr>
                <w:sz w:val="20"/>
                <w:szCs w:val="20"/>
                <w:color w:val="auto"/>
              </w:rPr>
            </w:pPr>
            <w:r>
              <w:rPr>
                <w:rFonts w:ascii="Arial" w:cs="Arial" w:eastAsia="Arial" w:hAnsi="Arial"/>
                <w:sz w:val="13"/>
                <w:szCs w:val="13"/>
                <w:color w:val="auto"/>
                <w:w w:val="94"/>
              </w:rPr>
              <w:t>DDBS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729,150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600,160</w:t>
            </w:r>
          </w:p>
        </w:tc>
        <w:tc>
          <w:tcPr>
            <w:tcW w:w="0" w:type="dxa"/>
            <w:vAlign w:val="bottom"/>
          </w:tcPr>
          <w:p>
            <w:pPr>
              <w:spacing w:after="0"/>
              <w:rPr>
                <w:sz w:val="1"/>
                <w:szCs w:val="1"/>
                <w:color w:val="auto"/>
              </w:rPr>
            </w:pPr>
          </w:p>
        </w:tc>
      </w:tr>
      <w:tr>
        <w:trPr>
          <w:trHeight w:val="189"/>
        </w:trPr>
        <w:tc>
          <w:tcPr>
            <w:tcW w:w="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5</w:t>
            </w: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3/4% Senior Secured Notes due 2028</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DDBS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2,200,000</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2,013,125</w:t>
            </w:r>
          </w:p>
        </w:tc>
        <w:tc>
          <w:tcPr>
            <w:tcW w:w="0" w:type="dxa"/>
            <w:vAlign w:val="bottom"/>
          </w:tcPr>
          <w:p>
            <w:pPr>
              <w:spacing w:after="0"/>
              <w:rPr>
                <w:sz w:val="1"/>
                <w:szCs w:val="1"/>
                <w:color w:val="auto"/>
              </w:rPr>
            </w:pPr>
          </w:p>
        </w:tc>
      </w:tr>
      <w:tr>
        <w:trPr>
          <w:trHeight w:val="189"/>
        </w:trPr>
        <w:tc>
          <w:tcPr>
            <w:tcW w:w="200" w:type="dxa"/>
            <w:vAlign w:val="bottom"/>
          </w:tcPr>
          <w:p>
            <w:pPr>
              <w:ind w:left="100"/>
              <w:spacing w:after="0"/>
              <w:rPr>
                <w:sz w:val="20"/>
                <w:szCs w:val="20"/>
                <w:color w:val="auto"/>
              </w:rPr>
            </w:pPr>
            <w:r>
              <w:rPr>
                <w:rFonts w:ascii="Arial" w:cs="Arial" w:eastAsia="Arial" w:hAnsi="Arial"/>
                <w:sz w:val="13"/>
                <w:szCs w:val="13"/>
                <w:color w:val="auto"/>
              </w:rPr>
              <w:t>5</w:t>
            </w:r>
          </w:p>
        </w:tc>
        <w:tc>
          <w:tcPr>
            <w:tcW w:w="3200" w:type="dxa"/>
            <w:vAlign w:val="bottom"/>
          </w:tcPr>
          <w:p>
            <w:pPr>
              <w:spacing w:after="0"/>
              <w:rPr>
                <w:sz w:val="20"/>
                <w:szCs w:val="20"/>
                <w:color w:val="auto"/>
              </w:rPr>
            </w:pPr>
            <w:r>
              <w:rPr>
                <w:rFonts w:ascii="Arial" w:cs="Arial" w:eastAsia="Arial" w:hAnsi="Arial"/>
                <w:sz w:val="13"/>
                <w:szCs w:val="13"/>
                <w:color w:val="auto"/>
              </w:rPr>
              <w:t>1/8% Senior Notes due 2029</w:t>
            </w:r>
          </w:p>
        </w:tc>
        <w:tc>
          <w:tcPr>
            <w:tcW w:w="1200" w:type="dxa"/>
            <w:vAlign w:val="bottom"/>
          </w:tcPr>
          <w:p>
            <w:pPr>
              <w:jc w:val="center"/>
              <w:spacing w:after="0"/>
              <w:rPr>
                <w:sz w:val="20"/>
                <w:szCs w:val="20"/>
                <w:color w:val="auto"/>
              </w:rPr>
            </w:pPr>
            <w:r>
              <w:rPr>
                <w:rFonts w:ascii="Arial" w:cs="Arial" w:eastAsia="Arial" w:hAnsi="Arial"/>
                <w:sz w:val="13"/>
                <w:szCs w:val="13"/>
                <w:color w:val="auto"/>
                <w:w w:val="94"/>
              </w:rPr>
              <w:t>DDBS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981,000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774,600</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Term Loan due 2029 (2)</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DBS SubscriberCo</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1,800,000</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3400" w:type="dxa"/>
            <w:vAlign w:val="bottom"/>
            <w:gridSpan w:val="2"/>
          </w:tcPr>
          <w:p>
            <w:pPr>
              <w:ind w:left="100"/>
              <w:spacing w:after="0" w:line="117" w:lineRule="exact"/>
              <w:rPr>
                <w:sz w:val="20"/>
                <w:szCs w:val="20"/>
                <w:color w:val="auto"/>
              </w:rPr>
            </w:pPr>
            <w:r>
              <w:rPr>
                <w:rFonts w:ascii="Arial" w:cs="Arial" w:eastAsia="Arial" w:hAnsi="Arial"/>
                <w:sz w:val="13"/>
                <w:szCs w:val="13"/>
                <w:color w:val="auto"/>
              </w:rPr>
              <w:t>Mandatorily Redeemable Preferred Shares due 2029 (2)</w:t>
            </w: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100"/>
              <w:spacing w:after="0"/>
              <w:rPr>
                <w:sz w:val="20"/>
                <w:szCs w:val="20"/>
                <w:color w:val="auto"/>
              </w:rPr>
            </w:pPr>
            <w:r>
              <w:rPr>
                <w:rFonts w:ascii="Arial" w:cs="Arial" w:eastAsia="Arial" w:hAnsi="Arial"/>
                <w:sz w:val="13"/>
                <w:szCs w:val="13"/>
                <w:color w:val="auto"/>
              </w:rPr>
              <w:t>(3)</w:t>
            </w:r>
          </w:p>
        </w:tc>
        <w:tc>
          <w:tcPr>
            <w:tcW w:w="1200" w:type="dxa"/>
            <w:vAlign w:val="bottom"/>
          </w:tcPr>
          <w:p>
            <w:pPr>
              <w:jc w:val="center"/>
              <w:spacing w:after="0"/>
              <w:rPr>
                <w:sz w:val="20"/>
                <w:szCs w:val="20"/>
                <w:color w:val="auto"/>
              </w:rPr>
            </w:pPr>
            <w:r>
              <w:rPr>
                <w:rFonts w:ascii="Arial" w:cs="Arial" w:eastAsia="Arial" w:hAnsi="Arial"/>
                <w:sz w:val="13"/>
                <w:szCs w:val="13"/>
                <w:color w:val="auto"/>
                <w:w w:val="97"/>
              </w:rPr>
              <w:t>DBS SubscriberCo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DISH 2021 Intercompany Loan 2026 Tranche (4)</w:t>
            </w:r>
          </w:p>
        </w:tc>
        <w:tc>
          <w:tcPr>
            <w:tcW w:w="1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Intercompany</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4,767,289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4,767,289</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27,365,829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25,165,079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21,049,710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16,426,201</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notes payable</w:t>
            </w: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63,297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113,564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113,564</w:t>
            </w:r>
          </w:p>
        </w:tc>
        <w:tc>
          <w:tcPr>
            <w:tcW w:w="0" w:type="dxa"/>
            <w:vAlign w:val="bottom"/>
          </w:tcPr>
          <w:p>
            <w:pPr>
              <w:spacing w:after="0"/>
              <w:rPr>
                <w:sz w:val="1"/>
                <w:szCs w:val="1"/>
                <w:color w:val="auto"/>
              </w:rPr>
            </w:pPr>
          </w:p>
        </w:tc>
      </w:tr>
      <w:tr>
        <w:trPr>
          <w:trHeight w:val="117"/>
        </w:trPr>
        <w:tc>
          <w:tcPr>
            <w:tcW w:w="3400" w:type="dxa"/>
            <w:vAlign w:val="bottom"/>
            <w:gridSpan w:val="2"/>
          </w:tcPr>
          <w:p>
            <w:pPr>
              <w:spacing w:after="0" w:line="117" w:lineRule="exact"/>
              <w:rPr>
                <w:sz w:val="20"/>
                <w:szCs w:val="20"/>
                <w:color w:val="auto"/>
              </w:rPr>
            </w:pPr>
            <w:r>
              <w:rPr>
                <w:rFonts w:ascii="Arial" w:cs="Arial" w:eastAsia="Arial" w:hAnsi="Arial"/>
                <w:sz w:val="13"/>
                <w:szCs w:val="13"/>
                <w:color w:val="auto"/>
              </w:rPr>
              <w:t>Unamortized deferred financing costs and other debt</w:t>
            </w: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spacing w:after="0"/>
              <w:rPr>
                <w:sz w:val="20"/>
                <w:szCs w:val="20"/>
                <w:color w:val="auto"/>
              </w:rPr>
            </w:pPr>
            <w:r>
              <w:rPr>
                <w:rFonts w:ascii="Arial" w:cs="Arial" w:eastAsia="Arial" w:hAnsi="Arial"/>
                <w:sz w:val="13"/>
                <w:szCs w:val="13"/>
                <w:color w:val="auto"/>
              </w:rPr>
              <w:t>discounts, net</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(189,909)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(67,215)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Finance lease obligations (5)</w:t>
            </w: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74,009</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123,658</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3400" w:type="dxa"/>
            <w:vAlign w:val="bottom"/>
            <w:gridSpan w:val="2"/>
          </w:tcPr>
          <w:p>
            <w:pPr>
              <w:spacing w:after="0" w:line="97" w:lineRule="exact"/>
              <w:rPr>
                <w:sz w:val="20"/>
                <w:szCs w:val="20"/>
                <w:color w:val="auto"/>
              </w:rPr>
            </w:pPr>
            <w:r>
              <w:rPr>
                <w:rFonts w:ascii="Arial" w:cs="Arial" w:eastAsia="Arial" w:hAnsi="Arial"/>
                <w:sz w:val="10"/>
                <w:szCs w:val="10"/>
                <w:b w:val="1"/>
                <w:bCs w:val="1"/>
                <w:color w:val="auto"/>
              </w:rPr>
              <w:t>Total long-term debt, finance lease and other obligations</w:t>
            </w:r>
          </w:p>
        </w:tc>
        <w:tc>
          <w:tcPr>
            <w:tcW w:w="1200" w:type="dxa"/>
            <w:vAlign w:val="bottom"/>
          </w:tcPr>
          <w:p>
            <w:pPr>
              <w:spacing w:after="0"/>
              <w:rPr>
                <w:sz w:val="8"/>
                <w:szCs w:val="8"/>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27,313,226</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25,228,376</w:t>
            </w:r>
          </w:p>
        </w:tc>
        <w:tc>
          <w:tcPr>
            <w:tcW w:w="120" w:type="dxa"/>
            <w:vAlign w:val="bottom"/>
          </w:tcPr>
          <w:p>
            <w:pPr>
              <w:spacing w:after="0"/>
              <w:rPr>
                <w:sz w:val="8"/>
                <w:szCs w:val="8"/>
                <w:color w:val="auto"/>
              </w:rPr>
            </w:pP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21,219,717</w:t>
            </w:r>
          </w:p>
        </w:tc>
        <w:tc>
          <w:tcPr>
            <w:tcW w:w="14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w w:val="98"/>
              </w:rPr>
              <w:t>16,539,765</w:t>
            </w:r>
          </w:p>
        </w:tc>
        <w:tc>
          <w:tcPr>
            <w:tcW w:w="0" w:type="dxa"/>
            <w:vAlign w:val="bottom"/>
          </w:tcPr>
          <w:p>
            <w:pPr>
              <w:spacing w:after="0"/>
              <w:rPr>
                <w:sz w:val="1"/>
                <w:szCs w:val="1"/>
                <w:color w:val="auto"/>
              </w:rPr>
            </w:pPr>
          </w:p>
        </w:tc>
      </w:tr>
      <w:tr>
        <w:trPr>
          <w:trHeight w:val="139"/>
        </w:trPr>
        <w:tc>
          <w:tcPr>
            <w:tcW w:w="34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(including current portion)</w:t>
            </w:r>
          </w:p>
        </w:tc>
        <w:tc>
          <w:tcPr>
            <w:tcW w:w="120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80" w:right="879" w:hanging="330"/>
        <w:spacing w:after="0" w:line="245"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ind w:left="380"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“New DISH DBS Financing” below for further information.</w:t>
      </w:r>
    </w:p>
    <w:p>
      <w:pPr>
        <w:ind w:left="380"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Due to the mandatory redemption feature of this instrument, it is considered a debt instrument.</w:t>
      </w:r>
    </w:p>
    <w:p>
      <w:pPr>
        <w:ind w:left="380" w:right="11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2024, DISH DBS assigned the DISH 2021 Intercompany Loan 2026 Tranche of $4.7 billion to EchoStar Intercompany Receivable Company L.L.C., our parent, EchoStar’s, direct wholly-owned subsidiary, such that amounts owed in respect of the DISH 2021 Intercompany Loan 2026 Tranche will now be paid by us to EchoStar Intercompany Receivable L.L.C. The DISH 2021 Intercompany Loan 2026 Tranche was previously eliminated in consolidation and held by DISH DBS. The DISH 2021 Intercompany Loan 2026 Tranche is not publicly traded and therefore the carrying value is the fair value.</w:t>
      </w:r>
    </w:p>
    <w:p>
      <w:pPr>
        <w:spacing w:after="0" w:line="4"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80" w:lineRule="exact"/>
        <w:rPr>
          <w:sz w:val="20"/>
          <w:szCs w:val="20"/>
          <w:color w:val="auto"/>
        </w:rPr>
      </w:pPr>
    </w:p>
    <w:p>
      <w:pPr>
        <w:ind w:left="60" w:right="679"/>
        <w:spacing w:after="0" w:line="271"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DBS Exchange Offers</w:t>
      </w:r>
    </w:p>
    <w:p>
      <w:pPr>
        <w:spacing w:after="0" w:line="19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On September 30, 2024, we announced DISH DBS, our wholly-owned, indirect subsidiary, commenced offers to exchange (the “DISH DBS Exchange Offers”) any and all of its: (a) 5 1/4% Senior Secured Notes due 2026 (the “Outstanding 2026 DBS Secured Notes”) for an equal principal amount of its new 5 1/4% First Lien Notes due 2026 (the “New 2026 DBS First Lien Notes”), (b) 5 3/4% Senior Secured Notes due 2028 (the “Outstanding 2028 DBS Secured Notes”) for an equal principal amount of its new 5 3/4% First Lien Notes due 2028 (the “New 2028 DBS First Lien Notes”), (c) 7 3/4% Senior Notes due 2026 (the “Outstanding 2026 DBS Notes”) for an equal principal amount of its new 7 3/4% Second Lien Notes due 2026 (the “New 2026 DBS Second Lien Notes”), (d) 7 3/8% Senior Notes due 2028 (the “Outstanding 2028 DBS Notes”) for an equal principal amount of its new 7 3/8% Second Lien Notes due 2028 (the “New 2028 DBS Second Lien Notes”) and (e) 5 1/8% Senior Notes due 2029 (the “Outstanding 2029 DBS Notes” and, together with the Outstanding 2026 DBS Secured Notes, the Outstanding 2028 DBS Secured Notes, the Outstanding 2026 DBS Notes and the Outstanding 2028 DBS Notes, the “Outstanding DBS Notes”) for an equal principal amount of its new 5 1/8% Second Lien Notes due 2029 (the “New 2029 DBS Second Lien Notes” and, together with the New 2026 DBS First Lien Notes, the New 2028 DBS First Lien Notes, the New 2026 DBS Second Lien Notes and the New 2028 DBS Second Lien Notes, the “New DBS Notes”), in each case, pursuant to the terms described in a confidential exchange offering memorandum and consent solicitation statement, dated September 30, 2024 (“Original Exchange Offering Memorandum”). On October 28, 2024, we announced DISH DBS, our wholly-owned, indirect subsidiary, amended certain terms of the DISH DBS Exchange Offers pursuant to the terms described in Supplement No. 1, dated October 28, 2024 (the “Supplement” and together with the Original Exchange Offering Memorandum, the “Exchange Offering Memorandum”).</w:t>
      </w:r>
    </w:p>
    <w:p>
      <w:pPr>
        <w:spacing w:after="0" w:line="18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DISH DBS Exchange Offers expired at 5:00 p.m., New York City time on November 12, 2024, and the DISH DBS Exchange Offers have been terminated due to the failure to satisfy the Minimum Series Exchange Condition and the Acquisition Consent Threshold Condition, each as defined in the Exchange Offering Memorandum.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22222"/>
        </w:rPr>
        <w:t>New DISH DBS Financing</w:t>
      </w:r>
    </w:p>
    <w:p>
      <w:pPr>
        <w:spacing w:after="0" w:line="19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 xml:space="preserve">On September 29, 2024 (the “Financing Closing Date”), we and our subsidiary, DISH DBS Issuer LLC (“DBS SubscriberCo”), received $2.5 billion in financing from TPG Angelo Gordon and other co-lenders in the form of Term Loans and Mandatorily Redeemable Preferred Shares (each as defined below and together, the </w:t>
      </w:r>
      <w:r>
        <w:rPr>
          <w:rFonts w:ascii="Arial" w:cs="Arial" w:eastAsia="Arial" w:hAnsi="Arial"/>
          <w:sz w:val="18"/>
          <w:szCs w:val="18"/>
          <w:color w:val="222222"/>
        </w:rPr>
        <w:t>“New DISH</w:t>
      </w:r>
      <w:r>
        <w:rPr>
          <w:rFonts w:ascii="Arial" w:cs="Arial" w:eastAsia="Arial" w:hAnsi="Arial"/>
          <w:sz w:val="18"/>
          <w:szCs w:val="18"/>
          <w:color w:val="auto"/>
        </w:rPr>
        <w:t xml:space="preserve"> </w:t>
      </w:r>
      <w:r>
        <w:rPr>
          <w:rFonts w:ascii="Arial" w:cs="Arial" w:eastAsia="Arial" w:hAnsi="Arial"/>
          <w:sz w:val="18"/>
          <w:szCs w:val="18"/>
          <w:color w:val="222222"/>
        </w:rPr>
        <w:t xml:space="preserve">DBS Financing”). Approximately </w:t>
      </w:r>
      <w:r>
        <w:rPr>
          <w:rFonts w:ascii="Arial" w:cs="Arial" w:eastAsia="Arial" w:hAnsi="Arial"/>
          <w:sz w:val="18"/>
          <w:szCs w:val="18"/>
          <w:color w:val="000000"/>
        </w:rPr>
        <w:t>$2.047 billion in proceeds received from the New DISH DBS Financing are</w:t>
      </w:r>
      <w:r>
        <w:rPr>
          <w:rFonts w:ascii="Arial" w:cs="Arial" w:eastAsia="Arial" w:hAnsi="Arial"/>
          <w:sz w:val="18"/>
          <w:szCs w:val="18"/>
          <w:color w:val="222222"/>
        </w:rPr>
        <w:t xml:space="preserve"> </w:t>
      </w:r>
      <w:r>
        <w:rPr>
          <w:rFonts w:ascii="Arial" w:cs="Arial" w:eastAsia="Arial" w:hAnsi="Arial"/>
          <w:sz w:val="18"/>
          <w:szCs w:val="18"/>
          <w:color w:val="000000"/>
        </w:rPr>
        <w:t>included in “Current restricted cash and cash equivalents” on our Condensed Consolidated Balance Sheets and are required to be used for the redemption, repayment or repurchase of the principal balance and remaining interest outstanding on our 5 7/8% Senior Notes due November 15, 2024. If the DISH DBS Exchange Offers and the DIRECTV Transaction fails, the $2.5 billion in New DISH DBS Financing can be redeemed at our election with no prepayment penalty for 180 days.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Loans</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the Financing Closing Date, DBS SubscriberCo, Alter Domus (US) LLC, as Administrative Agent, and the lenders party thereto, entered into a Loan and Security Agreement (together with all the exhibits, annexes and schedules thereto, the “Loan and Security Agreement”), pursuant to which, among other things and subject to the terms and conditions set forth therein, the lenders agreed to extend credit to DBS SubscriberCo in an aggregate principal amount of up to $2.3 billion secured by the assets of DBS SubscriberCo, which includes approximately three million DISH TV subscribers and their related subscription and equipment agreements (such transactions, the “Loan Financing”).</w:t>
      </w:r>
    </w:p>
    <w:p>
      <w:pPr>
        <w:spacing w:after="0" w:line="171"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The Loan Financing consists of the following: (i) initial term loans in an aggregate principal amount of $1.8 billion that mature on June 30, 2029 (the “Term Loan due 2029”), (ii) incremental term loans in an aggregate principal amount of $500 million that are payable in equal monthly installments beginning in January 2025 and mature on September 30, 2025 (the “Term Loan due 2025”) and (iii) an additional amount of incremental term loans (the “Roll-up Incremental Term Loans” and, together with the Term Loan due 2029 and the Term Loan due 2025, the “Term Loans”). The Roll-up Incremental Term Loans may be incurred from time to time, subject to DBS SubscriberCo’s prior approval and pro forma compliance with a leverage ratio set forth in the Loan and Security Agreement, and mature on June 30, 2029.</w:t>
      </w:r>
    </w:p>
    <w:p>
      <w:pPr>
        <w:spacing w:after="0" w:line="167"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 xml:space="preserve">The Roll-up Incremental Term Loans may be incurred </w:t>
      </w:r>
      <w:r>
        <w:rPr>
          <w:rFonts w:ascii="Arial" w:cs="Arial" w:eastAsia="Arial" w:hAnsi="Arial"/>
          <w:sz w:val="18"/>
          <w:szCs w:val="18"/>
          <w:color w:val="212529"/>
        </w:rPr>
        <w:t>in exchange for Outstanding DBS Notes in an aggregate</w:t>
      </w:r>
      <w:r>
        <w:rPr>
          <w:rFonts w:ascii="Arial" w:cs="Arial" w:eastAsia="Arial" w:hAnsi="Arial"/>
          <w:sz w:val="18"/>
          <w:szCs w:val="18"/>
          <w:color w:val="auto"/>
        </w:rPr>
        <w:t xml:space="preserve"> </w:t>
      </w:r>
      <w:r>
        <w:rPr>
          <w:rFonts w:ascii="Arial" w:cs="Arial" w:eastAsia="Arial" w:hAnsi="Arial"/>
          <w:sz w:val="18"/>
          <w:szCs w:val="18"/>
          <w:color w:val="212529"/>
        </w:rPr>
        <w:t>principal amount equal to (i) the price at which certain lenders acquire such notes plus (ii)(A) in the case of Outstanding 2028 DBS Notes and Outstanding 2029 DBS Notes, 15% of the difference between the aggregate principal amount of such notes and the purchase price thereof, or (B) in the case of Outstanding 2026 DBS Notes, Outstanding 2026 DBS Secured Notes and Outstanding 2028 DBS Secured Notes, 20% of the difference between the aggregate principal amount of such notes and the purchase price thereof.</w:t>
      </w:r>
    </w:p>
    <w:p>
      <w:pPr>
        <w:spacing w:after="0" w:line="165"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Interest on the Term Loans accrues and is payable monthly, generally in cash. The interest rate with respect to the Term Loan due 2029 is (i) from (and including) the Financing Closing Date and until (but excluding) the date that is twelve months thereafter, 10.75% per annum and (ii) from (and including) the date that is twelve months after the Financing Closing Date and until June 30, 2029, 11.25% per annum. The interest rate with respect to the Term Loan Due 2025 is 11.00% per annum. The interest rate with respect to the Roll-up Incremental Term Loans is</w:t>
      </w:r>
    </w:p>
    <w:p>
      <w:pPr>
        <w:ind w:left="60" w:right="579" w:hanging="10"/>
        <w:spacing w:after="0" w:line="242" w:lineRule="auto"/>
        <w:tabs>
          <w:tab w:leader="none" w:pos="2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(and including) the Financing Closing Date and until (but excluding) the date that is twelve months thereafter, 11.00% per annum and (ii) from (and including) the date that is twelve months after the Financing Closing Date and until the Maturity Date, 11.50% per annum.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Loan and Security Agreement specifies a priority of payments for funds received by DBS SubscriberCo from subscriber payments and certain other revenue. Specifically, on each Transfer Date, as defined in the Loan and Security Agreement, payments will be made, as applicable, to the Administrative Agent for certain administrative and other fees, to DBS SubscriberCo for reimbursement of certain operating costs, to a subsidiary of DISH Network as Manager under the Loan and Security Agreement and as Servicer for DBS SubscriberCo, and to an account used to collect and remit interest on the Term Loans, preferred distributions with respect to Preferred Membership interests (as defined below), and monthly principal payments on the Term Loan due 2025. After remitting those payments, through September 30, 2025, if DBS SubscriberCo is in compliance with the terms of the Loan and Security Agreement, it will have the ability to accumulate any excess collections, subject to the terms of the Loan and Security Agreement. At its election, any such excess collections can be distributed by DBS SubscriberCo to its parent via an intercompany loan. No later than September 30, 2025, all excess collections will be used to fund the payment of the Term Loans, the Mandatorily Redeemable Preferred Shares and the associated interest and preferred distributions. If DBS SubscriberCo is not in compliance with its covenants, the entity will lose the ability to accumulate any excess collections with those proceeds being utilized to satisfy the debt obligation and associated interest.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Mandatorily Redeemable Preferred Shares Due 2029</w:t>
      </w:r>
    </w:p>
    <w:p>
      <w:pPr>
        <w:spacing w:after="0" w:line="196"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On the Financing Closing Date, DBS SubscriberCo, entered into an amended and restated limited liability company agreement (the “SubscriberCo LLCA”), pursuant to which, among other things, DBS SubscriberCo issued to certain investors (the “Preferred Members”) redeemable preferred equity interests (the “Preferred Membership Interests”) with an aggregate liquidation preference of $200 million (the “Mandatorily Redeemable Preferred Shares”). The Mandatorily Redeemable Preferred Shares mature on June 30, 2029. Due to the mandatory redemption feature of this instrument, it is considered a debt instrument and recorded in “Long-term debt, finance lease and other obligations, net of current portion” on our Condensed Consolidated Balance Sheets.</w:t>
      </w:r>
    </w:p>
    <w:p>
      <w:pPr>
        <w:spacing w:after="0" w:line="155"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The Preferred Membership Interests have a preferential cumulative return that accumulates daily in arrears at a rate of (a) from (and including) the Financing Closing Date and until (but excluding) the date that is 12 months thereafter, 13.25% per annum and (b) from (and including) the date that is 12 months after the Financing Closing Date and until June 30, 2029 (or the first business day thereafter), 13.75% per annum, payable in cash monthly and a liquidation preference equal to the issue price plus all accrued and unpaid dividends.</w:t>
      </w:r>
    </w:p>
    <w:p>
      <w:pPr>
        <w:spacing w:after="0" w:line="15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 Preferred Membership Interests are redeemable at DBS SubscriberCo’s option prior to the June 30, 2029 maturity date at a premium as described in the SubscriberCo LLCA. Upon the maturity date, DBS SubscriberCo is required to redeem all of the Preferred Membership Interests issued and outstanding at such time, and upon payment in full of the aggregate liquidation preference, all rights of the Preferred Members will terminate. The Preferred Members also have certain governance and economic rights set forth in the SubscriberCo LLCA.</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13 for update and details of the EchoStar Exchange Offers.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0% Convertible Notes due 2025</w:t>
      </w:r>
    </w:p>
    <w:p>
      <w:pPr>
        <w:spacing w:after="0" w:line="198"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On December 21, 2020, we issued $2.0 billion aggregate principal amount of the Convertible Notes due December 15, 2025 in a private placement. These notes will not bear interest, and the principal amount of the Notes will not accrete.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2025 are:</w:t>
      </w:r>
    </w:p>
    <w:p>
      <w:pPr>
        <w:spacing w:after="0" w:line="198"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459" w:hanging="319"/>
        <w:spacing w:after="0" w:line="234"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2025;</w:t>
      </w: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199" w:hanging="319"/>
        <w:spacing w:after="0" w:line="234"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spacing w:after="0" w:line="16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2025 may be converted at an initial conversion rate of 8.566 shares of EchoStar’s Class A common stock per $1,000 principal amount of the Convertible Notes due 2025 (equivalent to an initial conversion price of approximately $116.74 per share of EchoStar’s Class A common stock) (the “Initial Conversion Rate”), at any time on or after July 15, 2025 through the second scheduled trading day preceding the maturity date. Holders of the Convertible Notes due 2025 will also have the right to convert the Convertible Notes due 2025 at the Initial Conversion Rate prior to July 15, 2025, but only upon the occurrence of specified events described in the related indenture. The conversion rate is subject to anti-dilution adjustments if certain events occur. Upon any conversion, EchoStar will settle its conversion obligation in cash, shares of EchoStar’s Class A common stock or a combination of cash and shares of EchoStar’s Class A common stock, at its election.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3/8% Convertible Notes due 2026</w:t>
      </w:r>
    </w:p>
    <w:p>
      <w:pPr>
        <w:spacing w:after="0" w:line="198"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On August 8, 2016, we issued $3.0 billion aggregate principal amount of the Convertible Notes due August 15, 2026 in a private offering. Interest accrues at an annual rate of 3 3/8% and is payable semi-annually in cash, in arrears on February 15 and August 15 of each year.</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2026 are:</w:t>
      </w:r>
    </w:p>
    <w:p>
      <w:pPr>
        <w:spacing w:after="0" w:line="185"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2026;</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6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2026 may be converted at an initial conversion rate of 5.383 shares of EchoStar’s Class A common stock per $1,000 principal amount of Convertible Notes due 2026 (equivalent to an initial conversion price of approximately $185.76 per share of EchoStar’s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Upon any conversion, EchoStar will settle its conversion obligation in cash, shares of EchoStar’s Class A common stock or a combination of cash and shares of EchoStar’s Class A common stock, at its election.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 Hedge and Warrant Transactions</w:t>
      </w:r>
    </w:p>
    <w:p>
      <w:pPr>
        <w:spacing w:after="0" w:line="196"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i w:val="1"/>
          <w:iCs w:val="1"/>
          <w:color w:val="auto"/>
        </w:rPr>
        <w:t>Merger with EchoStar</w:t>
      </w:r>
      <w:r>
        <w:rPr>
          <w:rFonts w:ascii="Arial" w:cs="Arial" w:eastAsia="Arial" w:hAnsi="Arial"/>
          <w:sz w:val="18"/>
          <w:szCs w:val="18"/>
          <w:color w:val="auto"/>
        </w:rPr>
        <w:t>. As defined and detailed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in connection with the completion of the Merger, on December 31, 2023, we and EchoStar entered into a note hedge amendment letter agreement with each option counterparty pursuant to which, at the Effective Time, our right to purchase shares of DISH Class A Common Stock pursuant to the terms of the applicable convertible note hedge transactions was changed into a right to purchase shares of EchoStar Class A Common Stock.</w:t>
      </w:r>
    </w:p>
    <w:p>
      <w:pPr>
        <w:spacing w:after="0" w:line="165"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In addition, in connection with the completion of the Merger, on December 31, 2023, we and EchoStar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EchoStar guaranteed all of our obligations under the applicable warrant transactions.</w:t>
      </w:r>
    </w:p>
    <w:p>
      <w:pPr>
        <w:spacing w:after="0" w:line="165"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DISH Network Class A Common Stock underlying the Convertible Notes due 2026, which initially gives us the option to purchase approximately 46 million shares of DISH Network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DISH Network Class A common stock, which initially gives the option counterparties the option to purchase approximately 46 million shares of DISH Network Class A common stock at a price of approximately $86.08 per share, which in connection with the completion of the Merger converted into approximately 16 million shares of EchoStar Class A Common Stock at price ranges of approximately $185.75 to $245.33 per share. We received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Condensed Consolidated Balance Sheets as of December 31, 2016.</w:t>
      </w:r>
    </w:p>
    <w:p>
      <w:pPr>
        <w:spacing w:after="0" w:line="172"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2021 Intercompany Loan</w:t>
      </w:r>
    </w:p>
    <w:p>
      <w:pPr>
        <w:spacing w:after="0" w:line="198"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The net proceeds from the offering of our 5 1/4% Senior Secured Notes due 2026 and our 5 3/4% Senior Secured Notes due 2028 (the “Senior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 The DISH 2021 Intercompany Loan matures in two tranches, with the first tranche maturing on December 1, 2026 (the “DISH 2021 Intercompany Loan 2026 Tranche”) and the second tranche maturing on December 1, 2028 (the “DISH 2021 Intercompany Loan 2028 Tranche”). DISH DBS may make additional advances to DISH Network under the DISH 2021 Intercompany Loan, and on February 11, 2022, DISH DBS advanced an additional $1.5 billion to DISH Network under the DISH 2021 Intercompany Loan 2026 Tranche. Interest accrues and is payable semiannually, and interest payments with respect to the DISH 2021 Intercompany Loan are, at our option, payable in kind for the first two years from the issuance date of November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the third year post issuance date, a minimum of 50% of each interest payment due with respect to each tranche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 the DISH 2021 Intercompany Loan must be paid in cash. Thereafter, interest payments must be paid in cash.</w:t>
      </w:r>
    </w:p>
    <w:p>
      <w:pPr>
        <w:ind w:left="60"/>
        <w:spacing w:after="0" w:line="234" w:lineRule="auto"/>
        <w:rPr>
          <w:sz w:val="20"/>
          <w:szCs w:val="20"/>
          <w:color w:val="auto"/>
        </w:rPr>
      </w:pPr>
      <w:r>
        <w:rPr>
          <w:rFonts w:ascii="Arial" w:cs="Arial" w:eastAsia="Arial" w:hAnsi="Arial"/>
          <w:sz w:val="18"/>
          <w:szCs w:val="18"/>
          <w:color w:val="auto"/>
        </w:rPr>
        <w:t>Interest will accrue: (a) when paid in cash, at a fixed rate of 0.25% per annum in excess of the interest rate</w:t>
      </w:r>
    </w:p>
    <w:p>
      <w:pPr>
        <w:ind w:left="60"/>
        <w:spacing w:after="0" w:line="235" w:lineRule="auto"/>
        <w:rPr>
          <w:sz w:val="20"/>
          <w:szCs w:val="20"/>
          <w:color w:val="auto"/>
        </w:rPr>
      </w:pPr>
      <w:r>
        <w:rPr>
          <w:rFonts w:ascii="Arial" w:cs="Arial" w:eastAsia="Arial" w:hAnsi="Arial"/>
          <w:sz w:val="18"/>
          <w:szCs w:val="18"/>
          <w:color w:val="auto"/>
        </w:rPr>
        <w:t>applicable to, in the case of the DISH 2021 Intercompany Loan 2026 Tranche, the 5 1/4% Senior Secured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Notes due 2026, and in the case of the DISH 2021 Intercompany Loan 2028 Tranche, the 5 3/4% Senior Secured</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Notes due 2028 (each, the “Cash Accrual Rate” with respect to the applicable tranche); and (b) when paid in kind,</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a rate of 0.75% per annum in excess of the Cash Accrual Rate for the applicable tranche.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As of September 30, 2024, the total DISH 2021 Intercompany Loan amount outstanding plus interest paid in kind was $7.612 billion. During the three and nine months ended September 30, 2024, interest payments for the DISH 2021 Intercompany Loan paid in cash totaled zero and $107 million, respectively.</w:t>
      </w:r>
    </w:p>
    <w:p>
      <w:pPr>
        <w:spacing w:after="0" w:line="15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i w:val="1"/>
          <w:iCs w:val="1"/>
          <w:color w:val="auto"/>
        </w:rPr>
        <w:t xml:space="preserve">DISH 2021 Intercompany Loan 2028 Tranche. </w:t>
      </w:r>
      <w:r>
        <w:rPr>
          <w:rFonts w:ascii="Arial" w:cs="Arial" w:eastAsia="Arial" w:hAnsi="Arial"/>
          <w:sz w:val="18"/>
          <w:szCs w:val="18"/>
          <w:color w:val="auto"/>
        </w:rPr>
        <w:t>As of September 30, 2024, the DISH 2021 Intercompany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2028 Tranche amount outstanding plus interest paid in kind was $2.844 billion. During the three and nine months ended September 30, 2024, interest payments for the DISH 2021 Intercompany Loan 2028 Tranche paid in cash totaled zero and $42 million, respectively.</w:t>
      </w:r>
    </w:p>
    <w:p>
      <w:pPr>
        <w:spacing w:after="0" w:line="160"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i w:val="1"/>
          <w:iCs w:val="1"/>
          <w:color w:val="auto"/>
        </w:rPr>
        <w:t xml:space="preserve">DISH 2021 Intercompany Loan 2026 Tranche. </w:t>
      </w:r>
      <w:r>
        <w:rPr>
          <w:rFonts w:ascii="Arial" w:cs="Arial" w:eastAsia="Arial" w:hAnsi="Arial"/>
          <w:sz w:val="17"/>
          <w:szCs w:val="17"/>
          <w:color w:val="auto"/>
        </w:rPr>
        <w:t>In January 2024, DISH DBS assigned the DISH 2021</w:t>
      </w:r>
      <w:r>
        <w:rPr>
          <w:rFonts w:ascii="Arial" w:cs="Arial" w:eastAsia="Arial" w:hAnsi="Arial"/>
          <w:sz w:val="17"/>
          <w:szCs w:val="17"/>
          <w:i w:val="1"/>
          <w:iCs w:val="1"/>
          <w:color w:val="auto"/>
        </w:rPr>
        <w:t xml:space="preserve"> </w:t>
      </w:r>
      <w:r>
        <w:rPr>
          <w:rFonts w:ascii="Arial" w:cs="Arial" w:eastAsia="Arial" w:hAnsi="Arial"/>
          <w:sz w:val="17"/>
          <w:szCs w:val="17"/>
          <w:color w:val="auto"/>
        </w:rPr>
        <w:t>Intercompany Loan 2026 Tranche of $4.7 billion to EchoStar Intercompany Receivable Company L.L.C., our parent, EchoStar’s, direct wholly-owned subsidiary, such that amounts owed in respect of the DISH 2021 Intercompany Loan 2026 Tranche will now be paid by us to EchoStar Intercompany Receivable L.L.C. The DISH 2021 Intercompany Loan 2026 Tranche was previously eliminated in consolidation and held by DISH DBS.</w:t>
      </w:r>
    </w:p>
    <w:p>
      <w:pPr>
        <w:spacing w:after="0" w:line="15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of September 30, 2024, the total “DISH 2021 Intercompany Loan 2026 Tranche” amount outstanding plus interest paid in kind was $4.767 billion, not including “Intercompany Loan 2026 Tranche - Interest payable in cash” of $22 million recorded on our Condensed Consolidated Balance Sheets. During the three and nine months ended September 30, 2024, interest payments for the DISH 2021 Intercompany Loan 2026 Tranche paid in cash totaled zero and $65 million, respectively. During the three and nine months ended September 30, 2024, we recorded $65 million and $193 million, respectively, of “Interest expense, net of amounts capitalized” on our Condensed Consolidated Statements of Operations and Comprehensive Income (Loss).</w:t>
      </w:r>
    </w:p>
    <w:p>
      <w:pPr>
        <w:spacing w:after="0" w:line="15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DISH 2021 Intercompany Loan is secured by Weminuche’s interest in the wireless spectrum licenses for the 3.45-3.55 GHz Licenses with such cash proceeds up to the total loan amount outstanding including interest paid in kind. Under certain circumstances, DISH Network wireless spectrum licenses (valued based upon a third-party valuation) may be substituted for the collateral. The DISH 2021 Intercompany Loan is not included as collateral for the Senior Secured Notes, and the Senior Secured Notes are subordinated to DISH DBS’s existing and certain future unsecured notes with respect to certain realizations under the DISH 2021 Intercompany Loan and any collateral pledged as security for the DISH 2021 Intercompany Loan.</w:t>
      </w:r>
    </w:p>
    <w:p>
      <w:pPr>
        <w:spacing w:after="0" w:line="158" w:lineRule="exact"/>
        <w:rPr>
          <w:sz w:val="20"/>
          <w:szCs w:val="20"/>
          <w:color w:val="auto"/>
        </w:rPr>
      </w:pPr>
    </w:p>
    <w:p>
      <w:pPr>
        <w:ind w:left="700" w:hanging="650"/>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 Deployment</w:t>
      </w:r>
    </w:p>
    <w:p>
      <w:pPr>
        <w:spacing w:after="0" w:line="196" w:lineRule="exact"/>
        <w:rPr>
          <w:sz w:val="20"/>
          <w:szCs w:val="20"/>
          <w:color w:val="auto"/>
        </w:rPr>
      </w:pPr>
    </w:p>
    <w:p>
      <w:pPr>
        <w:ind w:left="60" w:right="99" w:hanging="7"/>
        <w:spacing w:after="0" w:line="242" w:lineRule="auto"/>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which does not include $7 billion of capitalized interest related to the carrying value of such licenses. See Note 1 and Note 2 for further information. We plan to commercialize our Wireless spectrum licenses through our 5G Network Deployment. We have committed to deploy our 5G Network capable of serving increasingly larger portions of the U.S. population at different deadlines.</w:t>
      </w:r>
    </w:p>
    <w:p>
      <w:pPr>
        <w:spacing w:after="0" w:line="16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may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Wireless Spectrum Licenses</w:t>
      </w:r>
    </w:p>
    <w:p>
      <w:pPr>
        <w:spacing w:after="0" w:line="196" w:lineRule="exact"/>
        <w:rPr>
          <w:sz w:val="20"/>
          <w:szCs w:val="20"/>
          <w:color w:val="auto"/>
        </w:rPr>
      </w:pPr>
    </w:p>
    <w:p>
      <w:pPr>
        <w:ind w:left="60" w:right="59"/>
        <w:spacing w:after="0"/>
        <w:rPr>
          <w:sz w:val="20"/>
          <w:szCs w:val="20"/>
          <w:color w:val="auto"/>
        </w:rPr>
      </w:pPr>
      <w:r>
        <w:rPr>
          <w:rFonts w:ascii="Arial" w:cs="Arial" w:eastAsia="Arial" w:hAnsi="Arial"/>
          <w:sz w:val="18"/>
          <w:szCs w:val="18"/>
          <w:i w:val="1"/>
          <w:iCs w:val="1"/>
          <w:color w:val="auto"/>
        </w:rPr>
        <w:t xml:space="preserve">Liberty Puerto Rico Asset Sale. </w:t>
      </w:r>
      <w:r>
        <w:rPr>
          <w:rFonts w:ascii="Arial" w:cs="Arial" w:eastAsia="Arial" w:hAnsi="Arial"/>
          <w:sz w:val="18"/>
          <w:szCs w:val="18"/>
          <w:color w:val="auto"/>
        </w:rPr>
        <w:t>On November 5, 2023, we entered into an Asset Purchase Agreement,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 and other ancillary transaction agreements with Liberty Latin America (“Liberty”) and its affiliate providing for the sale of certain of our wireless assets in Puerto Rico and the US Virgin Islands (the “Liberty Puerto Rico Asset Sale”). The consideration also includes a right for us to receive preferential international roaming rates within Liberty’s footprint at a reduced rate for a 10 year period. Subsequently, in the first quarter of 2024, a portion our wireless assets included in the Liberty Puerto Rico Asset Sale were included in the Sale and Transfer of Assets to EchoStar. The Liberty Puerto Rico Asset Sale was approved by the FCC and DOJ and closed in the third quarter of 2024.</w:t>
      </w:r>
    </w:p>
    <w:p>
      <w:pPr>
        <w:spacing w:after="0" w:line="167"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Our parent, EchoStar, will receive payments totaling $251 million, of which we will receive payments totaling $125 million, including working capital adjustments, over a three year period, including an upfront payment, which we received in September 2024. We expect to receive the remaining amounts annually over the next three years. As of September 30, 2024, we received payments of $95 million, which includes payments for a portion of wireless assets held by our parent, EchoStar. As a result, $46 million is recorded in “Trade accounts payable” on our Condensed Consolidated Balance Sheets.</w:t>
      </w:r>
    </w:p>
    <w:p>
      <w:pPr>
        <w:spacing w:after="0" w:line="165"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The difference between our net carrying value of the assets sold to their fair value resulted in a $21 million gain which was recorded in “Other, net” within “Other Income (Expense)” on our Condensed Consolidated Statements of Operations and Comprehensive Income (Loss) for the three and nine months ended September 30, 2024.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99"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color w:val="auto"/>
        </w:rPr>
        <w:t>Our Wireless spectrum licenses are subject to certain build-out requirements, as well as certain renewal requirements that are summarized in the table below:</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Build-Out Deadlines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0" w:type="dxa"/>
            <w:vAlign w:val="bottom"/>
            <w:tcBorders>
              <w:bottom w:val="single" w:sz="8" w:color="auto"/>
            </w:tcBorders>
            <w:gridSpan w:val="2"/>
          </w:tcPr>
          <w:p>
            <w:pPr>
              <w:ind w:left="1260"/>
              <w:spacing w:after="0"/>
              <w:rPr>
                <w:sz w:val="20"/>
                <w:szCs w:val="20"/>
                <w:color w:val="auto"/>
              </w:rPr>
            </w:pPr>
            <w:r>
              <w:rPr>
                <w:rFonts w:ascii="Arial" w:cs="Arial" w:eastAsia="Arial" w:hAnsi="Arial"/>
                <w:sz w:val="13"/>
                <w:szCs w:val="13"/>
                <w:b w:val="1"/>
                <w:bCs w:val="1"/>
                <w:color w:val="auto"/>
              </w:rPr>
              <w:t>Final</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300" w:type="dxa"/>
            <w:vAlign w:val="bottom"/>
          </w:tcPr>
          <w:p>
            <w:pPr>
              <w:spacing w:after="0"/>
              <w:rPr>
                <w:sz w:val="9"/>
                <w:szCs w:val="9"/>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4"/>
              </w:rPr>
              <w:t>Carrying Amount</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Interim</w:t>
            </w:r>
          </w:p>
        </w:tc>
        <w:tc>
          <w:tcPr>
            <w:tcW w:w="14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Accelerated License</w:t>
            </w:r>
          </w:p>
        </w:tc>
        <w:tc>
          <w:tcPr>
            <w:tcW w:w="14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Extension License</w:t>
            </w: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Expiration Date</w:t>
            </w: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040" w:type="dxa"/>
            <w:vAlign w:val="bottom"/>
            <w:tcBorders>
              <w:bottom w:val="single" w:sz="8" w:color="auto"/>
            </w:tcBorders>
            <w:gridSpan w:val="2"/>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Areas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Areas</w:t>
            </w:r>
          </w:p>
        </w:tc>
        <w:tc>
          <w:tcPr>
            <w:tcW w:w="1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Owned:</w:t>
            </w:r>
          </w:p>
        </w:tc>
        <w:tc>
          <w:tcPr>
            <w:tcW w:w="10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w w:val="96"/>
              </w:rPr>
              <w:t>(In thousands)</w:t>
            </w: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DBS Licenses (1)</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677,409</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80"/>
              <w:spacing w:after="0"/>
              <w:rPr>
                <w:sz w:val="20"/>
                <w:szCs w:val="20"/>
                <w:color w:val="auto"/>
              </w:rPr>
            </w:pPr>
            <w:r>
              <w:rPr>
                <w:rFonts w:ascii="Arial" w:cs="Arial" w:eastAsia="Arial" w:hAnsi="Arial"/>
                <w:sz w:val="13"/>
                <w:szCs w:val="13"/>
                <w:color w:val="auto"/>
              </w:rPr>
              <w:t>600 MHz Licenses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6,192,575</w:t>
            </w:r>
          </w:p>
        </w:tc>
        <w:tc>
          <w:tcPr>
            <w:tcW w:w="10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7"/>
              </w:rPr>
              <w:t>December 31, 2024 (3)</w:t>
            </w:r>
          </w:p>
        </w:tc>
        <w:tc>
          <w:tcPr>
            <w:tcW w:w="1400" w:type="dxa"/>
            <w:vAlign w:val="bottom"/>
          </w:tcPr>
          <w:p>
            <w:pPr>
              <w:jc w:val="center"/>
              <w:spacing w:after="0"/>
              <w:rPr>
                <w:sz w:val="20"/>
                <w:szCs w:val="20"/>
                <w:color w:val="auto"/>
              </w:rPr>
            </w:pPr>
            <w:r>
              <w:rPr>
                <w:rFonts w:ascii="Arial" w:cs="Arial" w:eastAsia="Arial" w:hAnsi="Arial"/>
                <w:sz w:val="13"/>
                <w:szCs w:val="13"/>
                <w:color w:val="auto"/>
                <w:w w:val="98"/>
              </w:rPr>
              <w:t>June 14, 2025 (5)</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June 2029</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3.45–3.55 GHz Licenses</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7,329,093</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May 4, 2026 (6)</w:t>
            </w: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May 4, 2030 (6)</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2037</w:t>
            </w:r>
          </w:p>
        </w:tc>
        <w:tc>
          <w:tcPr>
            <w:tcW w:w="0" w:type="dxa"/>
            <w:vAlign w:val="bottom"/>
          </w:tcPr>
          <w:p>
            <w:pPr>
              <w:spacing w:after="0"/>
              <w:rPr>
                <w:sz w:val="1"/>
                <w:szCs w:val="1"/>
                <w:color w:val="auto"/>
              </w:rPr>
            </w:pPr>
          </w:p>
        </w:tc>
      </w:tr>
      <w:tr>
        <w:trPr>
          <w:trHeight w:val="117"/>
        </w:trPr>
        <w:tc>
          <w:tcPr>
            <w:tcW w:w="2300" w:type="dxa"/>
            <w:vAlign w:val="bottom"/>
          </w:tcPr>
          <w:p>
            <w:pPr>
              <w:ind w:left="80"/>
              <w:spacing w:after="0" w:line="117" w:lineRule="exact"/>
              <w:rPr>
                <w:sz w:val="20"/>
                <w:szCs w:val="20"/>
                <w:color w:val="auto"/>
              </w:rPr>
            </w:pPr>
            <w:r>
              <w:rPr>
                <w:rFonts w:ascii="Arial" w:cs="Arial" w:eastAsia="Arial" w:hAnsi="Arial"/>
                <w:sz w:val="13"/>
                <w:szCs w:val="13"/>
                <w:color w:val="auto"/>
              </w:rPr>
              <w:t>1695-1710 MHz, 1755-1780 MHz and</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20"/>
              <w:spacing w:after="0"/>
              <w:rPr>
                <w:sz w:val="20"/>
                <w:szCs w:val="20"/>
                <w:color w:val="auto"/>
              </w:rPr>
            </w:pPr>
            <w:r>
              <w:rPr>
                <w:rFonts w:ascii="Arial" w:cs="Arial" w:eastAsia="Arial" w:hAnsi="Arial"/>
                <w:sz w:val="13"/>
                <w:szCs w:val="13"/>
                <w:color w:val="auto"/>
              </w:rPr>
              <w:t>2155-2180 MHz (2)</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972</w:t>
            </w: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6"/>
              </w:rPr>
              <w:t>March 2026</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AWS-3</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5,557,828</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December 31, 2024 (4)</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October 2025 (7)</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October 2025 (7)</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3"/>
                <w:szCs w:val="13"/>
                <w:b w:val="1"/>
                <w:bCs w:val="1"/>
                <w:i w:val="1"/>
                <w:iCs w:val="1"/>
                <w:color w:val="auto"/>
              </w:rPr>
              <w:t>Subtotal owned</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19,757,877</w:t>
            </w:r>
          </w:p>
        </w:tc>
        <w:tc>
          <w:tcPr>
            <w:tcW w:w="102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Noncontrolling Investments: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SNR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4,271,459</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December 31, 2024 (4)</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October 2025 (7)</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October 2025 (7)</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Interest (8)</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6,563,550</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Regulatory authorizations, net</w:t>
            </w: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30,592,886</w:t>
            </w:r>
          </w:p>
        </w:tc>
        <w:tc>
          <w:tcPr>
            <w:tcW w:w="10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Leased from EchoStar (9):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700 MHz Licenses (2)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701,803</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December 31, 2024 (10)</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14, 2025 (11)</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62"/>
        </w:trPr>
        <w:tc>
          <w:tcPr>
            <w:tcW w:w="2300" w:type="dxa"/>
            <w:vAlign w:val="bottom"/>
          </w:tcPr>
          <w:p>
            <w:pPr>
              <w:ind w:left="80"/>
              <w:spacing w:after="0"/>
              <w:rPr>
                <w:sz w:val="20"/>
                <w:szCs w:val="20"/>
                <w:color w:val="auto"/>
              </w:rPr>
            </w:pPr>
            <w:r>
              <w:rPr>
                <w:rFonts w:ascii="Arial" w:cs="Arial" w:eastAsia="Arial" w:hAnsi="Arial"/>
                <w:sz w:val="13"/>
                <w:szCs w:val="13"/>
                <w:color w:val="auto"/>
              </w:rPr>
              <w:t>AWS-4 Licenses (2)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1,928,688</w:t>
            </w:r>
          </w:p>
        </w:tc>
        <w:tc>
          <w:tcPr>
            <w:tcW w:w="10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6"/>
              </w:rPr>
              <w:t>December 31, 2024 (10)</w:t>
            </w:r>
          </w:p>
        </w:tc>
        <w:tc>
          <w:tcPr>
            <w:tcW w:w="1400" w:type="dxa"/>
            <w:vAlign w:val="bottom"/>
          </w:tcPr>
          <w:p>
            <w:pPr>
              <w:jc w:val="center"/>
              <w:spacing w:after="0"/>
              <w:rPr>
                <w:sz w:val="20"/>
                <w:szCs w:val="20"/>
                <w:color w:val="auto"/>
              </w:rPr>
            </w:pPr>
            <w:r>
              <w:rPr>
                <w:rFonts w:ascii="Arial" w:cs="Arial" w:eastAsia="Arial" w:hAnsi="Arial"/>
                <w:sz w:val="13"/>
                <w:szCs w:val="13"/>
                <w:color w:val="auto"/>
                <w:w w:val="95"/>
              </w:rPr>
              <w:t>June 14, 2025 (11)</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 Block Licenses (2)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1,671,506</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December 31, 2024 (10)</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June 14, 2025 (12)</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62"/>
        </w:trPr>
        <w:tc>
          <w:tcPr>
            <w:tcW w:w="2300" w:type="dxa"/>
            <w:vAlign w:val="bottom"/>
          </w:tcPr>
          <w:p>
            <w:pPr>
              <w:ind w:left="80"/>
              <w:spacing w:after="0"/>
              <w:rPr>
                <w:sz w:val="20"/>
                <w:szCs w:val="20"/>
                <w:color w:val="auto"/>
              </w:rPr>
            </w:pPr>
            <w:r>
              <w:rPr>
                <w:rFonts w:ascii="Arial" w:cs="Arial" w:eastAsia="Arial" w:hAnsi="Arial"/>
                <w:sz w:val="13"/>
                <w:szCs w:val="13"/>
                <w:color w:val="auto"/>
              </w:rPr>
              <w:t>MVDDS Licenses (1)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24,000</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July, August, September 2034</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LMDS Licenses (1)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September 2028</w:t>
            </w:r>
          </w:p>
        </w:tc>
        <w:tc>
          <w:tcPr>
            <w:tcW w:w="0" w:type="dxa"/>
            <w:vAlign w:val="bottom"/>
          </w:tcPr>
          <w:p>
            <w:pPr>
              <w:spacing w:after="0"/>
              <w:rPr>
                <w:sz w:val="1"/>
                <w:szCs w:val="1"/>
                <w:color w:val="auto"/>
              </w:rPr>
            </w:pPr>
          </w:p>
        </w:tc>
      </w:tr>
      <w:tr>
        <w:trPr>
          <w:trHeight w:val="162"/>
        </w:trPr>
        <w:tc>
          <w:tcPr>
            <w:tcW w:w="2300" w:type="dxa"/>
            <w:vAlign w:val="bottom"/>
          </w:tcPr>
          <w:p>
            <w:pPr>
              <w:ind w:left="80"/>
              <w:spacing w:after="0"/>
              <w:rPr>
                <w:sz w:val="20"/>
                <w:szCs w:val="20"/>
                <w:color w:val="auto"/>
              </w:rPr>
            </w:pPr>
            <w:r>
              <w:rPr>
                <w:rFonts w:ascii="Arial" w:cs="Arial" w:eastAsia="Arial" w:hAnsi="Arial"/>
                <w:sz w:val="13"/>
                <w:szCs w:val="13"/>
                <w:color w:val="auto"/>
              </w:rPr>
              <w:t>28 GHz Licenses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2,883</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6"/>
              </w:rPr>
              <w:t>October 2, 2029 (13)</w:t>
            </w:r>
          </w:p>
        </w:tc>
        <w:tc>
          <w:tcPr>
            <w:tcW w:w="1740" w:type="dxa"/>
            <w:vAlign w:val="bottom"/>
          </w:tcPr>
          <w:p>
            <w:pPr>
              <w:jc w:val="center"/>
              <w:spacing w:after="0"/>
              <w:rPr>
                <w:sz w:val="20"/>
                <w:szCs w:val="20"/>
                <w:color w:val="auto"/>
              </w:rPr>
            </w:pPr>
            <w:r>
              <w:rPr>
                <w:rFonts w:ascii="Arial" w:cs="Arial" w:eastAsia="Arial" w:hAnsi="Arial"/>
                <w:sz w:val="13"/>
                <w:szCs w:val="13"/>
                <w:color w:val="auto"/>
                <w:w w:val="98"/>
              </w:rPr>
              <w:t>October 2029</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24 GHz Licenses</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11,772</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December 11, 2029 (13)</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December 2029</w:t>
            </w:r>
          </w:p>
        </w:tc>
        <w:tc>
          <w:tcPr>
            <w:tcW w:w="0" w:type="dxa"/>
            <w:vAlign w:val="bottom"/>
          </w:tcPr>
          <w:p>
            <w:pPr>
              <w:spacing w:after="0"/>
              <w:rPr>
                <w:sz w:val="1"/>
                <w:szCs w:val="1"/>
                <w:color w:val="auto"/>
              </w:rPr>
            </w:pPr>
          </w:p>
        </w:tc>
      </w:tr>
      <w:tr>
        <w:trPr>
          <w:trHeight w:val="162"/>
        </w:trPr>
        <w:tc>
          <w:tcPr>
            <w:tcW w:w="2300" w:type="dxa"/>
            <w:vAlign w:val="bottom"/>
          </w:tcPr>
          <w:p>
            <w:pPr>
              <w:ind w:left="80"/>
              <w:spacing w:after="0"/>
              <w:rPr>
                <w:sz w:val="20"/>
                <w:szCs w:val="20"/>
                <w:color w:val="auto"/>
              </w:rPr>
            </w:pPr>
            <w:r>
              <w:rPr>
                <w:rFonts w:ascii="Arial" w:cs="Arial" w:eastAsia="Arial" w:hAnsi="Arial"/>
                <w:sz w:val="13"/>
                <w:szCs w:val="13"/>
                <w:color w:val="auto"/>
                <w:w w:val="98"/>
              </w:rPr>
              <w:t>37 GHz, 39 GHz and 47 GHz Licenses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202,392</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8"/>
              </w:rPr>
              <w:t>June 4, 2030 (13)</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June 2030</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3550-3650 MHz Licenses</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912,200</w:t>
            </w:r>
          </w:p>
        </w:tc>
        <w:tc>
          <w:tcPr>
            <w:tcW w:w="10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March 12, 2031 (13)</w:t>
            </w:r>
          </w:p>
        </w:tc>
        <w:tc>
          <w:tcPr>
            <w:tcW w:w="1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2031</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3.7-3.98 GHz Licenses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2,969</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6"/>
              </w:rPr>
              <w:t>July 23, 2029 (13)</w:t>
            </w:r>
          </w:p>
        </w:tc>
        <w:tc>
          <w:tcPr>
            <w:tcW w:w="14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6"/>
              </w:rPr>
              <w:t>July 23, 2033 (13)</w:t>
            </w:r>
          </w:p>
        </w:tc>
        <w:tc>
          <w:tcPr>
            <w:tcW w:w="17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6"/>
              </w:rPr>
              <w:t>July 2036</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Leased from EchoStar</w:t>
            </w: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5,458,213</w:t>
            </w:r>
          </w:p>
        </w:tc>
        <w:tc>
          <w:tcPr>
            <w:tcW w:w="102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80" w:hanging="330"/>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build-out deadlines for these licenses have been met.</w:t>
      </w:r>
    </w:p>
    <w:p>
      <w:pPr>
        <w:spacing w:after="0" w:line="13"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interim build-out deadlines for these licenses are in the past.</w:t>
      </w:r>
    </w:p>
    <w:p>
      <w:pPr>
        <w:jc w:val="both"/>
        <w:ind w:left="380" w:right="279" w:hanging="330"/>
        <w:spacing w:after="0" w:line="248"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certain of these license areas, we must offer 5G broadband service to at least 85% of the population in each Partial Economic Area (which is a service area established by the FCC), and for certain other licenses we must offer 5G broadband service to at least 80% of the population in each Partial Economic Area by this date. These licenses are set forth in Appendices B and E of our September 2024 FCC extension request.</w:t>
      </w:r>
    </w:p>
    <w:p>
      <w:pPr>
        <w:spacing w:after="0" w:line="2" w:lineRule="exact"/>
        <w:rPr>
          <w:rFonts w:ascii="Arial" w:cs="Arial" w:eastAsia="Arial" w:hAnsi="Arial"/>
          <w:sz w:val="17"/>
          <w:szCs w:val="17"/>
          <w:color w:val="auto"/>
        </w:rPr>
      </w:pPr>
    </w:p>
    <w:p>
      <w:pPr>
        <w:ind w:left="380" w:right="279" w:hanging="330"/>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certain of these license areas, we must provide reliable signal coverage and offer service for certain accelerated licenses to at least 85% of the population of each license area and for certain other accelerated licenses to at least 80% of the population of each license area by this date. These accelerated licenses are set forth in Appendices C and F of our September 2024 FCC extension request.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80" w:right="119" w:hanging="330"/>
        <w:spacing w:after="0" w:line="250"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the 600 MHz licenses set forth in Appendix G-2 of our September 2024 FCC extension request, if, by December 31, 2024, we satisfy the accelerated buildout obligations described in footnotes 3, 4 and 11 herein, the final deadline for us to offer 5G broadband service to at least 75% of the population in each Partial Economic Area (which is a service area established by the FCC) with respect to these licenses shall be extended to December 14, 2026. The final deadline shall be further extended to June 14, 2028, if: by December 31, 2024, we are offering 5G broadband service to at least 80% of the U.S. population and, as of June 14, 2025 (as defined in our September 2024 FCC extension request):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our September 2024 FCC extension request.</w:t>
      </w:r>
    </w:p>
    <w:p>
      <w:pPr>
        <w:spacing w:after="0" w:line="5" w:lineRule="exact"/>
        <w:rPr>
          <w:rFonts w:ascii="Arial" w:cs="Arial" w:eastAsia="Arial" w:hAnsi="Arial"/>
          <w:sz w:val="17"/>
          <w:szCs w:val="17"/>
          <w:color w:val="auto"/>
        </w:rPr>
      </w:pPr>
    </w:p>
    <w:p>
      <w:pPr>
        <w:jc w:val="both"/>
        <w:ind w:left="380" w:right="159" w:hanging="330"/>
        <w:spacing w:after="0" w:line="23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a variety of build-out options and associated build-out metrics associated with these licenses. If the interim build-out requirement is not met, the final build-out requirement may be accelerated by one year from May 2030 to May 2029.</w:t>
      </w:r>
    </w:p>
    <w:p>
      <w:pPr>
        <w:spacing w:after="0" w:line="2" w:lineRule="exact"/>
        <w:rPr>
          <w:rFonts w:ascii="Arial" w:cs="Arial" w:eastAsia="Arial" w:hAnsi="Arial"/>
          <w:sz w:val="18"/>
          <w:szCs w:val="18"/>
          <w:color w:val="auto"/>
        </w:rPr>
      </w:pPr>
    </w:p>
    <w:p>
      <w:pPr>
        <w:ind w:left="380" w:right="159" w:hanging="330"/>
        <w:spacing w:after="0" w:line="248"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the AWS-3 licenses set forth in Appendix G-3 of our September 2024 FCC extension request, if, by December 31, 2024, we satisfy the accelerated buildout obligations described in footnotes 3, 4 and 11 herein, the final deadline for us to offer 5G broadband service to at least 75% of the population in each license area with respect to these licenses shall be extended to December 14, 2026. The final deadline shall be further extended to June 14, 2028, if: by December 31, 2024, we are offering 5G broadband service to at least 80% of the U.S. population and, as of June 14, 2025 (as defined in our September 2024 FCC extension request):</w:t>
      </w:r>
    </w:p>
    <w:p>
      <w:pPr>
        <w:spacing w:after="0" w:line="3" w:lineRule="exact"/>
        <w:rPr>
          <w:rFonts w:ascii="Arial" w:cs="Arial" w:eastAsia="Arial" w:hAnsi="Arial"/>
          <w:sz w:val="17"/>
          <w:szCs w:val="17"/>
          <w:color w:val="auto"/>
        </w:rPr>
      </w:pPr>
    </w:p>
    <w:p>
      <w:pPr>
        <w:ind w:left="380" w:right="159"/>
        <w:spacing w:after="0" w:line="234" w:lineRule="auto"/>
        <w:rPr>
          <w:rFonts w:ascii="Arial" w:cs="Arial" w:eastAsia="Arial" w:hAnsi="Arial"/>
          <w:sz w:val="17"/>
          <w:szCs w:val="17"/>
          <w:color w:val="auto"/>
        </w:rPr>
      </w:pPr>
      <w:r>
        <w:rPr>
          <w:rFonts w:ascii="Arial" w:cs="Arial" w:eastAsia="Arial" w:hAnsi="Arial"/>
          <w:sz w:val="18"/>
          <w:szCs w:val="18"/>
          <w:color w:val="auto"/>
        </w:rPr>
        <w:t>(a)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our September 2024 FCC extension request.</w:t>
      </w:r>
    </w:p>
    <w:p>
      <w:pPr>
        <w:spacing w:after="0" w:line="3" w:lineRule="exact"/>
        <w:rPr>
          <w:rFonts w:ascii="Arial" w:cs="Arial" w:eastAsia="Arial" w:hAnsi="Arial"/>
          <w:sz w:val="17"/>
          <w:szCs w:val="17"/>
          <w:color w:val="auto"/>
        </w:rPr>
      </w:pPr>
    </w:p>
    <w:p>
      <w:pPr>
        <w:ind w:left="380" w:hanging="330"/>
        <w:spacing w:after="0" w:line="23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ind w:left="380" w:right="719" w:hanging="330"/>
        <w:spacing w:after="0" w:line="23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1 for further information on the Sale and Transfer of Assets to EchoStar and see Note 12 for Related Party Transactions with EchoStar.</w:t>
      </w:r>
    </w:p>
    <w:p>
      <w:pPr>
        <w:spacing w:after="0" w:line="1" w:lineRule="exact"/>
        <w:rPr>
          <w:rFonts w:ascii="Arial" w:cs="Arial" w:eastAsia="Arial" w:hAnsi="Arial"/>
          <w:sz w:val="18"/>
          <w:szCs w:val="18"/>
          <w:color w:val="auto"/>
        </w:rPr>
      </w:pPr>
    </w:p>
    <w:p>
      <w:pPr>
        <w:ind w:left="380" w:right="139" w:hanging="330"/>
        <w:spacing w:after="0" w:line="23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certain of these license areas, we must offer 5G broadband service to at least 85% of the population in each Economic Area (which is a service area established by the FCC), and for certain other licenses we must offer 5G broadband service to at least 80% of the population in each Economic Area by this date. These licenses are set forth in Appendices A and D of our September 2024 FCC extension request.</w:t>
      </w:r>
    </w:p>
    <w:p>
      <w:pPr>
        <w:spacing w:after="0" w:line="2" w:lineRule="exact"/>
        <w:rPr>
          <w:rFonts w:ascii="Arial" w:cs="Arial" w:eastAsia="Arial" w:hAnsi="Arial"/>
          <w:sz w:val="18"/>
          <w:szCs w:val="18"/>
          <w:color w:val="auto"/>
        </w:rPr>
      </w:pPr>
    </w:p>
    <w:p>
      <w:pPr>
        <w:ind w:left="380" w:right="119" w:hanging="330"/>
        <w:spacing w:after="0" w:line="251"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the 700 MHz and AWS-4 licenses set forth in Appendix G-1 of our September 2024 FCC extension request, if, by December 31, 2024, we satisfy the accelerated buildout obligations described in footnotes 3, 4 and 11 herein, the final deadline for us to offer 5G broadband service to at least 70% of the population in each Economic Area (which is a service area established by the FCC) with respect to these licenses shall be extended to December 14, 2026. The final deadline shall be further extended to June 14, 2028, if: by December 31, 2024, we are offering 5G broadband service to at least 80% of the U.S. population and, as of June 14, 2025 (as defined in our September 2024 FCC extension request):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our September 2024 FCC extension request.</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380" w:right="79" w:hanging="330"/>
        <w:spacing w:after="0" w:line="250"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the H-Block licenses set forth in Appendix G-1 of our September 2024 FCC extension request, if, by December 31, 2024, we satisfy the accelerated buildout obligations described in footnotes 3, 4 and 11 herein, the final deadline for us to offer 5G broadband service to at least 75% of the population in each Economic Area (which is a service area established by the FCC) with respect to these licenses shall be extended to December 14, 2026. The final deadline shall be further extended to June 14, 2028, if: by December 31, 2024, we are offering 5G broadband service to at least 80% of the U.S. population and, as of June 14, 2025 (as defined in our September 2024 FCC extension request):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our September 2024 FCC extension request.</w:t>
      </w:r>
    </w:p>
    <w:p>
      <w:pPr>
        <w:spacing w:after="0" w:line="5" w:lineRule="exact"/>
        <w:rPr>
          <w:rFonts w:ascii="Arial" w:cs="Arial" w:eastAsia="Arial" w:hAnsi="Arial"/>
          <w:sz w:val="17"/>
          <w:szCs w:val="17"/>
          <w:color w:val="auto"/>
        </w:rPr>
      </w:pPr>
    </w:p>
    <w:p>
      <w:pPr>
        <w:ind w:left="380" w:hanging="33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a variety of build-out options and associated build-out metrics associated with these licenses.</w:t>
      </w:r>
    </w:p>
    <w:p>
      <w:pPr>
        <w:spacing w:after="0" w:line="180" w:lineRule="exact"/>
        <w:rPr>
          <w:sz w:val="20"/>
          <w:szCs w:val="20"/>
          <w:color w:val="auto"/>
        </w:rPr>
      </w:pPr>
    </w:p>
    <w:p>
      <w:pPr>
        <w:ind w:left="60" w:right="119" w:hanging="7"/>
        <w:spacing w:after="0" w:line="255" w:lineRule="auto"/>
        <w:rPr>
          <w:sz w:val="20"/>
          <w:szCs w:val="20"/>
          <w:color w:val="auto"/>
        </w:rPr>
      </w:pPr>
      <w:r>
        <w:rPr>
          <w:rFonts w:ascii="Arial" w:cs="Arial" w:eastAsia="Arial" w:hAnsi="Arial"/>
          <w:sz w:val="17"/>
          <w:szCs w:val="17"/>
          <w:i w:val="1"/>
          <w:iCs w:val="1"/>
          <w:color w:val="auto"/>
        </w:rPr>
        <w:t xml:space="preserve">Commercialization of Our Wireless Spectrum Licenses and Related Assets. </w:t>
      </w:r>
      <w:r>
        <w:rPr>
          <w:rFonts w:ascii="Arial" w:cs="Arial" w:eastAsia="Arial" w:hAnsi="Arial"/>
          <w:sz w:val="17"/>
          <w:szCs w:val="17"/>
          <w:color w:val="auto"/>
        </w:rPr>
        <w:t>On September 29, 2023, the FCC</w:t>
      </w:r>
      <w:r>
        <w:rPr>
          <w:rFonts w:ascii="Arial" w:cs="Arial" w:eastAsia="Arial" w:hAnsi="Arial"/>
          <w:sz w:val="17"/>
          <w:szCs w:val="17"/>
          <w:i w:val="1"/>
          <w:iCs w:val="1"/>
          <w:color w:val="auto"/>
        </w:rPr>
        <w:t xml:space="preserve"> </w:t>
      </w:r>
      <w:r>
        <w:rPr>
          <w:rFonts w:ascii="Arial" w:cs="Arial" w:eastAsia="Arial" w:hAnsi="Arial"/>
          <w:sz w:val="17"/>
          <w:szCs w:val="17"/>
          <w:color w:val="auto"/>
        </w:rPr>
        <w:t>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We currently have the largest commercial deployment of 5G VoNR in the world covering over 200 million Americans and 5G broadband service covering over 250 million Americans. We currently expect capital expenditures, excluding capitalized interest, for our 5G Network Deployment to be approximately $10 billion, including amounts incurred in 2021, 2022, 2023 and the first nine months of 2024. See Note 2 for further information.</w:t>
      </w:r>
    </w:p>
    <w:p>
      <w:pPr>
        <w:spacing w:after="0" w:line="156"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In September 2024, the FCC conditionally granted our requests to extend the 5G deployment deadlines for certain of our licenses based on several commitments, described above.</w:t>
      </w:r>
    </w:p>
    <w:p>
      <w:pPr>
        <w:spacing w:after="0" w:line="140"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We may also determine that additional wireless spectrum licenses may be required for our 5G Network Deployment and to compete effectively with other wireless service providers.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AWS-3 Auction</w:t>
      </w:r>
    </w:p>
    <w:p>
      <w:pPr>
        <w:spacing w:after="0" w:line="19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Northstar Wireless is a wholly-owned subsidiary of Northstar Spectrum, which is an entity wholly-owned by us and, prior to October 12, 2023, by us and Northstar Manager. SNR Wireless is a wholly-owned subsidiary of SNR HoldCo, which is an entity owned by us and our parent’s direct wholly-owned subsidiary EchoStar SNR HoldCo L.L.C. and, prior to February 16, 2024, by us and SNR Management. See Note 2 for further information.</w:t>
      </w:r>
    </w:p>
    <w:p>
      <w:pPr>
        <w:spacing w:after="0" w:line="16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i w:val="1"/>
          <w:iCs w:val="1"/>
          <w:color w:val="auto"/>
        </w:rPr>
        <w:t xml:space="preserve">FCC Order and October 2015 Arrangements. </w:t>
      </w:r>
      <w:r>
        <w:rPr>
          <w:rFonts w:ascii="Arial" w:cs="Arial" w:eastAsia="Arial" w:hAnsi="Arial"/>
          <w:sz w:val="18"/>
          <w:szCs w:val="18"/>
          <w:color w:val="auto"/>
        </w:rPr>
        <w:t>On August 18, 2015, the FCC released a</w:t>
      </w:r>
      <w:r>
        <w:rPr>
          <w:rFonts w:ascii="Arial" w:cs="Arial" w:eastAsia="Arial" w:hAnsi="Arial"/>
          <w:sz w:val="18"/>
          <w:szCs w:val="18"/>
          <w:i w:val="1"/>
          <w:iCs w:val="1"/>
          <w:color w:val="auto"/>
        </w:rPr>
        <w:t xml:space="preserve"> Memorandum Opinion and Order</w:t>
      </w:r>
      <w:r>
        <w:rPr>
          <w:rFonts w:ascii="Arial" w:cs="Arial" w:eastAsia="Arial" w:hAnsi="Arial"/>
          <w:sz w:val="18"/>
          <w:szCs w:val="18"/>
          <w:color w:val="auto"/>
        </w:rPr>
        <w:t>, FCC 15-104 (the “Order”) in which the FCC determined, among other things, that DISH Network has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control. Northstar Wireless and SNR Wireless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6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i w:val="1"/>
          <w:iCs w:val="1"/>
          <w:color w:val="auto"/>
        </w:rPr>
        <w:t xml:space="preserve">Letters Exchanged between Northstar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w:t>
      </w:r>
    </w:p>
    <w:p>
      <w:pPr>
        <w:spacing w:after="0" w:line="16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If the winning bids from re-auction or other award of the AWS-3 licenses retained by the FCC are greater than or equal to the winning bids of Northstar Wireless, no additional amounts will be owed to the FCC by Northstar Wireless. However, if those winning bids are less than the winning bids of Northstar Wireless, then we will be responsible for the difference less any overpayment of the Northstar interim payment, detailed below, (which will be recalculated as 15% of the winning bids from re-auction or other award) (the “Northstar Re-Auction Payment”). For example, if the winning bids in a re-auction are $1, the Northstar Re-Auction Payment would be approximately $1.892 billion, which is calculated as the difference between $2.226 billion (the Northstar winning bid amounts) and $1 (the winning bids from re-auction) less the resulting $334 million overpayment of the Northstar interim payment. We cannot predict with any degree of certainty the timing or outcome of any re-auction or the amount of any Northstar Re-Auction Payment.</w:t>
      </w:r>
    </w:p>
    <w:p>
      <w:pPr>
        <w:spacing w:after="0" w:line="166"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i w:val="1"/>
          <w:iCs w:val="1"/>
          <w:color w:val="auto"/>
        </w:rPr>
        <w:t xml:space="preserve">Letters Exchanged between SNR Wireless and the FCC Wireless Bureau. </w:t>
      </w:r>
      <w:r>
        <w:rPr>
          <w:rFonts w:ascii="Arial" w:cs="Arial" w:eastAsia="Arial" w:hAnsi="Arial"/>
          <w:sz w:val="17"/>
          <w:szCs w:val="17"/>
          <w:color w:val="auto"/>
        </w:rPr>
        <w:t>As outlined in letters exchanged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SNR 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w:t>
      </w:r>
    </w:p>
    <w:p>
      <w:pPr>
        <w:spacing w:after="0" w:line="14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If the winning bids from re-auction or other award of the AWS-3 licenses retained by the FCC are greater than or equal to the winning bids of SNR Wireless, no additional amounts will be owed to the FCC by SNR Wireless. However, if those winning bids are less than the winning bids of SNR Wireless, then we and our parent, EchoStar, will be responsible for the difference less any overpayment of the SNR interim payment, detailed below, (which will be recalculated as 15% of the winning bids from re-auction or other award) (the “SNR Re-Auction Payment”). For example, if the winning bids in a re-auction are $1, the SNR Re-Auction Payment would be approximately $1.029 billion, which is calculated as the difference between $1.211 billion (the SNR winning bid amounts) and $1 (the winning bids from re-auction) less the resulting $182 million overpayment of the SNR interim payment. We cannot predict with any degree of certainty the timing or outcome of any re-auction or the amount of any SNR Re-Auction Payment.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99"/>
        <w:spacing w:after="0" w:line="257" w:lineRule="auto"/>
        <w:rPr>
          <w:sz w:val="20"/>
          <w:szCs w:val="20"/>
          <w:color w:val="auto"/>
        </w:rPr>
      </w:pPr>
      <w:r>
        <w:rPr>
          <w:rFonts w:ascii="Arial" w:cs="Arial" w:eastAsia="Arial" w:hAnsi="Arial"/>
          <w:sz w:val="17"/>
          <w:szCs w:val="17"/>
          <w:i w:val="1"/>
          <w:iCs w:val="1"/>
          <w:color w:val="auto"/>
        </w:rPr>
        <w:t>D.C. Circuit Court Opinion</w:t>
      </w:r>
      <w:r>
        <w:rPr>
          <w:rFonts w:ascii="Arial" w:cs="Arial" w:eastAsia="Arial" w:hAnsi="Arial"/>
          <w:sz w:val="17"/>
          <w:szCs w:val="17"/>
          <w:color w:val="auto"/>
        </w:rPr>
        <w:t>. On August 29, 2017, the United States Court of Appeals for the District of Columbia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Circuit (the “D.C. Circuit”) in </w:t>
      </w:r>
      <w:r>
        <w:rPr>
          <w:rFonts w:ascii="Arial" w:cs="Arial" w:eastAsia="Arial" w:hAnsi="Arial"/>
          <w:sz w:val="17"/>
          <w:szCs w:val="17"/>
          <w:i w:val="1"/>
          <w:iCs w:val="1"/>
          <w:color w:val="auto"/>
        </w:rPr>
        <w:t>SNR Wireless LicenseCo, LLC, et al. v. Federal Communications Commission</w:t>
      </w:r>
      <w:r>
        <w:rPr>
          <w:rFonts w:ascii="Arial" w:cs="Arial" w:eastAsia="Arial" w:hAnsi="Arial"/>
          <w:sz w:val="17"/>
          <w:szCs w:val="17"/>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15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i w:val="1"/>
          <w:iCs w:val="1"/>
          <w:color w:val="auto"/>
        </w:rPr>
        <w:t xml:space="preserve">Order on Remand. </w:t>
      </w:r>
      <w:r>
        <w:rPr>
          <w:rFonts w:ascii="Arial" w:cs="Arial" w:eastAsia="Arial" w:hAnsi="Arial"/>
          <w:sz w:val="18"/>
          <w:szCs w:val="18"/>
          <w:color w:val="auto"/>
        </w:rPr>
        <w:t>On January 24, 2018, the FCC released an Order on Remand, DA 18-70 (the “Order on</w:t>
      </w:r>
      <w:r>
        <w:rPr>
          <w:rFonts w:ascii="Arial" w:cs="Arial" w:eastAsia="Arial" w:hAnsi="Arial"/>
          <w:sz w:val="18"/>
          <w:szCs w:val="18"/>
          <w:i w:val="1"/>
          <w:iCs w:val="1"/>
          <w:color w:val="auto"/>
        </w:rPr>
        <w:t xml:space="preserve"> </w:t>
      </w:r>
      <w:r>
        <w:rPr>
          <w:rFonts w:ascii="Arial" w:cs="Arial" w:eastAsia="Arial" w:hAnsi="Arial"/>
          <w:sz w:val="18"/>
          <w:szCs w:val="18"/>
          <w:color w:val="auto"/>
        </w:rPr>
        <w:t>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7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19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1"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ClearPlay, Inc.</w:t>
      </w:r>
    </w:p>
    <w:p>
      <w:pPr>
        <w:spacing w:after="0" w:line="19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March 13, 2014, ClearPlay, Inc. (“ClearPlay”) filed a complaint against us, our wholly-owned subsidiary DISH Network L.L.C., EchoStar, and its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7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EchoStar as defendants, leaving DISH Network L.L.C. and DISH Technologies L.L.C. as the sole defendants.</w:t>
      </w:r>
    </w:p>
    <w:p>
      <w:pPr>
        <w:spacing w:after="0" w:line="165"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15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71"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should be completed by November 27, 2024.</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Data Breach Class Actions</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May 9, 2023, Susan Owen-Brooks, an alleged customer, filed a putative class action complaint against us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DISH Network’s motion to dismiss the First Amended Consolidated Class Action Complaint as to eight of the eleven named plaintiffs and as to certain causes of action. On October 29, 2024, the Plaintiffs filed the operative Second Amended Consolidated Class Action Complaint, which deletes the allegations as to the dismissed plaintiffs and causes of action, leaving three named plaintiffs and causes of action for negligence, negligence per se, breach of implied contract, and declaratory judgment.</w:t>
      </w:r>
    </w:p>
    <w:p>
      <w:pPr>
        <w:spacing w:after="0" w:line="1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Digital Broadcasting Solutions, LLC</w:t>
      </w:r>
    </w:p>
    <w:p>
      <w:pPr>
        <w:spacing w:after="0" w:line="196"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222222"/>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spacing w:after="0" w:line="15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222222"/>
        </w:rPr>
        <w:t xml:space="preserve">In May 2023, DISH Network L.L.C. and DISH Technologies L.L.C. </w:t>
      </w:r>
      <w:r>
        <w:rPr>
          <w:rFonts w:ascii="Arial" w:cs="Arial" w:eastAsia="Arial" w:hAnsi="Arial"/>
          <w:sz w:val="18"/>
          <w:szCs w:val="18"/>
          <w:color w:val="000000"/>
        </w:rPr>
        <w:t>filed petitions with the United States Patent and</w:t>
      </w:r>
      <w:r>
        <w:rPr>
          <w:rFonts w:ascii="Arial" w:cs="Arial" w:eastAsia="Arial" w:hAnsi="Arial"/>
          <w:sz w:val="18"/>
          <w:szCs w:val="18"/>
          <w:color w:val="222222"/>
        </w:rPr>
        <w:t xml:space="preserve"> </w:t>
      </w:r>
      <w:r>
        <w:rPr>
          <w:rFonts w:ascii="Arial" w:cs="Arial" w:eastAsia="Arial" w:hAnsi="Arial"/>
          <w:sz w:val="18"/>
          <w:szCs w:val="18"/>
          <w:color w:val="000000"/>
        </w:rPr>
        <w:t>Trademark Office challenging the validity of all claims of the 710 patent and the 122 patent and, on December 11, 2023, the United States Patent and Trademark Office entered decisions instituting each petition. On May 9, 2024, a magistrate judge issued an order granting the defendants’ motion to stay the case pending the petitions before the United States Patent and Trademark Office and any related appeals.</w:t>
      </w:r>
    </w:p>
    <w:p>
      <w:pPr>
        <w:spacing w:after="0" w:line="16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Entropic Communications, LLC (first action)</w:t>
      </w:r>
    </w:p>
    <w:p>
      <w:pPr>
        <w:spacing w:after="0" w:line="196"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222222"/>
        </w:rPr>
        <w:t xml:space="preserve">On March 9, 2022, Entropic Communications, LLC (“Entropic”) filed a complaint against us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w:t>
      </w:r>
      <w:r>
        <w:rPr>
          <w:rFonts w:ascii="Arial" w:cs="Arial" w:eastAsia="Arial" w:hAnsi="Arial"/>
          <w:sz w:val="17"/>
          <w:szCs w:val="17"/>
          <w:color w:val="000000"/>
        </w:rPr>
        <w:t>The plaintiff is an</w:t>
      </w:r>
      <w:r>
        <w:rPr>
          <w:rFonts w:ascii="Arial" w:cs="Arial" w:eastAsia="Arial" w:hAnsi="Arial"/>
          <w:sz w:val="17"/>
          <w:szCs w:val="17"/>
          <w:color w:val="222222"/>
        </w:rPr>
        <w:t xml:space="preserve"> </w:t>
      </w:r>
      <w:r>
        <w:rPr>
          <w:rFonts w:ascii="Arial" w:cs="Arial" w:eastAsia="Arial" w:hAnsi="Arial"/>
          <w:sz w:val="17"/>
          <w:szCs w:val="17"/>
          <w:color w:val="000000"/>
        </w:rPr>
        <w:t>entity that seeks to license a patent portfolio without itself practicing any of the claims recited therein.</w:t>
      </w:r>
    </w:p>
    <w:p>
      <w:pPr>
        <w:spacing w:after="0" w:line="15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22222"/>
        </w:rPr>
        <w:t xml:space="preserve">On October 24, 2022, this case was ordered to be transferred to the United States District Court for the Central District of California. </w:t>
      </w:r>
      <w:r>
        <w:rPr>
          <w:rFonts w:ascii="Arial" w:cs="Arial" w:eastAsia="Arial" w:hAnsi="Arial"/>
          <w:sz w:val="18"/>
          <w:szCs w:val="18"/>
          <w:color w:val="000000"/>
        </w:rPr>
        <w:t>A companion case against DirecTV was also ordered transferred to the United States District</w:t>
      </w:r>
      <w:r>
        <w:rPr>
          <w:rFonts w:ascii="Arial" w:cs="Arial" w:eastAsia="Arial" w:hAnsi="Arial"/>
          <w:sz w:val="18"/>
          <w:szCs w:val="18"/>
          <w:color w:val="222222"/>
        </w:rPr>
        <w:t xml:space="preserve"> </w:t>
      </w:r>
      <w:r>
        <w:rPr>
          <w:rFonts w:ascii="Arial" w:cs="Arial" w:eastAsia="Arial" w:hAnsi="Arial"/>
          <w:sz w:val="18"/>
          <w:szCs w:val="18"/>
          <w:color w:val="000000"/>
        </w:rPr>
        <w:t>Court for the Central District of California.</w:t>
      </w:r>
    </w:p>
    <w:p>
      <w:pPr>
        <w:spacing w:after="0" w:line="155"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222222"/>
        </w:rPr>
        <w:t xml:space="preserve">In January and February of 2023, DISH Network L.L.C. and Dish Network Service L.L.C. </w:t>
      </w:r>
      <w:r>
        <w:rPr>
          <w:rFonts w:ascii="Arial" w:cs="Arial" w:eastAsia="Arial" w:hAnsi="Arial"/>
          <w:sz w:val="17"/>
          <w:szCs w:val="17"/>
          <w:color w:val="000000"/>
        </w:rPr>
        <w:t>filed petitions with the</w:t>
      </w:r>
      <w:r>
        <w:rPr>
          <w:rFonts w:ascii="Arial" w:cs="Arial" w:eastAsia="Arial" w:hAnsi="Arial"/>
          <w:sz w:val="17"/>
          <w:szCs w:val="17"/>
          <w:color w:val="222222"/>
        </w:rPr>
        <w:t xml:space="preserve"> </w:t>
      </w:r>
      <w:r>
        <w:rPr>
          <w:rFonts w:ascii="Arial" w:cs="Arial" w:eastAsia="Arial" w:hAnsi="Arial"/>
          <w:sz w:val="17"/>
          <w:szCs w:val="17"/>
          <w:color w:val="000000"/>
        </w:rPr>
        <w:t xml:space="preserve">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w:t>
      </w:r>
      <w:r>
        <w:rPr>
          <w:rFonts w:ascii="Arial" w:cs="Arial" w:eastAsia="Arial" w:hAnsi="Arial"/>
          <w:sz w:val="17"/>
          <w:szCs w:val="17"/>
          <w:color w:val="222222"/>
        </w:rPr>
        <w:t>patent. On July 12, 2024, the United States</w:t>
      </w:r>
      <w:r>
        <w:rPr>
          <w:rFonts w:ascii="Arial" w:cs="Arial" w:eastAsia="Arial" w:hAnsi="Arial"/>
          <w:sz w:val="17"/>
          <w:szCs w:val="17"/>
          <w:color w:val="000000"/>
        </w:rPr>
        <w:t xml:space="preserve"> </w:t>
      </w:r>
      <w:r>
        <w:rPr>
          <w:rFonts w:ascii="Arial" w:cs="Arial" w:eastAsia="Arial" w:hAnsi="Arial"/>
          <w:sz w:val="17"/>
          <w:szCs w:val="17"/>
          <w:color w:val="222222"/>
        </w:rPr>
        <w:t>Patent and Trademark Office granted a request for reexamination of the 715 patent.</w:t>
      </w:r>
    </w:p>
    <w:p>
      <w:pPr>
        <w:spacing w:after="0" w:line="15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Entropic Communications, LLC (second action)</w:t>
      </w:r>
    </w:p>
    <w:p>
      <w:pPr>
        <w:spacing w:after="0" w:line="19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On February 10, 2023, Entropic filed a second lawsuit against us and our wholly-owned subsidiaries </w:t>
      </w:r>
      <w:r>
        <w:rPr>
          <w:rFonts w:ascii="Arial" w:cs="Arial" w:eastAsia="Arial" w:hAnsi="Arial"/>
          <w:sz w:val="18"/>
          <w:szCs w:val="18"/>
          <w:color w:val="222222"/>
        </w:rPr>
        <w:t>DISH</w:t>
      </w:r>
      <w:r>
        <w:rPr>
          <w:rFonts w:ascii="Arial" w:cs="Arial" w:eastAsia="Arial" w:hAnsi="Arial"/>
          <w:sz w:val="18"/>
          <w:szCs w:val="18"/>
          <w:color w:val="auto"/>
        </w:rPr>
        <w:t xml:space="preserve"> </w:t>
      </w:r>
      <w:r>
        <w:rPr>
          <w:rFonts w:ascii="Arial" w:cs="Arial" w:eastAsia="Arial" w:hAnsi="Arial"/>
          <w:sz w:val="18"/>
          <w:szCs w:val="18"/>
          <w:color w:val="222222"/>
        </w:rPr>
        <w:t>Network L.L.C., Dish Network Service L.L.C. and Dish Network California Service Corporation in the United States District Court for the Central District of California. The complaint alleges infringement of U.S. Patent No.</w:t>
      </w:r>
    </w:p>
    <w:p>
      <w:pPr>
        <w:spacing w:after="0" w:line="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22222"/>
        </w:rPr>
        <w:t>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w:t>
      </w:r>
    </w:p>
    <w:p>
      <w:pPr>
        <w:spacing w:after="0" w:line="17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22222"/>
        </w:rPr>
        <w:t xml:space="preserve">Generally, the patents relate to Multimedia over Coax Alliance standards and the manner in which we provide a whole-home DVR network over an on-premises coaxial cable network. Entropic has asserted the same patents in the same court against Comcast, Cox and </w:t>
      </w:r>
      <w:r>
        <w:rPr>
          <w:rFonts w:ascii="Arial" w:cs="Arial" w:eastAsia="Arial" w:hAnsi="Arial"/>
          <w:sz w:val="18"/>
          <w:szCs w:val="18"/>
          <w:color w:val="000000"/>
        </w:rPr>
        <w:t>DirecTV</w:t>
      </w:r>
      <w:r>
        <w:rPr>
          <w:rFonts w:ascii="Arial" w:cs="Arial" w:eastAsia="Arial" w:hAnsi="Arial"/>
          <w:sz w:val="18"/>
          <w:szCs w:val="18"/>
          <w:color w:val="222222"/>
        </w:rPr>
        <w:t xml:space="preserve">. On September 7, 2023, the Court granted the motion of DISH Network L.L.C., Dish Network Service L.L.C. and Dish Network California Service Corporation to dismiss the claims arising from the 7,566 patent and the 910 patent on the grounds that they claimed in eligible subject matter. </w:t>
      </w:r>
      <w:r>
        <w:rPr>
          <w:rFonts w:ascii="Arial" w:cs="Arial" w:eastAsia="Arial" w:hAnsi="Arial"/>
          <w:sz w:val="18"/>
          <w:szCs w:val="18"/>
          <w:color w:val="000000"/>
        </w:rPr>
        <w:t>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w:t>
      </w:r>
    </w:p>
    <w:p>
      <w:pPr>
        <w:spacing w:after="0" w:line="16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Freedom Patents</w:t>
      </w:r>
    </w:p>
    <w:p>
      <w:pPr>
        <w:spacing w:after="0" w:line="1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 xml:space="preserve">On April 7, 2023, Freedom Patents LLC </w:t>
      </w:r>
      <w:r>
        <w:rPr>
          <w:rFonts w:ascii="Arial" w:cs="Arial" w:eastAsia="Arial" w:hAnsi="Arial"/>
          <w:sz w:val="18"/>
          <w:szCs w:val="18"/>
          <w:color w:val="222222"/>
        </w:rPr>
        <w:t>filed a complaint against us and our wholly-owned subsidiaries DISH</w:t>
      </w:r>
      <w:r>
        <w:rPr>
          <w:rFonts w:ascii="Arial" w:cs="Arial" w:eastAsia="Arial" w:hAnsi="Arial"/>
          <w:sz w:val="18"/>
          <w:szCs w:val="18"/>
          <w:color w:val="auto"/>
        </w:rPr>
        <w:t xml:space="preserve"> </w:t>
      </w:r>
      <w:r>
        <w:rPr>
          <w:rFonts w:ascii="Arial" w:cs="Arial" w:eastAsia="Arial" w:hAnsi="Arial"/>
          <w:sz w:val="18"/>
          <w:szCs w:val="18"/>
          <w:color w:val="222222"/>
        </w:rPr>
        <w:t xml:space="preserve">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 No. 8,374,096 (the “096 Patent”), entitled “Method for Selecting Antennas and Beams in MIMO Wireless LANs”; and U.S. Patent No. 8,514,815 (the “815 Patent”), entitled “Training Signals for Selecting Antennas and Beams in MIMO Wireless LANs.” Similar complaints were also filed against </w:t>
      </w:r>
      <w:r>
        <w:rPr>
          <w:rFonts w:ascii="Arial" w:cs="Arial" w:eastAsia="Arial" w:hAnsi="Arial"/>
          <w:sz w:val="18"/>
          <w:szCs w:val="18"/>
          <w:color w:val="000000"/>
        </w:rPr>
        <w:t>Acer, Altice, Charter, Comcast and Verizon. In</w:t>
      </w:r>
      <w:r>
        <w:rPr>
          <w:rFonts w:ascii="Arial" w:cs="Arial" w:eastAsia="Arial" w:hAnsi="Arial"/>
          <w:sz w:val="18"/>
          <w:szCs w:val="18"/>
          <w:color w:val="222222"/>
        </w:rPr>
        <w:t xml:space="preserve"> </w:t>
      </w:r>
      <w:r>
        <w:rPr>
          <w:rFonts w:ascii="Arial" w:cs="Arial" w:eastAsia="Arial" w:hAnsi="Arial"/>
          <w:sz w:val="18"/>
          <w:szCs w:val="18"/>
          <w:color w:val="000000"/>
        </w:rPr>
        <w:t>general, the asserted patents relate to the 802.11 wireless standard, and the products accused of infringement are the Wireless Joey, its access point, and certain Ring, Nest and Linksys products that we sell. On March 15, 2024, the Court denied the defendants’ motion to transfer the case to the United States District Court for the District of Colorado.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On May 24, 2024, the case was dismissed pursuant to a settlement under which DISH Network, DISH Network L.L.C. and Dish Network Service L.L.C. paid an immaterial amount. This matter is now concluded.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 xml:space="preserve">On December 20, 2021, four former employees filed a class action complaint in the United States District Court for the District of Colorado against us, our Board of Directors, and our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 w:cs="Arial" w:eastAsia="Arial" w:hAnsi="Arial"/>
          <w:sz w:val="17"/>
          <w:szCs w:val="17"/>
          <w:color w:val="222222"/>
        </w:rPr>
        <w:t>On February 1, 2023, a Magistrate Judge issued a</w:t>
      </w:r>
      <w:r>
        <w:rPr>
          <w:rFonts w:ascii="Arial" w:cs="Arial" w:eastAsia="Arial" w:hAnsi="Arial"/>
          <w:sz w:val="17"/>
          <w:szCs w:val="17"/>
          <w:color w:val="auto"/>
        </w:rPr>
        <w:t xml:space="preserve"> </w:t>
      </w:r>
      <w:r>
        <w:rPr>
          <w:rFonts w:ascii="Arial" w:cs="Arial" w:eastAsia="Arial" w:hAnsi="Arial"/>
          <w:sz w:val="17"/>
          <w:szCs w:val="17"/>
          <w:color w:val="222222"/>
        </w:rPr>
        <w:t>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w:t>
      </w:r>
      <w:r>
        <w:rPr>
          <w:rFonts w:ascii="Arial" w:cs="Arial" w:eastAsia="Arial" w:hAnsi="Arial"/>
          <w:sz w:val="17"/>
          <w:szCs w:val="17"/>
          <w:color w:val="000000"/>
        </w:rPr>
        <w:t>ds. On November 7, 2023, a Magistrate Judge issued a recommendation that the defendants’ motion to</w:t>
      </w:r>
      <w:r>
        <w:rPr>
          <w:rFonts w:ascii="Arial" w:cs="Arial" w:eastAsia="Arial" w:hAnsi="Arial"/>
          <w:sz w:val="17"/>
          <w:szCs w:val="17"/>
          <w:color w:val="222222"/>
        </w:rPr>
        <w:t xml:space="preserve"> </w:t>
      </w:r>
      <w:r>
        <w:rPr>
          <w:rFonts w:ascii="Arial" w:cs="Arial" w:eastAsia="Arial" w:hAnsi="Arial"/>
          <w:sz w:val="17"/>
          <w:szCs w:val="17"/>
          <w:color w:val="000000"/>
        </w:rPr>
        <w:t xml:space="preserve">dismiss the amended complaint be denied as to the duty to prudently monitor fund performance, but be granted as to the duty of loyalty and, on November 27, 2023, the district court judge entered an order adopting the recommendation. </w:t>
      </w:r>
      <w:r>
        <w:rPr>
          <w:rFonts w:ascii="Arial" w:cs="Arial" w:eastAsia="Arial" w:hAnsi="Arial"/>
          <w:sz w:val="17"/>
          <w:szCs w:val="17"/>
          <w:color w:val="222222"/>
        </w:rPr>
        <w:t>On March 1, 2024, by stipulation, the plaintiffs dismissed their claims against the Board of</w:t>
      </w:r>
      <w:r>
        <w:rPr>
          <w:rFonts w:ascii="Arial" w:cs="Arial" w:eastAsia="Arial" w:hAnsi="Arial"/>
          <w:sz w:val="17"/>
          <w:szCs w:val="17"/>
          <w:color w:val="000000"/>
        </w:rPr>
        <w:t xml:space="preserve"> </w:t>
      </w:r>
      <w:r>
        <w:rPr>
          <w:rFonts w:ascii="Arial" w:cs="Arial" w:eastAsia="Arial" w:hAnsi="Arial"/>
          <w:sz w:val="17"/>
          <w:szCs w:val="17"/>
          <w:color w:val="222222"/>
        </w:rPr>
        <w:t>Directors and the Retirement Plan Committee, leaving DISH Network as the sole defendant. On April 30, 2024, pursuant to the parties’ stipulation, the Court certified the proposed plaintiff class. On October 30, 2024, pursuant to the parties’ stipulation, the Court stayed the litigation pending a mediation.</w:t>
      </w:r>
    </w:p>
    <w:p>
      <w:pPr>
        <w:spacing w:after="0" w:line="161"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March 23, 2023, a securities fraud class action complaint was filed against us and Messrs. Ergen, Carlson and Orban in the United States District Court for the District of Colorado. The complaint is brought on behalf of a putative class of purchasers of our securities during the February 22, 2021 to February 27, 2023 class period. In general, the complaint alleges that DISH Network’s public statements during that period were false and misleading and contained material omissions, because they did not disclose that we allegedly maintained a deficient cyber-security and information technology infrastructure, were unable to properly secure customer data and our operations were susceptible to widespread service outages.</w:t>
      </w:r>
    </w:p>
    <w:p>
      <w:pPr>
        <w:spacing w:after="0" w:line="17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 The amended complaint added as individual defendants James S. Allen, our Senior Vice President and Chief Accounting Officer; John Swieringa, our President, Technology and Chief Operating Officer; Dave Mayo, our former Executive Vice President of Network Development; Marc Rouanne, our former Executive Vice President and Chief Network Officer; and Stephen Bye, our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spacing w:after="0" w:line="17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Quantum Technology Innovations LLC</w:t>
      </w:r>
    </w:p>
    <w:p>
      <w:pPr>
        <w:spacing w:after="0" w:line="19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June 5, 2024, Quantum Technology Innovations, LLC filed a complaint in the United States District Court for the Eastern District of Texas against us alleging infringement of United States Patent No. 7,650,376, entitled “Content Distribution System for Distributing Content Over a Network, with Particular Applicability to Distributing High-Bandwidth Content.” The plaintiff is an entity that seeks to license a patent portfolio without itself practicing any of the claims recited therein. On August 8, 2024, Quantum Technology Innovations dismissed its complaint without prejudice. This matter is now concluded.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9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June 6, 2017, Realtime Data LLC d/b/a IXO (“Realtime”) filed an amended complaint in the United States District Court for the Eastern District of Texas (the “Original Texas Action”) against us;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w:t>
      </w:r>
    </w:p>
    <w:p>
      <w:pPr>
        <w:spacing w:after="0" w:line="165" w:lineRule="exact"/>
        <w:rPr>
          <w:sz w:val="20"/>
          <w:szCs w:val="20"/>
          <w:color w:val="auto"/>
        </w:rPr>
      </w:pPr>
    </w:p>
    <w:p>
      <w:pPr>
        <w:jc w:val="both"/>
        <w:ind w:left="60" w:right="259"/>
        <w:spacing w:after="0" w:line="254" w:lineRule="auto"/>
        <w:rPr>
          <w:sz w:val="20"/>
          <w:szCs w:val="20"/>
          <w:color w:val="auto"/>
        </w:rPr>
      </w:pPr>
      <w:r>
        <w:rPr>
          <w:rFonts w:ascii="Arial" w:cs="Arial" w:eastAsia="Arial" w:hAnsi="Arial"/>
          <w:sz w:val="17"/>
          <w:szCs w:val="17"/>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w:t>
      </w:r>
    </w:p>
    <w:p>
      <w:pPr>
        <w:ind w:left="60" w:right="199"/>
        <w:spacing w:after="0" w:line="238" w:lineRule="auto"/>
        <w:rPr>
          <w:sz w:val="20"/>
          <w:szCs w:val="20"/>
          <w:color w:val="auto"/>
        </w:rPr>
      </w:pPr>
      <w:r>
        <w:rPr>
          <w:rFonts w:ascii="Arial" w:cs="Arial" w:eastAsia="Arial" w:hAnsi="Arial"/>
          <w:sz w:val="18"/>
          <w:szCs w:val="18"/>
          <w:color w:val="auto"/>
        </w:rPr>
        <w:t>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154"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147"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July 19, 2017, the Court severed Realtime’s claims against us,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us,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66" w:lineRule="exact"/>
        <w:rPr>
          <w:sz w:val="20"/>
          <w:szCs w:val="20"/>
          <w:color w:val="auto"/>
        </w:rPr>
      </w:pPr>
    </w:p>
    <w:p>
      <w:pPr>
        <w:ind w:left="60" w:right="319"/>
        <w:spacing w:after="0" w:line="259" w:lineRule="auto"/>
        <w:rPr>
          <w:sz w:val="20"/>
          <w:szCs w:val="20"/>
          <w:color w:val="auto"/>
        </w:rPr>
      </w:pPr>
      <w:r>
        <w:rPr>
          <w:rFonts w:ascii="Arial" w:cs="Arial" w:eastAsia="Arial" w:hAnsi="Arial"/>
          <w:sz w:val="17"/>
          <w:szCs w:val="17"/>
          <w:color w:val="auto"/>
        </w:rPr>
        <w:t>As a result, neither we nor any of our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EchoStar and HNS were dismissed from the Original Texas Action in February 2019, and Arris Group, Inc. was dismissed from the Colorado Action in March 2021.</w:t>
      </w:r>
    </w:p>
    <w:p>
      <w:pPr>
        <w:spacing w:after="0" w:line="15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176"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October 23, 2024, DISH Network L.L.C., DISH Technologies L.L.C., Sling TV L.L.C. and Sling Media L.L.C. filed a petition with the United States Court of Appeals for the Federal Circuit seeking rehearing en banc.</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SafeCast Limited</w:t>
      </w:r>
    </w:p>
    <w:p>
      <w:pPr>
        <w:spacing w:after="0" w:line="196" w:lineRule="exact"/>
        <w:rPr>
          <w:sz w:val="20"/>
          <w:szCs w:val="20"/>
          <w:color w:val="auto"/>
        </w:rPr>
      </w:pPr>
    </w:p>
    <w:p>
      <w:pPr>
        <w:ind w:left="60" w:right="59" w:hanging="7"/>
        <w:spacing w:after="0" w:line="252" w:lineRule="auto"/>
        <w:rPr>
          <w:sz w:val="20"/>
          <w:szCs w:val="20"/>
          <w:color w:val="auto"/>
        </w:rPr>
      </w:pPr>
      <w:r>
        <w:rPr>
          <w:rFonts w:ascii="Arial" w:cs="Arial" w:eastAsia="Arial" w:hAnsi="Arial"/>
          <w:sz w:val="17"/>
          <w:szCs w:val="17"/>
          <w:color w:val="auto"/>
        </w:rPr>
        <w:t>On June 27, 2022, SafeCast Limited filed a complaint against us in the United States District Court for the Western District of Texas. The complaint alleges that we infringe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us transferred to the United States District Court for the District of Colorado. On December 1, 2022, SafeCast filed an amended complaint naming our wholly-owned subsidiaries DISH Network L.L.C. and DISH Technologies L.L.C. as defendants and withdrawing the allegations as to us. The plaintiff is an entity that seeks to license a patent portfolio without itself practicing any of the claims recited therein. 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 party’s petition citing different prior art, the United States Patent and Trademark Office invalidated all claims asserted against DISH Network L.L.C. and DISH Technologies L.L.C. but that decision remains subject to a potential appeal.</w:t>
      </w:r>
    </w:p>
    <w:p>
      <w:pPr>
        <w:spacing w:after="0" w:line="161"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6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65"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January 18, 2023, they filed another petition requesting ex parte reexamination of the validity of the four additional asserted claims of the 213 patent, and reexamination was ordered on April 17, 2023. On November 13, 2023, the United States Patent and Trademark Office confirmed the patentability of the claim challenged in our first petition. On October 17, 2024, the Court ordered that the stay of the case, which had been entered for the pendency of the petitions before the United States Patent and Trademark Office, would remain in place pending the outcome of Sound View’s appeal in a parallel action against Hulu.</w:t>
      </w:r>
    </w:p>
    <w:p>
      <w:pPr>
        <w:spacing w:after="0" w:line="17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of Illinois ex rel. Rodriguez</w:t>
      </w:r>
    </w:p>
    <w:p>
      <w:pPr>
        <w:spacing w:after="0" w:line="196" w:lineRule="exact"/>
        <w:rPr>
          <w:sz w:val="20"/>
          <w:szCs w:val="20"/>
          <w:color w:val="auto"/>
        </w:rPr>
      </w:pPr>
    </w:p>
    <w:p>
      <w:pPr>
        <w:ind w:left="60" w:right="59"/>
        <w:spacing w:after="0" w:line="254" w:lineRule="auto"/>
        <w:rPr>
          <w:sz w:val="20"/>
          <w:szCs w:val="20"/>
          <w:color w:val="auto"/>
        </w:rPr>
      </w:pPr>
      <w:r>
        <w:rPr>
          <w:rFonts w:ascii="Arial" w:cs="Arial" w:eastAsia="Arial" w:hAnsi="Arial"/>
          <w:sz w:val="17"/>
          <w:szCs w:val="17"/>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w:t>
      </w:r>
    </w:p>
    <w:p>
      <w:pPr>
        <w:spacing w:after="0" w:line="14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On July 17, 2015, TQ Delta, LLC (“TQ Delta”) filed a complaint against us and our wholly-owned subsidiaries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15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w:t>
      </w:r>
    </w:p>
    <w:p>
      <w:pPr>
        <w:spacing w:after="0" w:line="171"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13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our motions to join the instituted petitions on the 430 and 158 patents.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71"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w:t>
      </w:r>
    </w:p>
    <w:p>
      <w:pPr>
        <w:spacing w:after="0" w:line="16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 million in damages.</w:t>
      </w:r>
    </w:p>
    <w:p>
      <w:pPr>
        <w:spacing w:after="0" w:line="17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Uniloc 2017 LLC</w:t>
      </w:r>
    </w:p>
    <w:p>
      <w:pPr>
        <w:spacing w:after="0" w:line="196"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52"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spacing w:after="0" w:line="167"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spacing w:after="0" w:line="16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Trust Company</w:t>
      </w:r>
    </w:p>
    <w:p>
      <w:pPr>
        <w:spacing w:after="0" w:line="196"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7"/>
          <w:szCs w:val="17"/>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On May 13, 2024, the defendants removed the case to the United States District Court for the Southern District of New York and, on June 28, 2024, filed a motion to dismiss the complaint. Rather than opposing the motion, on July 18, 2024, the Trustee filed an amended complaint, which added a new declaratory judgment claim challenging certain intercompany advances. The defendants filed a renewed motion to dismiss the amended complaint on August 15, 2024.</w:t>
      </w:r>
    </w:p>
    <w:p>
      <w:pPr>
        <w:spacing w:after="0" w:line="156"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 xml:space="preserve">On September 23, 2016, the United States District Court for the District of Columbia unsealed a qui tam complaint that, on May 13, 2015, Vermont National filed against us; our wholly-owned subsidiaries, American AWS-3 Wireless I L.L.C., American II, American III, and DISH Wireless Holding L.L.C.; Charles W. Ergen (our Chairman) and Cantey M. Ergen (a member of our Board of Directors, at that time);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 Wireless LicenseCo, LLC, et al. v. F.C.C.</w:t>
      </w:r>
      <w:r>
        <w:rPr>
          <w:rFonts w:ascii="Arial" w:cs="Arial" w:eastAsia="Arial" w:hAnsi="Arial"/>
          <w:sz w:val="18"/>
          <w:szCs w:val="18"/>
          <w:color w:val="auto"/>
        </w:rPr>
        <w:t xml:space="preserve"> The D.C. Circuit issued its opinion on August 29, 2017 and remanded the matter to the FCC for further proceedings.</w:t>
      </w:r>
    </w:p>
    <w:p>
      <w:pPr>
        <w:spacing w:after="0" w:line="16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On August 25, 2023, the FCC provided a sworn declaration stating that “the FCC considers … SNR and Northstar to have fully and timely satisfied their obligations to pay money to the Government arising from the AWS-3 Auction.”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w:t>
      </w:r>
    </w:p>
    <w:p>
      <w:pPr>
        <w:spacing w:after="0" w:line="163"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this proceeding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9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149" w:lineRule="exact"/>
        <w:rPr>
          <w:sz w:val="20"/>
          <w:szCs w:val="20"/>
          <w:color w:val="auto"/>
        </w:rPr>
      </w:pPr>
    </w:p>
    <w:p>
      <w:pPr>
        <w:ind w:left="700" w:hanging="650"/>
        <w:spacing w:after="0"/>
        <w:tabs>
          <w:tab w:leader="none" w:pos="7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98"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Operating segments are components of an enterprise for which separate financial information is available and regularly evaluated by the chief operating decision maker(s) of an enterprise. Operating income is the primary measure used by our chief operating decision maker to evaluate segment operating performance. We currently operate three primary business segments: (1) Pay-TV; (2) Retail Wireless and (3) 5G Network Deployment. See Note 1 for further information.</w:t>
      </w:r>
    </w:p>
    <w:p>
      <w:pPr>
        <w:spacing w:after="0" w:line="16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All other and eliminations primarily include intersegment eliminations related to intercompany debt and the related interest income and interest expense, which are eliminated in consolidation.</w:t>
      </w:r>
    </w:p>
    <w:p>
      <w:pPr>
        <w:spacing w:after="0" w:line="140" w:lineRule="exact"/>
        <w:rPr>
          <w:sz w:val="20"/>
          <w:szCs w:val="20"/>
          <w:color w:val="auto"/>
        </w:rPr>
      </w:pPr>
    </w:p>
    <w:p>
      <w:pPr>
        <w:ind w:left="60" w:right="679"/>
        <w:spacing w:after="0" w:line="271" w:lineRule="auto"/>
        <w:rPr>
          <w:sz w:val="20"/>
          <w:szCs w:val="20"/>
          <w:color w:val="auto"/>
        </w:rPr>
      </w:pPr>
      <w:r>
        <w:rPr>
          <w:rFonts w:ascii="Arial" w:cs="Arial" w:eastAsia="Arial" w:hAnsi="Arial"/>
          <w:sz w:val="18"/>
          <w:szCs w:val="18"/>
          <w:color w:val="auto"/>
        </w:rPr>
        <w:t>The total assets, revenue and operating income, and purchases of property and equipment, net of refunds, (including capitalized interest related to Regulatory authorizations) by segment were as follows: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6"/>
                <w:szCs w:val="16"/>
                <w:b w:val="1"/>
                <w:bCs w:val="1"/>
                <w:color w:val="auto"/>
              </w:rPr>
              <w:t>As of</w:t>
            </w:r>
          </w:p>
        </w:tc>
        <w:tc>
          <w:tcPr>
            <w:tcW w:w="1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5"/>
        </w:trPr>
        <w:tc>
          <w:tcPr>
            <w:tcW w:w="3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ind w:left="160"/>
              <w:spacing w:after="0" w:line="175" w:lineRule="exact"/>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jc w:val="right"/>
              <w:ind w:right="379"/>
              <w:spacing w:after="0" w:line="17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5"/>
                <w:szCs w:val="15"/>
                <w:color w:val="auto"/>
              </w:rPr>
            </w:pPr>
          </w:p>
        </w:tc>
      </w:tr>
      <w:tr>
        <w:trPr>
          <w:trHeight w:val="203"/>
        </w:trPr>
        <w:tc>
          <w:tcPr>
            <w:tcW w:w="3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r>
      <w:tr>
        <w:trPr>
          <w:trHeight w:val="169"/>
        </w:trPr>
        <w:tc>
          <w:tcPr>
            <w:tcW w:w="3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(In thousands)</w:t>
            </w: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Pay-TV (1)</w:t>
            </w:r>
          </w:p>
        </w:tc>
        <w:tc>
          <w:tcPr>
            <w:tcW w:w="16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53,425,068</w:t>
            </w:r>
          </w:p>
        </w:tc>
        <w:tc>
          <w:tcPr>
            <w:tcW w:w="180" w:type="dxa"/>
            <w:vAlign w:val="bottom"/>
          </w:tcPr>
          <w:p>
            <w:pPr>
              <w:spacing w:after="0"/>
              <w:rPr>
                <w:sz w:val="16"/>
                <w:szCs w:val="16"/>
                <w:color w:val="auto"/>
              </w:rPr>
            </w:pPr>
          </w:p>
        </w:tc>
        <w:tc>
          <w:tcPr>
            <w:tcW w:w="440" w:type="dxa"/>
            <w:vAlign w:val="bottom"/>
            <w:gridSpan w:val="2"/>
          </w:tcPr>
          <w:p>
            <w:pPr>
              <w:jc w:val="right"/>
              <w:ind w:right="264"/>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49,437,958</w:t>
            </w:r>
          </w:p>
        </w:tc>
        <w:tc>
          <w:tcPr>
            <w:tcW w:w="60" w:type="dxa"/>
            <w:vAlign w:val="bottom"/>
          </w:tcPr>
          <w:p>
            <w:pPr>
              <w:spacing w:after="0"/>
              <w:rPr>
                <w:sz w:val="16"/>
                <w:szCs w:val="16"/>
                <w:color w:val="auto"/>
              </w:rPr>
            </w:pPr>
          </w:p>
        </w:tc>
      </w:t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Retail Wireless</w:t>
            </w: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600,618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777,957</w:t>
            </w:r>
          </w:p>
        </w:tc>
        <w:tc>
          <w:tcPr>
            <w:tcW w:w="60" w:type="dxa"/>
            <w:vAlign w:val="bottom"/>
            <w:shd w:val="clear" w:color="auto" w:fill="CCEEFF"/>
          </w:tcPr>
          <w:p>
            <w:pPr>
              <w:spacing w:after="0"/>
              <w:rPr>
                <w:sz w:val="16"/>
                <w:szCs w:val="16"/>
                <w:color w:val="auto"/>
              </w:rPr>
            </w:pP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5G Network Deployment (2)</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39,526,142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46,793,378</w:t>
            </w:r>
          </w:p>
        </w:tc>
        <w:tc>
          <w:tcPr>
            <w:tcW w:w="60" w:type="dxa"/>
            <w:vAlign w:val="bottom"/>
          </w:tcPr>
          <w:p>
            <w:pPr>
              <w:spacing w:after="0"/>
              <w:rPr>
                <w:sz w:val="16"/>
                <w:szCs w:val="16"/>
                <w:color w:val="auto"/>
              </w:rPr>
            </w:pPr>
          </w:p>
        </w:tc>
      </w:t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13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(47,981,811)</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(45,596,262)</w:t>
            </w:r>
          </w:p>
        </w:tc>
        <w:tc>
          <w:tcPr>
            <w:tcW w:w="60" w:type="dxa"/>
            <w:vAlign w:val="bottom"/>
            <w:shd w:val="clear" w:color="auto" w:fill="CCEEFF"/>
          </w:tcPr>
          <w:p>
            <w:pPr>
              <w:spacing w:after="0"/>
              <w:rPr>
                <w:sz w:val="16"/>
                <w:szCs w:val="16"/>
                <w:color w:val="auto"/>
              </w:rPr>
            </w:pPr>
          </w:p>
        </w:tc>
      </w:tr>
      <w:tr>
        <w:trPr>
          <w:trHeight w:val="183"/>
        </w:trPr>
        <w:tc>
          <w:tcPr>
            <w:tcW w:w="3360" w:type="dxa"/>
            <w:vAlign w:val="bottom"/>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36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45,570,017</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51,413,031</w:t>
            </w:r>
          </w:p>
        </w:tc>
        <w:tc>
          <w:tcPr>
            <w:tcW w:w="60" w:type="dxa"/>
            <w:vAlign w:val="bottom"/>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right="199" w:hanging="330"/>
        <w:spacing w:after="0" w:line="245"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increase primarily resulted from the New DISH DBS Financing issuance of $2.5 billion. See Note 8 for further information.</w:t>
      </w:r>
    </w:p>
    <w:p>
      <w:pPr>
        <w:ind w:left="380" w:right="419" w:hanging="330"/>
        <w:spacing w:after="0" w:line="250"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change primarily resulted from the Sale and Transfer of Assets to EchoStar. See Note 1 for further information.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258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4"/>
          </w:tcPr>
          <w:p>
            <w:pPr>
              <w:jc w:val="right"/>
              <w:ind w:right="55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Pay-TV</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2,618,031</w:t>
            </w:r>
          </w:p>
        </w:tc>
        <w:tc>
          <w:tcPr>
            <w:tcW w:w="2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2,807,101</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8,020,893</w:t>
            </w:r>
          </w:p>
        </w:tc>
        <w:tc>
          <w:tcPr>
            <w:tcW w:w="20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8,754,372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Wireless</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895,949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890,980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2,693,330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2,794,087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5G Network Deployment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42,833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29,916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106,653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67,902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(41,496)</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(23,481)</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(97,400)</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(43,286)</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3,515,317</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3,704,516</w:t>
            </w: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10,723,476</w:t>
            </w:r>
          </w:p>
        </w:tc>
        <w:tc>
          <w:tcPr>
            <w:tcW w:w="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11,573,075</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588,501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589,465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1,926,541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1,985,490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Retail Wireless</w:t>
            </w:r>
          </w:p>
        </w:tc>
        <w:tc>
          <w:tcPr>
            <w:tcW w:w="2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(113,792)</w:t>
            </w:r>
          </w:p>
        </w:tc>
        <w:tc>
          <w:tcPr>
            <w:tcW w:w="2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(168,166)</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(309,571)</w:t>
            </w:r>
          </w:p>
        </w:tc>
        <w:tc>
          <w:tcPr>
            <w:tcW w:w="18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(298,872)</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(599,022)</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(463,105)</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(1,747,262)</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(1,198,667)</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(187)</w:t>
            </w: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(124,500)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(41,806)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(130,292)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487,951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Purchases of property and equipment, net of</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refunds, (including capitalized interest related to</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regulatory authorizations):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Pay-TV</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53,357</w:t>
            </w:r>
          </w:p>
        </w:tc>
        <w:tc>
          <w:tcPr>
            <w:tcW w:w="2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64,331</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119,111</w:t>
            </w:r>
          </w:p>
        </w:tc>
        <w:tc>
          <w:tcPr>
            <w:tcW w:w="20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167,524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323,702</w:t>
            </w:r>
          </w:p>
        </w:tc>
        <w:tc>
          <w:tcPr>
            <w:tcW w:w="2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852,169</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1,349,124</w:t>
            </w:r>
          </w:p>
        </w:tc>
        <w:tc>
          <w:tcPr>
            <w:tcW w:w="2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2,907,102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Total purchases of property and equipment, net</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of refunds, (including capitalized interest related</w:t>
            </w: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377,059</w:t>
            </w:r>
          </w:p>
        </w:tc>
        <w:tc>
          <w:tcPr>
            <w:tcW w:w="200" w:type="dxa"/>
            <w:vAlign w:val="bottom"/>
          </w:tcPr>
          <w:p>
            <w:pPr>
              <w:spacing w:after="0"/>
              <w:rPr>
                <w:sz w:val="16"/>
                <w:szCs w:val="16"/>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916,500</w:t>
            </w:r>
          </w:p>
        </w:tc>
        <w:tc>
          <w:tcPr>
            <w:tcW w:w="1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1,468,235</w:t>
            </w:r>
          </w:p>
        </w:tc>
        <w:tc>
          <w:tcPr>
            <w:tcW w:w="200" w:type="dxa"/>
            <w:vAlign w:val="bottom"/>
          </w:tcPr>
          <w:p>
            <w:pPr>
              <w:spacing w:after="0"/>
              <w:rPr>
                <w:sz w:val="16"/>
                <w:szCs w:val="16"/>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3,074,626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to regulatory authorizations)</w:t>
            </w:r>
          </w:p>
        </w:tc>
        <w:tc>
          <w:tcPr>
            <w:tcW w:w="2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from customers disaggregated by major revenue source was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For the Three Months Ended</w:t>
            </w:r>
          </w:p>
        </w:tc>
        <w:tc>
          <w:tcPr>
            <w:tcW w:w="226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4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Category:</w:t>
            </w:r>
          </w:p>
        </w:tc>
        <w:tc>
          <w:tcPr>
            <w:tcW w:w="200" w:type="dxa"/>
            <w:vAlign w:val="bottom"/>
          </w:tcPr>
          <w:p>
            <w:pPr>
              <w:spacing w:after="0"/>
              <w:rPr>
                <w:sz w:val="18"/>
                <w:szCs w:val="18"/>
                <w:color w:val="auto"/>
              </w:rPr>
            </w:pPr>
          </w:p>
        </w:tc>
        <w:tc>
          <w:tcPr>
            <w:tcW w:w="21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9"/>
        </w:trPr>
        <w:tc>
          <w:tcPr>
            <w:tcW w:w="428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3"/>
          </w:tcPr>
          <w:p>
            <w:pPr>
              <w:jc w:val="right"/>
              <w:ind w:right="47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and related revenue</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2,602,176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2,776,950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7,961,736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8,592,126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Retail wireless services and related revenue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778,737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814,267</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2,368,138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2,535,296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equipment sales and other revenue</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30,151</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162,246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Retail wireless equipment sales and other revenue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117,212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76,713</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325,192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258,791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8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5G network deployment equipment sales and other</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 (1)</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106,653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Eliminations (1)</w:t>
            </w:r>
          </w:p>
        </w:tc>
        <w:tc>
          <w:tcPr>
            <w:tcW w:w="2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(41,496)</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(23,481)</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(97,400)</w:t>
            </w:r>
          </w:p>
        </w:tc>
        <w:tc>
          <w:tcPr>
            <w:tcW w:w="1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(43,286)</w:t>
            </w:r>
          </w:p>
        </w:tc>
        <w:tc>
          <w:tcPr>
            <w:tcW w:w="0" w:type="dxa"/>
            <w:vAlign w:val="bottom"/>
          </w:tcPr>
          <w:p>
            <w:pPr>
              <w:spacing w:after="0"/>
              <w:rPr>
                <w:sz w:val="1"/>
                <w:szCs w:val="1"/>
                <w:color w:val="auto"/>
              </w:rPr>
            </w:pPr>
          </w:p>
        </w:tc>
      </w:tr>
      <w:tr>
        <w:trPr>
          <w:trHeight w:val="183"/>
        </w:trPr>
        <w:tc>
          <w:tcPr>
            <w:tcW w:w="428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3,515,317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3,704,516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10,723,476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11,573,075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“5G network deployment equipment sales and other revenue” includes intercompany revenue.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valuation and qualifying accounts as of September 30, 2024 were as follows: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September 30, 2024</w:t>
            </w:r>
          </w:p>
        </w:tc>
      </w:tr>
      <w:tr>
        <w:trPr>
          <w:trHeight w:val="183"/>
        </w:trPr>
        <w:tc>
          <w:tcPr>
            <w:tcW w:w="57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tcPr>
          <w:p>
            <w:pPr>
              <w:jc w:val="center"/>
              <w:ind w:right="159"/>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r>
      <w:tr>
        <w:trPr>
          <w:trHeight w:val="18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53,991</w:t>
            </w:r>
          </w:p>
        </w:tc>
        <w:tc>
          <w:tcPr>
            <w:tcW w:w="240" w:type="dxa"/>
            <w:vAlign w:val="bottom"/>
            <w:shd w:val="clear" w:color="auto" w:fill="CCEEFF"/>
          </w:tcPr>
          <w:p>
            <w:pPr>
              <w:spacing w:after="0"/>
              <w:rPr>
                <w:sz w:val="16"/>
                <w:szCs w:val="16"/>
                <w:color w:val="auto"/>
              </w:rPr>
            </w:pPr>
          </w:p>
        </w:tc>
      </w:tr>
      <w:tr>
        <w:trPr>
          <w:trHeight w:val="189"/>
        </w:trPr>
        <w:tc>
          <w:tcPr>
            <w:tcW w:w="5740" w:type="dxa"/>
            <w:vAlign w:val="bottom"/>
          </w:tcPr>
          <w:p>
            <w:pPr>
              <w:ind w:left="20"/>
              <w:spacing w:after="0"/>
              <w:rPr>
                <w:sz w:val="20"/>
                <w:szCs w:val="20"/>
                <w:color w:val="auto"/>
              </w:rPr>
            </w:pPr>
            <w:r>
              <w:rPr>
                <w:rFonts w:ascii="Arial" w:cs="Arial" w:eastAsia="Arial" w:hAnsi="Arial"/>
                <w:sz w:val="16"/>
                <w:szCs w:val="16"/>
                <w:color w:val="auto"/>
              </w:rPr>
              <w:t>Current period provision for expected credit losses</w:t>
            </w:r>
          </w:p>
        </w:tc>
        <w:tc>
          <w:tcPr>
            <w:tcW w:w="24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65,060</w:t>
            </w:r>
          </w:p>
        </w:tc>
        <w:tc>
          <w:tcPr>
            <w:tcW w:w="240" w:type="dxa"/>
            <w:vAlign w:val="bottom"/>
          </w:tcPr>
          <w:p>
            <w:pPr>
              <w:spacing w:after="0"/>
              <w:rPr>
                <w:sz w:val="16"/>
                <w:szCs w:val="16"/>
                <w:color w:val="auto"/>
              </w:rPr>
            </w:pPr>
          </w:p>
        </w:tc>
      </w:tr>
      <w:tr>
        <w:trPr>
          <w:trHeight w:val="18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24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(51,987)</w:t>
            </w:r>
          </w:p>
        </w:tc>
      </w:tr>
      <w:tr>
        <w:trPr>
          <w:trHeight w:val="189"/>
        </w:trPr>
        <w:tc>
          <w:tcPr>
            <w:tcW w:w="574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16"/>
                <w:szCs w:val="16"/>
                <w:color w:val="auto"/>
              </w:rPr>
            </w:pPr>
          </w:p>
        </w:tc>
        <w:tc>
          <w:tcPr>
            <w:tcW w:w="2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r>
      <w:tr>
        <w:trPr>
          <w:trHeight w:val="183"/>
        </w:trPr>
        <w:tc>
          <w:tcPr>
            <w:tcW w:w="57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2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67,064</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59"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6"/>
                <w:szCs w:val="16"/>
                <w:b w:val="1"/>
                <w:bCs w:val="1"/>
                <w:color w:val="auto"/>
                <w:w w:val="99"/>
              </w:rPr>
              <w:t>As of</w:t>
            </w: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2"/>
          </w:tcPr>
          <w:p>
            <w:pPr>
              <w:jc w:val="center"/>
              <w:ind w:right="380"/>
              <w:spacing w:after="0" w:line="175" w:lineRule="exact"/>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5"/>
                <w:szCs w:val="15"/>
                <w:color w:val="auto"/>
              </w:rPr>
            </w:pPr>
          </w:p>
        </w:tc>
        <w:tc>
          <w:tcPr>
            <w:tcW w:w="1560" w:type="dxa"/>
            <w:vAlign w:val="bottom"/>
          </w:tcPr>
          <w:p>
            <w:pPr>
              <w:jc w:val="center"/>
              <w:ind w:right="419"/>
              <w:spacing w:after="0" w:line="175" w:lineRule="exact"/>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5"/>
                <w:szCs w:val="15"/>
                <w:color w:val="auto"/>
              </w:rPr>
            </w:pPr>
          </w:p>
        </w:tc>
      </w:tr>
      <w:tr>
        <w:trPr>
          <w:trHeight w:val="203"/>
        </w:trPr>
        <w:tc>
          <w:tcPr>
            <w:tcW w:w="4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r>
      <w:tr>
        <w:trPr>
          <w:trHeight w:val="169"/>
        </w:trPr>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3"/>
          </w:tcPr>
          <w:p>
            <w:pPr>
              <w:jc w:val="center"/>
              <w:ind w:left="1179"/>
              <w:spacing w:after="0" w:line="169" w:lineRule="exact"/>
              <w:rPr>
                <w:sz w:val="20"/>
                <w:szCs w:val="20"/>
                <w:color w:val="auto"/>
              </w:rPr>
            </w:pPr>
            <w:r>
              <w:rPr>
                <w:rFonts w:ascii="Arial" w:cs="Arial" w:eastAsia="Arial" w:hAnsi="Arial"/>
                <w:sz w:val="16"/>
                <w:szCs w:val="16"/>
                <w:color w:val="auto"/>
              </w:rPr>
              <w:t>(In thousands)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561,160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586,867</w:t>
            </w:r>
          </w:p>
        </w:tc>
        <w:tc>
          <w:tcPr>
            <w:tcW w:w="100" w:type="dxa"/>
            <w:vAlign w:val="bottom"/>
            <w:shd w:val="clear" w:color="auto" w:fill="CCEEFF"/>
          </w:tcPr>
          <w:p>
            <w:pPr>
              <w:spacing w:after="0"/>
              <w:rPr>
                <w:sz w:val="16"/>
                <w:szCs w:val="16"/>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2024 was $561 million.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and Retail Wireless Segments</w:t>
      </w:r>
    </w:p>
    <w:p>
      <w:pPr>
        <w:spacing w:after="0" w:line="19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6"/>
                <w:szCs w:val="16"/>
                <w:color w:val="auto"/>
              </w:rPr>
            </w:pPr>
          </w:p>
        </w:tc>
      </w:tr>
      <w:tr>
        <w:trPr>
          <w:trHeight w:val="169"/>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4"/>
          </w:tcPr>
          <w:p>
            <w:pPr>
              <w:jc w:val="right"/>
              <w:ind w:right="85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242,873</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287,276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381,401</w:t>
            </w:r>
          </w:p>
        </w:tc>
        <w:tc>
          <w:tcPr>
            <w:tcW w:w="220" w:type="dxa"/>
            <w:vAlign w:val="bottom"/>
            <w:shd w:val="clear" w:color="auto" w:fill="CCEEFF"/>
          </w:tcPr>
          <w:p>
            <w:pPr>
              <w:spacing w:after="0"/>
              <w:rPr>
                <w:sz w:val="16"/>
                <w:szCs w:val="16"/>
                <w:color w:val="auto"/>
              </w:rPr>
            </w:pPr>
          </w:p>
        </w:tc>
      </w:tr>
      <w:tr>
        <w:trPr>
          <w:trHeight w:val="189"/>
        </w:trPr>
        <w:tc>
          <w:tcPr>
            <w:tcW w:w="298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55,094</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67,708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164,570</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234,184</w:t>
            </w:r>
          </w:p>
        </w:tc>
        <w:tc>
          <w:tcPr>
            <w:tcW w:w="220" w:type="dxa"/>
            <w:vAlign w:val="bottom"/>
          </w:tcPr>
          <w:p>
            <w:pPr>
              <w:spacing w:after="0"/>
              <w:rPr>
                <w:sz w:val="16"/>
                <w:szCs w:val="16"/>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(63,364)</w:t>
            </w: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(91,983)</w:t>
            </w: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(217,243)</w:t>
            </w: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(285,675)</w:t>
            </w:r>
          </w:p>
        </w:tc>
      </w:tr>
      <w:tr>
        <w:trPr>
          <w:trHeight w:val="183"/>
        </w:trPr>
        <w:tc>
          <w:tcPr>
            <w:tcW w:w="29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234,603</w:t>
            </w:r>
          </w:p>
        </w:tc>
        <w:tc>
          <w:tcPr>
            <w:tcW w:w="2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329,910</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234,603</w:t>
            </w:r>
          </w:p>
        </w:tc>
        <w:tc>
          <w:tcPr>
            <w:tcW w:w="2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329,910</w:t>
            </w:r>
          </w:p>
        </w:tc>
        <w:tc>
          <w:tcPr>
            <w:tcW w:w="220" w:type="dxa"/>
            <w:vAlign w:val="bottom"/>
          </w:tcPr>
          <w:p>
            <w:pPr>
              <w:spacing w:after="0"/>
              <w:rPr>
                <w:sz w:val="15"/>
                <w:szCs w:val="15"/>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86" w:lineRule="exact"/>
        <w:rPr>
          <w:sz w:val="20"/>
          <w:szCs w:val="20"/>
          <w:color w:val="auto"/>
        </w:rPr>
      </w:pPr>
    </w:p>
    <w:p>
      <w:pPr>
        <w:ind w:left="700" w:hanging="650"/>
        <w:spacing w:after="0"/>
        <w:tabs>
          <w:tab w:leader="none" w:pos="7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EchoStar, our Parent.</w:t>
      </w:r>
    </w:p>
    <w:p>
      <w:pPr>
        <w:spacing w:after="0" w:line="198"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January 1, 2008, DISH Network completed the distribution of its technology and set-top box business and certain infrastructure assets (the “Spin-off”) into a separate publicly-traded company, EchoStar. Following the Spin-off, DISH Network and EchoStar operated as separate publicly-traded companies until the Merger on December 31, 2023. See Note 1 for more information. After the Spin-off and prior to the Merger, we and EchoStar entered into certain agreements pursuant to which we obtain certain products, services and rights from EchoStar and EchoStar obtains certain products, services and rights from us.</w:t>
      </w:r>
    </w:p>
    <w:p>
      <w:pPr>
        <w:spacing w:after="0" w:line="16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February 28, 2017, we and EchoStar and certain of our respective subsidiaries completed a transaction (the “Share Exchange Agreement”) pursuant to which certain assets that were transferred to EchoStar in the Spin-off were transferred back to us. On September 10, 2019, we and EchoStar and certain of our respective subsidiaries completed the transactions contemplated by the Master Transaction Agreement (the “Master Transaction Agreement”) pursuant to which certain assets that were transferred to EchoStar in the Spin-off were transferred back to us. On December 31, 2023, EchoStar completed the acquisition of DISH Network.</w:t>
      </w:r>
    </w:p>
    <w:p>
      <w:pPr>
        <w:spacing w:after="0" w:line="165" w:lineRule="exact"/>
        <w:rPr>
          <w:sz w:val="20"/>
          <w:szCs w:val="20"/>
          <w:color w:val="auto"/>
        </w:rPr>
      </w:pPr>
    </w:p>
    <w:p>
      <w:pPr>
        <w:ind w:left="60" w:right="1039"/>
        <w:spacing w:after="0" w:line="271" w:lineRule="auto"/>
        <w:rPr>
          <w:sz w:val="20"/>
          <w:szCs w:val="20"/>
          <w:color w:val="auto"/>
        </w:rPr>
      </w:pPr>
      <w:r>
        <w:rPr>
          <w:rFonts w:ascii="Arial" w:cs="Arial" w:eastAsia="Arial" w:hAnsi="Arial"/>
          <w:sz w:val="18"/>
          <w:szCs w:val="18"/>
          <w:color w:val="auto"/>
        </w:rPr>
        <w:t>The following is a summary of the terms of our principal agreements with EchoStar, our parent, and its subsidiaries, that may have an impact on our financial condition and results of operations.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96"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As of September 30, 2024 and December 31, 2023, trade accounts receivable from EchoStar was zero and $4 million, respectively. These amounts are recorded in “Trade accounts receivable” on our Condensed Consolidated Balance Sheets.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payable”</w:t>
      </w:r>
    </w:p>
    <w:p>
      <w:pPr>
        <w:spacing w:after="0" w:line="196"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As of September 30, 2024 and December 31, 2023, trade accounts payable to EchoStar was $64 million and $13 million, respectively. These amounts are recorded in “Trade accounts payable” on our Condensed Consolidated Balance Sheets.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9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During the three months ended September 30, 2024 and 2023, we received $2 million and $1 million, respectively, for services provided to EchoStar. During the nine months ended September 30, 2024 and 2023, we received $4 million and $3 million, respectively, for services provided to EchoStar. These amounts are recorded in “Service revenue” on our Condensed Consolidated Statements of Operations and Comprehensive Income (Loss). The primary agreements pertaining to these revenues are discussed below.</w:t>
      </w:r>
    </w:p>
    <w:p>
      <w:pPr>
        <w:spacing w:after="0" w:line="16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i w:val="1"/>
          <w:iCs w:val="1"/>
          <w:color w:val="auto"/>
        </w:rPr>
        <w:t>TT&amp;C Agreement – Master Transaction Agreement</w:t>
      </w:r>
      <w:r>
        <w:rPr>
          <w:rFonts w:ascii="Arial" w:cs="Arial" w:eastAsia="Arial" w:hAnsi="Arial"/>
          <w:sz w:val="18"/>
          <w:szCs w:val="18"/>
          <w:color w:val="auto"/>
        </w:rPr>
        <w:t>. In September 2019, we entered into an agreement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we provide TT&amp;C services to EchoStar for a period ending in September 2021, with the option for EchoStar to renew for a one-year period upon written notice at least 90 days prior to the initial expiration (the “MTA TT&amp;C Agreement”). The fees for services provided under the MTA TT&amp;C Agreement are calculated at either: (i) a fixed fee or (ii) cost plus a fixed margin, which will vary depending on the nature of the services provided. Either party is able to terminate the MTA TT&amp;C Agreement for any reason upon 12 months’ notice. In September 2021, we amended the MTA TT&amp;C Agreement to extend the term until September 2022 and added the option for EchoStar to renew for three one-year renewal terms. In August 2022, EchoStar exercised its first renewal option for a period ending in September 2023. In September 2023, EchoStar exercised its second renewal option for a period ending in September 2024. In September 2024, EchoStar exercised its third renewal option for a period ending in September 2025.</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“Equipment sales and other revenue”</w:t>
      </w:r>
    </w:p>
    <w:p>
      <w:pPr>
        <w:spacing w:after="0" w:line="196" w:lineRule="exact"/>
        <w:rPr>
          <w:sz w:val="20"/>
          <w:szCs w:val="20"/>
          <w:color w:val="auto"/>
        </w:rPr>
      </w:pPr>
    </w:p>
    <w:p>
      <w:pPr>
        <w:ind w:left="60" w:right="79"/>
        <w:spacing w:after="0" w:line="261" w:lineRule="auto"/>
        <w:rPr>
          <w:sz w:val="20"/>
          <w:szCs w:val="20"/>
          <w:color w:val="auto"/>
        </w:rPr>
      </w:pPr>
      <w:r>
        <w:rPr>
          <w:rFonts w:ascii="Arial" w:cs="Arial" w:eastAsia="Arial" w:hAnsi="Arial"/>
          <w:sz w:val="17"/>
          <w:szCs w:val="17"/>
          <w:color w:val="auto"/>
        </w:rPr>
        <w:t>During the three months ended September 30, 2024 and 2023, we received $2 million and $1 million, respectively, for services provided to EchoStar. During both the nine months ended September 30, 2024 and 2023, we received $3 million and $2 million, respectively, for services provided to EchoStar. These amounts are recorded in “Equipment sales and other revenue” on our Condensed Consolidated Statements of Operations and Comprehensive Income (Loss). The primary agreements pertaining to these revenues are discussed below.</w:t>
      </w:r>
    </w:p>
    <w:p>
      <w:pPr>
        <w:spacing w:after="0" w:line="15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have entered into lease agreements pursuant to which we lease certain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to EchoStar. The rent on a per square foot basis for each of the leases is comparable to per square foot rental rates of similar commercial property in the same geographic areas, and EchoStar is responsible for its portion of the taxes, insurance, utilities and maintenance of the premises. The term of each lease is set forth below:</w:t>
      </w:r>
    </w:p>
    <w:p>
      <w:pPr>
        <w:spacing w:after="0" w:line="163" w:lineRule="exact"/>
        <w:rPr>
          <w:sz w:val="20"/>
          <w:szCs w:val="20"/>
          <w:color w:val="auto"/>
        </w:rPr>
      </w:pPr>
    </w:p>
    <w:p>
      <w:pPr>
        <w:ind w:left="720" w:right="279" w:hanging="319"/>
        <w:spacing w:after="0" w:line="246"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El Paso Lease Agreement. </w:t>
      </w:r>
      <w:r>
        <w:rPr>
          <w:rFonts w:ascii="Arial" w:cs="Arial" w:eastAsia="Arial" w:hAnsi="Arial"/>
          <w:sz w:val="18"/>
          <w:szCs w:val="18"/>
          <w:color w:val="auto"/>
        </w:rPr>
        <w:t>During 2012, we began leasing certain space at 1285 Joe Battle Blvd., El</w:t>
      </w:r>
      <w:r>
        <w:rPr>
          <w:rFonts w:ascii="Arial" w:cs="Arial" w:eastAsia="Arial" w:hAnsi="Arial"/>
          <w:sz w:val="18"/>
          <w:szCs w:val="18"/>
          <w:i w:val="1"/>
          <w:iCs w:val="1"/>
          <w:color w:val="auto"/>
        </w:rPr>
        <w:t xml:space="preserve"> </w:t>
      </w:r>
      <w:r>
        <w:rPr>
          <w:rFonts w:ascii="Arial" w:cs="Arial" w:eastAsia="Arial" w:hAnsi="Arial"/>
          <w:sz w:val="18"/>
          <w:szCs w:val="18"/>
          <w:color w:val="auto"/>
        </w:rPr>
        <w:t>Paso, Texas to EchoStar for an initial period ending on August 1, 2015, which also provides EchoStar with renewal options for four consecutive three-year terms. EchoStar exercised its renewal option for a period ending in July 2027.</w:t>
      </w:r>
    </w:p>
    <w:p>
      <w:pPr>
        <w:spacing w:after="0" w:line="163" w:lineRule="exact"/>
        <w:rPr>
          <w:rFonts w:ascii="Times New Roman" w:cs="Times New Roman" w:eastAsia="Times New Roman" w:hAnsi="Times New Roman"/>
          <w:sz w:val="18"/>
          <w:szCs w:val="18"/>
          <w:color w:val="auto"/>
        </w:rPr>
      </w:pPr>
    </w:p>
    <w:p>
      <w:pPr>
        <w:ind w:left="720" w:right="119" w:hanging="319"/>
        <w:spacing w:after="0" w:line="246"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Effective March 1, 2017, EchoStar leases certain space from us at 90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Circle East, Englewood, Colorado with an initial term that ended in February 2023 and renewal options for four consecutive three-year terms ending in February 2027. EchoStar exercised its renewal option for a period ending in February 2025.</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720" w:right="159"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Effective March 1, 2017, EchoStar began leasing certain space from us at</w:t>
      </w:r>
      <w:r>
        <w:rPr>
          <w:rFonts w:ascii="Arial" w:cs="Arial" w:eastAsia="Arial" w:hAnsi="Arial"/>
          <w:sz w:val="18"/>
          <w:szCs w:val="18"/>
          <w:i w:val="1"/>
          <w:iCs w:val="1"/>
          <w:color w:val="auto"/>
        </w:rPr>
        <w:t xml:space="preserve"> </w:t>
      </w:r>
      <w:r>
        <w:rPr>
          <w:rFonts w:ascii="Arial" w:cs="Arial" w:eastAsia="Arial" w:hAnsi="Arial"/>
          <w:sz w:val="18"/>
          <w:szCs w:val="18"/>
          <w:color w:val="auto"/>
        </w:rPr>
        <w:t>530 EchoStar Drive, Cheyenne, Wyoming for a period ending in February 2019. In August 2018, EchoStar exercised its option to renew this lease for a one-year period ending in February 2020. EchoStar has the option to renew this lease for 12 one-year periods. During September 2019, we and EchoStar amended this lease to provide EchoStar with certain space for a period ending in September 2023, with the option for EchoStar to renew for a one-year period upon 180 days’ written notice prior to the end of the term. This lease was not renewed and terminated in September 2023.</w:t>
      </w:r>
    </w:p>
    <w:p>
      <w:pPr>
        <w:spacing w:after="0" w:line="17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i w:val="1"/>
          <w:iCs w:val="1"/>
          <w:color w:val="auto"/>
        </w:rPr>
        <w:t>Collocation and Antenna Space Agreements</w:t>
      </w:r>
      <w:r>
        <w:rPr>
          <w:rFonts w:ascii="Arial" w:cs="Arial" w:eastAsia="Arial" w:hAnsi="Arial"/>
          <w:sz w:val="18"/>
          <w:szCs w:val="18"/>
          <w:color w:val="auto"/>
        </w:rPr>
        <w:t>. Effective March 1, 2017, we entered into certain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provide certain collocation and antenna space to HNS through February 2025 at the following locations: Cheyenne, Wyoming; Gilbert, Arizona; Monee, Illinois; Englewood, Colorado; and Spokane, Washington. During August 2017, we entered into certain other agreements pursuant to which we provide certain collocation and antenna space to HNS through August 2022 at the following locations: Monee, Illinois and Spokane, Washington. HNS has the option to renew each of these agreements for four three-year periods. In May 2022, HNS exercised its renewal option for a period ending in August 2025. HNS may terminate certain of these agreements with 180 days’ prior written notice to us at the following locations: Englewood, Colorado; and Spokane, Washington. The fees for the services provided under these agreements depend, among other things, on the number of racks leased and/or antennas present at the location.</w:t>
      </w:r>
    </w:p>
    <w:p>
      <w:pPr>
        <w:spacing w:after="0" w:line="16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Also in September 2019, we entered into an agreement pursuant to which we provide HNS with antenna space and power in Cheyenne, Wyoming for a period of five years commencing no later than October 2020, with four three-year renewal terms, with prior written notice no more than 120 days but no less than 90 days prior to the end of the then-current term.</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6" w:lineRule="exact"/>
        <w:rPr>
          <w:sz w:val="20"/>
          <w:szCs w:val="20"/>
          <w:color w:val="auto"/>
        </w:rPr>
      </w:pPr>
    </w:p>
    <w:p>
      <w:pPr>
        <w:ind w:left="60" w:right="119"/>
        <w:spacing w:after="0" w:line="261" w:lineRule="auto"/>
        <w:rPr>
          <w:sz w:val="20"/>
          <w:szCs w:val="20"/>
          <w:color w:val="auto"/>
        </w:rPr>
      </w:pPr>
      <w:r>
        <w:rPr>
          <w:rFonts w:ascii="Arial" w:cs="Arial" w:eastAsia="Arial" w:hAnsi="Arial"/>
          <w:sz w:val="17"/>
          <w:szCs w:val="17"/>
          <w:color w:val="auto"/>
        </w:rPr>
        <w:t>During the three months ended September 30, 2024 and 2023, we incurred $1 million and $2 million, respectively, of costs for services provided to us by EchoStar. During the nine months ended September 30, 2024 and 2023, we incurred $3 million and $6 million, respectively, of costs for services provided to us by EchoStar. These amounts are recorded in “Cost of services” on our Condensed Consolidated Statements of Operations and Comprehensive Income (Loss). The primary agreements pertaining to these expenses are discussed below.</w:t>
      </w:r>
    </w:p>
    <w:p>
      <w:pPr>
        <w:spacing w:after="0" w:line="15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i w:val="1"/>
          <w:iCs w:val="1"/>
          <w:color w:val="auto"/>
        </w:rPr>
        <w:t>Spectrum Manager Lease Agreement</w:t>
      </w:r>
      <w:r>
        <w:rPr>
          <w:rFonts w:ascii="Arial" w:cs="Arial" w:eastAsia="Arial" w:hAnsi="Arial"/>
          <w:sz w:val="18"/>
          <w:szCs w:val="18"/>
          <w:color w:val="auto"/>
        </w:rPr>
        <w:t xml:space="preserve">. Effective January 10, 2024, we and EchoStar, on behalf of certain wholly-owned subsidiaries, entered into the Spectrum Manager Lease Agreement pursuant to which we have the right to lease the wireless spectrum licenses AWS-4, H-Block, CBRS (3550-3650 MHz), C-Band– Cheyenne (3.7-3.98 GHz), 12GHz (MVDDS), LMDS, 24 GHz, 28 GHz, 37GHz, 39GHz and 47GHz, and 700 MHz for a nominal fee. Under the applicable accounting guidance in Accounting Standards Codification 842, </w:t>
      </w:r>
      <w:r>
        <w:rPr>
          <w:rFonts w:ascii="Arial" w:cs="Arial" w:eastAsia="Arial" w:hAnsi="Arial"/>
          <w:sz w:val="18"/>
          <w:szCs w:val="18"/>
          <w:i w:val="1"/>
          <w:iCs w:val="1"/>
          <w:color w:val="auto"/>
        </w:rPr>
        <w:t>Leases (“ASC 842”)</w:t>
      </w:r>
      <w:r>
        <w:rPr>
          <w:rFonts w:ascii="Arial" w:cs="Arial" w:eastAsia="Arial" w:hAnsi="Arial"/>
          <w:sz w:val="18"/>
          <w:szCs w:val="18"/>
          <w:color w:val="auto"/>
        </w:rPr>
        <w:t>, these wireless spectrum licenses are intangible assets, and therefore excluded from the scope of ASC 842 and are not reflected on our Condensed Consolidated Balance Sheets as right-of-use assets and lease liabilities. We have the right to use the wireless spectrum licenses for as long as EchoStar holds the licenses, subject to certain termination provisions.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i w:val="1"/>
          <w:iCs w:val="1"/>
          <w:color w:val="auto"/>
        </w:rPr>
        <w:t>Hughes Broadband Distribution Agreement</w:t>
      </w:r>
      <w:r>
        <w:rPr>
          <w:rFonts w:ascii="Arial" w:cs="Arial" w:eastAsia="Arial" w:hAnsi="Arial"/>
          <w:sz w:val="18"/>
          <w:szCs w:val="18"/>
          <w:color w:val="auto"/>
        </w:rPr>
        <w:t>. Effective October 1, 2012, dishNET Satellite Broadband L.L.C.</w:t>
      </w:r>
      <w:r>
        <w:rPr>
          <w:rFonts w:ascii="Arial" w:cs="Arial" w:eastAsia="Arial" w:hAnsi="Arial"/>
          <w:sz w:val="18"/>
          <w:szCs w:val="18"/>
          <w:i w:val="1"/>
          <w:iCs w:val="1"/>
          <w:color w:val="auto"/>
        </w:rPr>
        <w:t xml:space="preserve"> </w:t>
      </w:r>
      <w:r>
        <w:rPr>
          <w:rFonts w:ascii="Arial" w:cs="Arial" w:eastAsia="Arial" w:hAnsi="Arial"/>
          <w:sz w:val="18"/>
          <w:szCs w:val="18"/>
          <w:color w:val="auto"/>
        </w:rPr>
        <w:t>(“dishNET Satellite Broadband”), our indirect wholly-owned subsidiary, and HNS entered into a Distribution Agreement (the “Distribution Agreement”) pursuant to which dishNET Satellite Broadband has the right, but not the obligation, to market, sell and distribute the HNS satellite Internet service (the “Service”). dishNET Satellite Broadband pays HNS a monthly per subscriber wholesale service fee for the Service based upon the subscriber’s service level, and, beginning January 1, 2014, certain volume subscription thresholds. The Distribution Agreement also provides that dishNET Satellite Broadband has the right, but not the obligation, to purchase certain broadband equipment from HNS to support the sale of the Service. On February 20, 2014, dishNET Satellite Broadband and HNS amended the Distribution Agreement which, among other things, extended the initial term of the Distribution Agreement through March 1, 2024.</w:t>
      </w:r>
    </w:p>
    <w:p>
      <w:pPr>
        <w:spacing w:after="0" w:line="15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Thereafter, the Distribution Agreement automatically renews for successive one year terms unless either party gives written notice of its intent not to renew to the other party at least 180 days before the expiration of the then-current term. Upon expiration or termination of the Distribution Agreement, the parties will continue to provide the Service to the then-current dishNET subscribers pursuant to the terms and conditions of the Distribution Agreement.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 – equipment and other”</w:t>
      </w:r>
    </w:p>
    <w:p>
      <w:pPr>
        <w:spacing w:after="0" w:line="196"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During the three months ended September 30, 2024 and 2023, we incurred zero and $1 million, respectively, for satellite hosting, operations and maintenance services as well as transmission of certain data to EchoStar. During the nine months ended September 30, 2024 and 2023, we incurred zero and $4 million, respectively, for satellite hosting, operations and maintenance services as well as transmission of certain data to EchoStar. These amounts are recorded in “Cost of sales – equipment and other” on our Condensed Consolidated Statements of Operations and Comprehensive Income (Loss). The primary agreements pertaining to these expenses are discussed below.</w:t>
      </w:r>
    </w:p>
    <w:p>
      <w:pPr>
        <w:spacing w:after="0" w:line="152" w:lineRule="exact"/>
        <w:rPr>
          <w:sz w:val="20"/>
          <w:szCs w:val="20"/>
          <w:color w:val="auto"/>
        </w:rPr>
      </w:pPr>
    </w:p>
    <w:p>
      <w:pPr>
        <w:ind w:left="60" w:right="139"/>
        <w:spacing w:after="0"/>
        <w:rPr>
          <w:sz w:val="20"/>
          <w:szCs w:val="20"/>
          <w:color w:val="auto"/>
        </w:rPr>
      </w:pPr>
      <w:r>
        <w:rPr>
          <w:rFonts w:ascii="Arial" w:cs="Arial" w:eastAsia="Arial" w:hAnsi="Arial"/>
          <w:sz w:val="18"/>
          <w:szCs w:val="18"/>
          <w:i w:val="1"/>
          <w:iCs w:val="1"/>
          <w:color w:val="auto"/>
        </w:rPr>
        <w:t xml:space="preserve">DBSD North America Agreement. </w:t>
      </w:r>
      <w:r>
        <w:rPr>
          <w:rFonts w:ascii="Arial" w:cs="Arial" w:eastAsia="Arial" w:hAnsi="Arial"/>
          <w:sz w:val="18"/>
          <w:szCs w:val="18"/>
          <w:color w:val="auto"/>
        </w:rPr>
        <w:t>On March 9, 2012, we completed the DBSD Transaction. During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2011, EchoStar acquired Hughes. Prior to our acquisition of DBSD North America and EchoStar’s acquisition of Hughes, DBSD North America and HNS entered into an agreement pursuant to which HNS provides, among other things, hosting, operations and maintenance services for DBSD North America’s satellite gateway and associated ground infrastructure. This agreement generally may be terminated by us at any time for convenience. DBSD North America was included in the Sale and Transfer of Assets to EchoStar. See Note 1 for further information.</w:t>
      </w:r>
    </w:p>
    <w:p>
      <w:pPr>
        <w:spacing w:after="0" w:line="171"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i w:val="1"/>
          <w:iCs w:val="1"/>
          <w:color w:val="auto"/>
        </w:rPr>
        <w:t>TerreStar Agreements</w:t>
      </w:r>
      <w:r>
        <w:rPr>
          <w:rFonts w:ascii="Arial" w:cs="Arial" w:eastAsia="Arial" w:hAnsi="Arial"/>
          <w:sz w:val="18"/>
          <w:szCs w:val="18"/>
          <w:color w:val="auto"/>
        </w:rPr>
        <w:t>. On March 9, 2012, we completed the TerreStar Transaction. Prior to our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the assets of TerreStar and EchoStar’s acquisition of Hughes, TerreStar and HNS entered into various agreements pursuant to which HNS provides, among other things, hosting, operations and maintenance services for TerreStar’s satellite gateway and associated ground infrastructure. These agreements generally may be terminated by us at any time for convenience. TerreStar was included in the Sale and Transfer of Assets to EchoStar. See Note 1 for further information.</w:t>
      </w:r>
    </w:p>
    <w:p>
      <w:pPr>
        <w:spacing w:after="0" w:line="165"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i w:val="1"/>
          <w:iCs w:val="1"/>
          <w:color w:val="auto"/>
        </w:rPr>
        <w:t xml:space="preserve">Hughes Equipment and Services Agreement. </w:t>
      </w:r>
      <w:r>
        <w:rPr>
          <w:rFonts w:ascii="Arial" w:cs="Arial" w:eastAsia="Arial" w:hAnsi="Arial"/>
          <w:sz w:val="18"/>
          <w:szCs w:val="18"/>
          <w:color w:val="auto"/>
        </w:rPr>
        <w:t>In February 2019, we and HNS entered into an agreement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HNS will provide us with HughesNet Service and HughesNet equipment for the transmission of certain data related to our 5G Network Deployment. This agreement has an initial term of five years with automatic renewal for successive one-year terms unless terminated by DISH Network with at least 180 days’ written notice to HNS or by HNS with at least 365 days’ written notice to DISH Network.</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During the three months ended September 30, 2024 and 2023, we incurred $6 million and $3 million, respectively, for selling, general and administrative expenses for services provided to us by EchoStar. During the nine months ended September 30, 2024 and 2023, we incurred $17 million and $9 million, respectively, for selling, general and administrative expenses for services provided to us by EchoStar. These amounts are recorded in “Selling, general and administrative expenses” on our Condensed Consolidated Statements of Operations and Comprehensive Income (Loss). The primary agreements pertaining to these expenses are discussed below.</w:t>
      </w:r>
    </w:p>
    <w:p>
      <w:pPr>
        <w:spacing w:after="0" w:line="152" w:lineRule="exact"/>
        <w:rPr>
          <w:sz w:val="20"/>
          <w:szCs w:val="20"/>
          <w:color w:val="auto"/>
        </w:rPr>
      </w:pPr>
    </w:p>
    <w:p>
      <w:pPr>
        <w:jc w:val="both"/>
        <w:ind w:left="60" w:right="139"/>
        <w:spacing w:after="0" w:line="266" w:lineRule="auto"/>
        <w:rPr>
          <w:sz w:val="20"/>
          <w:szCs w:val="20"/>
          <w:color w:val="auto"/>
        </w:rPr>
      </w:pPr>
      <w:r>
        <w:rPr>
          <w:rFonts w:ascii="Arial" w:cs="Arial" w:eastAsia="Arial" w:hAnsi="Arial"/>
          <w:sz w:val="17"/>
          <w:szCs w:val="17"/>
          <w:i w:val="1"/>
          <w:iCs w:val="1"/>
          <w:color w:val="auto"/>
        </w:rPr>
        <w:t xml:space="preserve">Real Estate Lease Agreements. </w:t>
      </w:r>
      <w:r>
        <w:rPr>
          <w:rFonts w:ascii="Arial" w:cs="Arial" w:eastAsia="Arial" w:hAnsi="Arial"/>
          <w:sz w:val="17"/>
          <w:szCs w:val="17"/>
          <w:color w:val="auto"/>
        </w:rPr>
        <w:t>We have entered into lease agreements pursuant to which we lease certain real</w:t>
      </w:r>
      <w:r>
        <w:rPr>
          <w:rFonts w:ascii="Arial" w:cs="Arial" w:eastAsia="Arial" w:hAnsi="Arial"/>
          <w:sz w:val="17"/>
          <w:szCs w:val="17"/>
          <w:i w:val="1"/>
          <w:iCs w:val="1"/>
          <w:color w:val="auto"/>
        </w:rPr>
        <w:t xml:space="preserve"> </w:t>
      </w:r>
      <w:r>
        <w:rPr>
          <w:rFonts w:ascii="Arial" w:cs="Arial" w:eastAsia="Arial" w:hAnsi="Arial"/>
          <w:sz w:val="17"/>
          <w:szCs w:val="17"/>
          <w:color w:val="auto"/>
        </w:rPr>
        <w:t>estate from EchoStar. The rent on a per square foot basis for each of the leases is comparable to per square foot rental rates of similar commercial property in the same geographic area, and we are responsible for our portion of the taxes, insurance, utilities and maintenance of the premises. The term of each lease is set forth below:</w:t>
      </w:r>
    </w:p>
    <w:p>
      <w:pPr>
        <w:spacing w:after="0" w:line="146" w:lineRule="exact"/>
        <w:rPr>
          <w:sz w:val="20"/>
          <w:szCs w:val="20"/>
          <w:color w:val="auto"/>
        </w:rPr>
      </w:pPr>
    </w:p>
    <w:p>
      <w:pPr>
        <w:ind w:left="720" w:right="199" w:hanging="319"/>
        <w:spacing w:after="0" w:line="270" w:lineRule="auto"/>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We lease all of 9601 S. Meridian Blvd. in Englewood, Colorado for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on December 31, 2024.</w:t>
      </w:r>
    </w:p>
    <w:p>
      <w:pPr>
        <w:spacing w:after="0" w:line="140"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100 Inverness Lease Agreement</w:t>
      </w:r>
      <w:r>
        <w:rPr>
          <w:rFonts w:ascii="Arial" w:cs="Arial" w:eastAsia="Arial" w:hAnsi="Arial"/>
          <w:sz w:val="18"/>
          <w:szCs w:val="18"/>
          <w:color w:val="auto"/>
        </w:rPr>
        <w:t>. Effective March 1, 2017, we lease certain space from EchoStar at 100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Terrace East, Englewood, Colorado for a period ending in December 2024. This agreement may be terminated by either party upon 180 days’ prior notice.</w:t>
      </w:r>
    </w:p>
    <w:p>
      <w:pPr>
        <w:spacing w:after="0" w:line="15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i w:val="1"/>
          <w:iCs w:val="1"/>
          <w:color w:val="auto"/>
        </w:rPr>
        <w:t xml:space="preserve">Professional Services Agreement. </w:t>
      </w:r>
      <w:r>
        <w:rPr>
          <w:rFonts w:ascii="Arial" w:cs="Arial" w:eastAsia="Arial" w:hAnsi="Arial"/>
          <w:sz w:val="18"/>
          <w:szCs w:val="18"/>
          <w:color w:val="auto"/>
        </w:rPr>
        <w:t>Prior to 2010, we entered into various agreements with EchoStar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Services Agreement, Satellite Procurement Agreement and Services Agreement, which all expired on January 1, 2010 and were replaced by a Professional Services Agreement. During 2009, we and EchoStar agreed that EchoStar shall continue to have the right, but not the obligation, to receive the following services from us,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we and EchoStar agreed that we shall continue to have the right, but not the obligation, to engage EchoStar to manage the process of procuring new satellite capacity for us and receive logistics, procurement and quality assurance services from EchoStar and other support services. On February 28, 2017, DISH Network and EchoStar amended the Professional Services Agreement to, among other things, provide certain transition services to each other. In addition, we and EchoStar amended the Professional Services Agreement effective September 10, 2019 to, among other things, provide certain transition services to each other and to remove certain services no longer necessary.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During March 2020, we and EchoStar added a service under the Professional Services Agreement whereby we provide EchoStar with rights to use certain satellite capacity in exchange for certain credits to amounts owed by us to EchoStar under the TerreStar Agreement described above. The Professional Services Agreement renewed on January 1, 2024 for an additional one-year period until January 1, 2025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71" w:lineRule="exact"/>
        <w:rPr>
          <w:sz w:val="20"/>
          <w:szCs w:val="20"/>
          <w:color w:val="auto"/>
        </w:rPr>
      </w:pPr>
    </w:p>
    <w:p>
      <w:pPr>
        <w:jc w:val="both"/>
        <w:ind w:left="60" w:right="579"/>
        <w:spacing w:after="0" w:line="253" w:lineRule="auto"/>
        <w:rPr>
          <w:sz w:val="20"/>
          <w:szCs w:val="20"/>
          <w:color w:val="auto"/>
        </w:rPr>
      </w:pPr>
      <w:r>
        <w:rPr>
          <w:rFonts w:ascii="Arial" w:cs="Arial" w:eastAsia="Arial" w:hAnsi="Arial"/>
          <w:sz w:val="18"/>
          <w:szCs w:val="18"/>
          <w:color w:val="auto"/>
        </w:rPr>
        <w:t>Revenue for services provided by us to EchoStar under the Professional Services Agreement is recorded in “Service revenue” and “Equipment sales and other revenue” on our Condensed Consolidated Statements of Operations and Comprehensive Income (Loss).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Agreements – EchoStar</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i w:val="1"/>
          <w:iCs w:val="1"/>
          <w:color w:val="auto"/>
        </w:rPr>
        <w:t xml:space="preserve">Tax Sharing Agreement. </w:t>
      </w:r>
      <w:r>
        <w:rPr>
          <w:rFonts w:ascii="Arial" w:cs="Arial" w:eastAsia="Arial" w:hAnsi="Arial"/>
          <w:sz w:val="18"/>
          <w:szCs w:val="18"/>
          <w:color w:val="auto"/>
        </w:rPr>
        <w:t>We entered into a tax sharing agreement (the “Tax Sharing Agreement”) with EchoStar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us, and we will indemnify EchoStar for such taxes. However, we are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EchoStar’s stock, stock options or assets; (ii) any action that EchoStar takes or fails to take; or (iii) any action that EchoStar takes that is inconsistent with the information and representations furnished to the Internal Revenue Service (“IRS”) in connection with the request for the private letter ruling, or to counsel in connection with any opinion being delivered by counsel with respect to the Spin-off or certain related transactions. In such case, EchoStar is solely liable for, and will indemnify us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7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light of the Tax Sharing Agreement, among other things, and in connection with our consolidated federal income tax returns for certain tax years prior to and for the year of the Spin-off, during 2013, we and EchoStar agreed upon a supplemental allocation of the tax benefits arising from certain tax items resolved in the course of the IRS’ examination of these consolidated tax returns. As a result, we agreed to pay EchoStar $82 million of the tax benefit we received or will receive. Any payment to EchoStar, including accrued interest, will be made at such time as EchoStar would have otherwise been able to realize such tax benefit. As of September 30, 2024, we have paid $13 million of the tax benefit received, leaving $69 million remaining to be paid.</w:t>
      </w:r>
    </w:p>
    <w:p>
      <w:pPr>
        <w:spacing w:after="0" w:line="171"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In addition, during 2013, we and EchoStar agreed upon a tax sharing arrangement for filing certain combined state income tax returns and a method of allocating the respective tax liabilities between us and EchoStar for such combined returns, through the taxable period ending on December 31, 2017 (the “State Tax Arrangement”). During the third quarter of 2018, we and EchoStar amended the Tax Sharing Agreement and the 2013 agreements (the “Amendment”).</w:t>
      </w:r>
    </w:p>
    <w:p>
      <w:pPr>
        <w:spacing w:after="0" w:line="163"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Under the Amendment, among other things, we are entitled to apply the benefit of EchoStar’s 2009 net operating losses to our federal tax return for the year ended December 31, 2008, in exchange for paying EchoStar over time the value of the net annual federal income taxes paid by EchoStar that would have been otherwise offset by their 2009 net operating loss.</w:t>
      </w:r>
    </w:p>
    <w:p>
      <w:pPr>
        <w:spacing w:after="0" w:line="160" w:lineRule="exact"/>
        <w:rPr>
          <w:sz w:val="20"/>
          <w:szCs w:val="20"/>
          <w:color w:val="auto"/>
        </w:rPr>
      </w:pPr>
    </w:p>
    <w:p>
      <w:pPr>
        <w:jc w:val="both"/>
        <w:ind w:left="60" w:right="459"/>
        <w:spacing w:after="0" w:line="253" w:lineRule="auto"/>
        <w:rPr>
          <w:sz w:val="20"/>
          <w:szCs w:val="20"/>
          <w:color w:val="auto"/>
        </w:rPr>
      </w:pPr>
      <w:r>
        <w:rPr>
          <w:rFonts w:ascii="Arial" w:cs="Arial" w:eastAsia="Arial" w:hAnsi="Arial"/>
          <w:sz w:val="18"/>
          <w:szCs w:val="18"/>
          <w:color w:val="auto"/>
        </w:rPr>
        <w:t>The Amendment also contained provisions related to the term of the State Tax Arrangement. As discussed in prior filings, beginning in 2020, DISH Network and EchoStar no longer files a combined state tax return in any state. All requirements under the State Tax Arrangement were fulfilled in 2022.</w:t>
      </w:r>
    </w:p>
    <w:p>
      <w:pPr>
        <w:spacing w:after="0" w:line="155"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As a result of the Merger discussed above, DISH Network and EchoStar are analyzing requirements to determine if combined returns are appropriate for tax years beginning in 2024.</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Patent Cross-License Agreements</w:t>
      </w:r>
      <w:r>
        <w:rPr>
          <w:rFonts w:ascii="Arial" w:cs="Arial" w:eastAsia="Arial" w:hAnsi="Arial"/>
          <w:sz w:val="18"/>
          <w:szCs w:val="18"/>
          <w:color w:val="auto"/>
        </w:rPr>
        <w:t>. In December 2011, we and EchoStar entered into separate patent cross-license agreements with the same third-party whereby: (i) EchoStar and such third-party licensed their respective patents to each other subject to certain conditions; and (ii) we and such third-party licensed our respective patents to each other subject to certain conditions (each, a “Cross-License Agreement”). Each Cross License Agreement covers patents acquired by the respective party prior to January 1, 2017 and aggregate payments under both Cross-License Agreements total less than $10 million. In December 2016, we and EchoStar independently exercised our respective options to extend each Cross-License Agreement to include patents acquired by the respective party prior to January 1, 2022.</w:t>
      </w:r>
    </w:p>
    <w:p>
      <w:pPr>
        <w:spacing w:after="0" w:line="167"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i w:val="1"/>
          <w:iCs w:val="1"/>
          <w:color w:val="auto"/>
        </w:rPr>
        <w:t xml:space="preserve">Rovi License Agreement. </w:t>
      </w:r>
      <w:r>
        <w:rPr>
          <w:rFonts w:ascii="Arial" w:cs="Arial" w:eastAsia="Arial" w:hAnsi="Arial"/>
          <w:sz w:val="18"/>
          <w:szCs w:val="18"/>
          <w:color w:val="auto"/>
        </w:rPr>
        <w:t>On August 19, 2016, we entered into a ten-year patent license agreement (the “Rovi</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with Rovi Corporation (“Rovi”) and, for certain limited purposes, EchoStar. EchoStar is a party to the Rovi License Agreement solely with respect to certain provisions relating to the prior patent license agreement between EchoStar and Rovi. There are no payments between us and EchoStar under the Rovi License Agreement.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Hughes Broadband Master Services Agreement. </w:t>
      </w:r>
      <w:r>
        <w:rPr>
          <w:rFonts w:ascii="Arial" w:cs="Arial" w:eastAsia="Arial" w:hAnsi="Arial"/>
          <w:sz w:val="18"/>
          <w:szCs w:val="18"/>
          <w:color w:val="auto"/>
        </w:rPr>
        <w:t>In March 2017, DISH Network L.L.C. (“DNLLC”) and HNS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entered into the MSA pursuant to which DNLLC, among other things: (i) has the right, but not the obligation, to</w:t>
      </w:r>
    </w:p>
    <w:p>
      <w:pPr>
        <w:ind w:left="60"/>
        <w:spacing w:after="0" w:line="234" w:lineRule="auto"/>
        <w:rPr>
          <w:sz w:val="20"/>
          <w:szCs w:val="20"/>
          <w:color w:val="auto"/>
        </w:rPr>
      </w:pPr>
      <w:r>
        <w:rPr>
          <w:rFonts w:ascii="Arial" w:cs="Arial" w:eastAsia="Arial" w:hAnsi="Arial"/>
          <w:sz w:val="18"/>
          <w:szCs w:val="18"/>
          <w:color w:val="auto"/>
        </w:rPr>
        <w:t>market, promote and solicit orders for the Hughes broadband satellite service and related equipment; and (ii)</w:t>
      </w:r>
    </w:p>
    <w:p>
      <w:pPr>
        <w:ind w:left="60"/>
        <w:spacing w:after="0" w:line="235" w:lineRule="auto"/>
        <w:rPr>
          <w:sz w:val="20"/>
          <w:szCs w:val="20"/>
          <w:color w:val="auto"/>
        </w:rPr>
      </w:pPr>
      <w:r>
        <w:rPr>
          <w:rFonts w:ascii="Arial" w:cs="Arial" w:eastAsia="Arial" w:hAnsi="Arial"/>
          <w:sz w:val="18"/>
          <w:szCs w:val="18"/>
          <w:color w:val="auto"/>
        </w:rPr>
        <w:t>installs Hughes service equipment with respect to activations generated by DNLLC. Under the MSA, HNS will</w:t>
      </w:r>
    </w:p>
    <w:p>
      <w:pPr>
        <w:ind w:left="60"/>
        <w:spacing w:after="0" w:line="235" w:lineRule="auto"/>
        <w:rPr>
          <w:sz w:val="20"/>
          <w:szCs w:val="20"/>
          <w:color w:val="auto"/>
        </w:rPr>
      </w:pPr>
      <w:r>
        <w:rPr>
          <w:rFonts w:ascii="Arial" w:cs="Arial" w:eastAsia="Arial" w:hAnsi="Arial"/>
          <w:sz w:val="18"/>
          <w:szCs w:val="18"/>
          <w:color w:val="auto"/>
        </w:rPr>
        <w:t>make certain payments to DNLLC for each Hughes service activation generated, and installation and other</w:t>
      </w:r>
    </w:p>
    <w:p>
      <w:pPr>
        <w:ind w:left="60"/>
        <w:spacing w:after="0"/>
        <w:rPr>
          <w:sz w:val="20"/>
          <w:szCs w:val="20"/>
          <w:color w:val="auto"/>
        </w:rPr>
      </w:pPr>
      <w:r>
        <w:rPr>
          <w:rFonts w:ascii="Arial" w:cs="Arial" w:eastAsia="Arial" w:hAnsi="Arial"/>
          <w:sz w:val="17"/>
          <w:szCs w:val="17"/>
          <w:color w:val="auto"/>
        </w:rPr>
        <w:t>services performed, by DNLLC. Payments from HNS for services provided are recorded in “Service revenue” 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Condensed Consolidated Statements of Operations and Comprehensive Income (Loss). For both the three</w:t>
      </w:r>
    </w:p>
    <w:p>
      <w:pPr>
        <w:ind w:left="60"/>
        <w:spacing w:after="0" w:line="234" w:lineRule="auto"/>
        <w:rPr>
          <w:sz w:val="20"/>
          <w:szCs w:val="20"/>
          <w:color w:val="auto"/>
        </w:rPr>
      </w:pPr>
      <w:r>
        <w:rPr>
          <w:rFonts w:ascii="Arial" w:cs="Arial" w:eastAsia="Arial" w:hAnsi="Arial"/>
          <w:sz w:val="18"/>
          <w:szCs w:val="18"/>
          <w:color w:val="auto"/>
        </w:rPr>
        <w:t>months ended September 30, 2024 and 2023, these payments were less than $1 million. For both the nine</w:t>
      </w:r>
    </w:p>
    <w:p>
      <w:pPr>
        <w:ind w:left="60"/>
        <w:spacing w:after="0" w:line="235" w:lineRule="auto"/>
        <w:rPr>
          <w:sz w:val="20"/>
          <w:szCs w:val="20"/>
          <w:color w:val="auto"/>
        </w:rPr>
      </w:pPr>
      <w:r>
        <w:rPr>
          <w:rFonts w:ascii="Arial" w:cs="Arial" w:eastAsia="Arial" w:hAnsi="Arial"/>
          <w:sz w:val="18"/>
          <w:szCs w:val="18"/>
          <w:color w:val="auto"/>
        </w:rPr>
        <w:t>months ended September 30, 2024 and 2023, these payments were $1 million. The MSA has an initial term</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five years with automatic renewal for successive one-year terms. After the first anniversary of the MSA, either</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party has the ability to terminate the MSA, in whole or in part, for any reason upon at least 90 days’ notice to the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party. Upon expiration or termination of the MSA, HNS will continue to provide the Hughes service to</w:t>
      </w:r>
    </w:p>
    <w:p>
      <w:pPr>
        <w:ind w:left="60"/>
        <w:spacing w:after="0"/>
        <w:rPr>
          <w:sz w:val="20"/>
          <w:szCs w:val="20"/>
          <w:color w:val="auto"/>
        </w:rPr>
      </w:pPr>
      <w:r>
        <w:rPr>
          <w:rFonts w:ascii="Arial" w:cs="Arial" w:eastAsia="Arial" w:hAnsi="Arial"/>
          <w:sz w:val="17"/>
          <w:szCs w:val="17"/>
          <w:color w:val="auto"/>
        </w:rPr>
        <w:t>subscribers and make certain payments to DNLLC pursuant to the terms and conditions of the MSA. For each of</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three and nine months ended September 30, 2024 and 2023, we purchased zero broadband equipment from</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HNS under the MSA.</w:t>
      </w:r>
    </w:p>
    <w:p>
      <w:pPr>
        <w:spacing w:after="0" w:line="18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i w:val="1"/>
          <w:iCs w:val="1"/>
          <w:color w:val="auto"/>
        </w:rPr>
        <w:t>Intellectual Property and Technology License Agreement – Share Exchange</w:t>
      </w:r>
      <w:r>
        <w:rPr>
          <w:rFonts w:ascii="Arial" w:cs="Arial" w:eastAsia="Arial" w:hAnsi="Arial"/>
          <w:sz w:val="18"/>
          <w:szCs w:val="18"/>
          <w:color w:val="auto"/>
        </w:rPr>
        <w:t>. Effective March 1, 2017, we and</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entered into an Intellectual Property and Technology License Agreement (“IPTLA”), pursuant to which we and EchoStar license to each other certain intellectual property and technology. The IPTLA will continue in perpetuity, unless mutually terminated by the parties. Pursuant to the IPTLA, EchoStar granted to us a license to its intellectual property and technology for use by us, among other things, in connection with our continued operation of the Transferred Businesses acquired pursuant to the Share Exchange Agreement, including a limited license to use the “ECHOSTAR” trademark during a transition period. EchoStar retains full ownership of the “ECHOSTAR” trademark. In addition, we granted a license back to EchoStar, among other things, for the continued use of all intellectual property and technology transferred to us pursuant to the Share Exchange Agreement that is used in EchoStar’s retained businesses.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i w:val="1"/>
          <w:iCs w:val="1"/>
          <w:color w:val="auto"/>
        </w:rPr>
        <w:t>Intellectual Property and Technology License Agreement – Master Transaction Agreement</w:t>
      </w:r>
      <w:r>
        <w:rPr>
          <w:rFonts w:ascii="Arial" w:cs="Arial" w:eastAsia="Arial" w:hAnsi="Arial"/>
          <w:sz w:val="17"/>
          <w:szCs w:val="17"/>
          <w:color w:val="auto"/>
        </w:rPr>
        <w:t>. Effective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10, 2019, we and EchoStar entered into an IPTLA (the “MTA IPTLA”), pursuant to which we and EchoStar license to each other certain intellectual property and technology. The MTA IPTLA will continue in perpetuity, unless mutually terminated by the parties. Pursuant to the MTA IPTLA, EchoStar granted to us a license to its intellectual property and technology for use by us, among other things, in connection with our continued operation of the BSS Business acquired pursuant to the Master Transaction Agreement, including a limited license to use the “ESS” and “ECHOSTAR SATELLITE SERVICES” trademarks during a transition period. EchoStar retains full ownership of the “ESS” and “ECHOSTAR SATELLITE SERVICES” trademarks. In addition, we granted a license back to EchoStar, among other things, for the continued use of all intellectual property and technology transferred to us pursuant to the Master Transaction Agreement that is used in EchoStar’s retained businesses.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CONX Corp.</w:t>
      </w:r>
    </w:p>
    <w:p>
      <w:pPr>
        <w:spacing w:after="0" w:line="198" w:lineRule="exact"/>
        <w:rPr>
          <w:sz w:val="20"/>
          <w:szCs w:val="20"/>
          <w:color w:val="auto"/>
        </w:rPr>
      </w:pPr>
    </w:p>
    <w:p>
      <w:pPr>
        <w:ind w:left="60" w:right="159" w:hanging="12"/>
        <w:spacing w:after="0" w:line="242" w:lineRule="auto"/>
        <w:rPr>
          <w:sz w:val="20"/>
          <w:szCs w:val="20"/>
          <w:color w:val="auto"/>
        </w:rPr>
      </w:pPr>
      <w:r>
        <w:rPr>
          <w:rFonts w:ascii="Arial" w:cs="Arial" w:eastAsia="Arial" w:hAnsi="Arial"/>
          <w:sz w:val="18"/>
          <w:szCs w:val="18"/>
          <w:color w:val="auto"/>
        </w:rPr>
        <w:t>CONX Corp. (“CONX”) is an entity partially owned by Charles W. Ergen, our Chairman (“CONX”). On May 1, 2024, we entered into an agreement to lease a commercial real estate property in Littleton, Colorado, comprising the corporate headquarters of DISH Wireless, from CONX for an initial 10 year term. During the three and nine months ended September 30, 2024, we recorded less than $1 million and $1 million, respectively, for this lease in “Selling, general and administrative expenses” on our Condensed Consolidated Statements of Operations and Comprehensive Income (Loss).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NagraStar L.L.C.</w:t>
      </w:r>
    </w:p>
    <w:p>
      <w:pPr>
        <w:spacing w:after="0" w:line="198"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Our investment in NagraStar is accounted for using the equity method.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25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34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6"/>
                <w:szCs w:val="16"/>
                <w:color w:val="auto"/>
              </w:rPr>
            </w:pPr>
          </w:p>
        </w:tc>
      </w:tr>
      <w:tr>
        <w:trPr>
          <w:trHeight w:val="169"/>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right"/>
              <w:ind w:right="759"/>
              <w:spacing w:after="0" w:line="169"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Purchases (including fees):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3460" w:type="dxa"/>
            <w:vAlign w:val="bottom"/>
          </w:tcPr>
          <w:p>
            <w:pPr>
              <w:ind w:left="20"/>
              <w:spacing w:after="0"/>
              <w:rPr>
                <w:sz w:val="20"/>
                <w:szCs w:val="20"/>
                <w:color w:val="auto"/>
              </w:rPr>
            </w:pPr>
            <w:r>
              <w:rPr>
                <w:rFonts w:ascii="Arial" w:cs="Arial" w:eastAsia="Arial" w:hAnsi="Arial"/>
                <w:sz w:val="16"/>
                <w:szCs w:val="16"/>
                <w:color w:val="auto"/>
              </w:rPr>
              <w:t>Purchases from NagraStar</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7,596</w:t>
            </w:r>
          </w:p>
        </w:tc>
        <w:tc>
          <w:tcPr>
            <w:tcW w:w="200" w:type="dxa"/>
            <w:vAlign w:val="bottom"/>
          </w:tcPr>
          <w:p>
            <w:pPr>
              <w:spacing w:after="0"/>
              <w:rPr>
                <w:sz w:val="16"/>
                <w:szCs w:val="16"/>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8,972</w:t>
            </w:r>
          </w:p>
        </w:tc>
        <w:tc>
          <w:tcPr>
            <w:tcW w:w="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24,723</w:t>
            </w:r>
          </w:p>
        </w:tc>
        <w:tc>
          <w:tcPr>
            <w:tcW w:w="18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28,012</w:t>
            </w:r>
          </w:p>
        </w:tc>
        <w:tc>
          <w:tcPr>
            <w:tcW w:w="140" w:type="dxa"/>
            <w:vAlign w:val="bottom"/>
          </w:tcPr>
          <w:p>
            <w:pPr>
              <w:spacing w:after="0"/>
              <w:rPr>
                <w:sz w:val="16"/>
                <w:szCs w:val="16"/>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6"/>
                <w:szCs w:val="16"/>
                <w:b w:val="1"/>
                <w:bCs w:val="1"/>
                <w:color w:val="auto"/>
                <w:w w:val="94"/>
              </w:rPr>
              <w:t>As of</w:t>
            </w:r>
          </w:p>
        </w:tc>
        <w:tc>
          <w:tcPr>
            <w:tcW w:w="86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r>
      <w:tr>
        <w:trPr>
          <w:trHeight w:val="175"/>
        </w:trPr>
        <w:tc>
          <w:tcPr>
            <w:tcW w:w="3460" w:type="dxa"/>
            <w:vAlign w:val="bottom"/>
          </w:tcPr>
          <w:p>
            <w:pPr>
              <w:spacing w:after="0"/>
              <w:rPr>
                <w:sz w:val="15"/>
                <w:szCs w:val="15"/>
                <w:color w:val="auto"/>
              </w:rPr>
            </w:pPr>
          </w:p>
        </w:tc>
        <w:tc>
          <w:tcPr>
            <w:tcW w:w="116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59"/>
              <w:spacing w:after="0" w:line="175" w:lineRule="exact"/>
              <w:rPr>
                <w:sz w:val="20"/>
                <w:szCs w:val="20"/>
                <w:color w:val="auto"/>
              </w:rPr>
            </w:pPr>
            <w:r>
              <w:rPr>
                <w:rFonts w:ascii="Arial" w:cs="Arial" w:eastAsia="Arial" w:hAnsi="Arial"/>
                <w:sz w:val="16"/>
                <w:szCs w:val="16"/>
                <w:b w:val="1"/>
                <w:bCs w:val="1"/>
                <w:color w:val="auto"/>
              </w:rPr>
              <w:t>December 31,</w:t>
            </w:r>
          </w:p>
        </w:tc>
        <w:tc>
          <w:tcPr>
            <w:tcW w:w="2700" w:type="dxa"/>
            <w:vAlign w:val="bottom"/>
          </w:tcPr>
          <w:p>
            <w:pPr>
              <w:spacing w:after="0"/>
              <w:rPr>
                <w:sz w:val="15"/>
                <w:szCs w:val="15"/>
                <w:color w:val="auto"/>
              </w:rPr>
            </w:pPr>
          </w:p>
        </w:tc>
      </w:tr>
      <w:tr>
        <w:trPr>
          <w:trHeight w:val="203"/>
        </w:trPr>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2023</w:t>
            </w:r>
          </w:p>
        </w:tc>
        <w:tc>
          <w:tcPr>
            <w:tcW w:w="2700" w:type="dxa"/>
            <w:vAlign w:val="bottom"/>
          </w:tcPr>
          <w:p>
            <w:pPr>
              <w:spacing w:after="0"/>
              <w:rPr>
                <w:sz w:val="17"/>
                <w:szCs w:val="17"/>
                <w:color w:val="auto"/>
              </w:rPr>
            </w:pPr>
          </w:p>
        </w:tc>
      </w:tr>
      <w:tr>
        <w:trPr>
          <w:trHeight w:val="169"/>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(In thousands)</w:t>
            </w:r>
          </w:p>
        </w:tc>
        <w:tc>
          <w:tcPr>
            <w:tcW w:w="86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8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 and Commitments: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6"/>
                <w:szCs w:val="16"/>
                <w:color w:val="auto"/>
              </w:rPr>
              <w:t>Amounts payable to NagraStar</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5,095</w:t>
            </w:r>
          </w:p>
        </w:tc>
        <w:tc>
          <w:tcPr>
            <w:tcW w:w="720" w:type="dxa"/>
            <w:vAlign w:val="bottom"/>
            <w:gridSpan w:val="3"/>
          </w:tcPr>
          <w:p>
            <w:pPr>
              <w:jc w:val="right"/>
              <w:ind w:right="32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9,821</w:t>
            </w:r>
          </w:p>
        </w:tc>
        <w:tc>
          <w:tcPr>
            <w:tcW w:w="2700" w:type="dxa"/>
            <w:vAlign w:val="bottom"/>
          </w:tcPr>
          <w:p>
            <w:pPr>
              <w:spacing w:after="0"/>
              <w:rPr>
                <w:sz w:val="19"/>
                <w:szCs w:val="19"/>
                <w:color w:val="auto"/>
              </w:rPr>
            </w:pPr>
          </w:p>
        </w:tc>
      </w:tr>
      <w:tr>
        <w:trPr>
          <w:trHeight w:val="170"/>
        </w:trPr>
        <w:tc>
          <w:tcPr>
            <w:tcW w:w="3460" w:type="dxa"/>
            <w:vAlign w:val="bottom"/>
            <w:tcBorders>
              <w:top w:val="single" w:sz="8" w:color="CCEEFF"/>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Commitments to NagraStar</w:t>
            </w:r>
          </w:p>
        </w:tc>
        <w:tc>
          <w:tcPr>
            <w:tcW w:w="260" w:type="dxa"/>
            <w:vAlign w:val="bottom"/>
            <w:tcBorders>
              <w:top w:val="single" w:sz="8" w:color="auto"/>
              <w:bottom w:val="single" w:sz="8" w:color="auto"/>
            </w:tcBorders>
            <w:shd w:val="clear" w:color="auto" w:fill="CCEEFF"/>
          </w:tcPr>
          <w:p>
            <w:pPr>
              <w:jc w:val="right"/>
              <w:ind w:right="102"/>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1,798</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22"/>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1,727</w:t>
            </w:r>
          </w:p>
        </w:tc>
        <w:tc>
          <w:tcPr>
            <w:tcW w:w="27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DISH NETWORK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ind w:left="700" w:hanging="650"/>
        <w:spacing w:after="0"/>
        <w:tabs>
          <w:tab w:leader="none" w:pos="7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22222"/>
        </w:rPr>
        <w:t>Transaction Support Agreement</w:t>
      </w:r>
    </w:p>
    <w:p>
      <w:pPr>
        <w:spacing w:after="0" w:line="196"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222222"/>
        </w:rPr>
        <w:t>On September 30, 2024, we and our parent, EchoStar, entered into a binding transaction support agreement (the “Transaction Support Agreement”) with certain eligible holders of the aggregate principal amount outstanding of our 0% Convertible Notes due 2025 (the “DISH Network 2025 Notes”) and 3 3/8% Convertible Notes due 2026 (the “DISH Network 2026 Notes” and, together with the DISH Network 2025 Notes, the “Existing DISH Convertible Notes”), collectively representing over 90% of the aggregate principal amount outstanding of the Existing DISH Convertible Notes as of October 10, 2024, such eligible holders, (the “Consenting Creditors” and, together with us and our subsidiaries party to the Transaction Support Agreement , the “TSA Parties”). Pursuant to the Transaction Support Agreement, we and our parent, EchoStar, agreed to conduct exchange offers to all holders of Existing DISH Convertible Notes (the “EchoStar Exchange Offers”), and the Consenting Creditors have agreed to tender their Existing DISH Convertible Notes in the EchoStar Exchange Offers, detailed below.</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22222"/>
        </w:rPr>
        <w:t>EchoStar Exchange Offers</w:t>
      </w:r>
    </w:p>
    <w:p>
      <w:pPr>
        <w:spacing w:after="0" w:line="19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 xml:space="preserve">On October 10, 2024, we and our parent, EchoStar, </w:t>
      </w:r>
      <w:r>
        <w:rPr>
          <w:rFonts w:ascii="Arial" w:cs="Arial" w:eastAsia="Arial" w:hAnsi="Arial"/>
          <w:sz w:val="18"/>
          <w:szCs w:val="18"/>
          <w:color w:val="222222"/>
        </w:rPr>
        <w:t>commenced the EchoStar Exchange Offers to exchange the</w:t>
      </w:r>
      <w:r>
        <w:rPr>
          <w:rFonts w:ascii="Arial" w:cs="Arial" w:eastAsia="Arial" w:hAnsi="Arial"/>
          <w:sz w:val="18"/>
          <w:szCs w:val="18"/>
          <w:color w:val="auto"/>
        </w:rPr>
        <w:t xml:space="preserve"> </w:t>
      </w:r>
      <w:r>
        <w:rPr>
          <w:rFonts w:ascii="Arial" w:cs="Arial" w:eastAsia="Arial" w:hAnsi="Arial"/>
          <w:sz w:val="18"/>
          <w:szCs w:val="18"/>
          <w:color w:val="222222"/>
        </w:rPr>
        <w:t xml:space="preserve">Existing DISH Convertible Notes with an aggregate principal amount of $4.866 billion for up to $2.381 billion aggregate principal amount of 6 3/4% Senior Secured Notes due 2030 (the "EchoStar Exchange Notes") and up to $1.950 billion aggregate principal amount of 3 7/8% Convertible Secured Notes due 2030 (the "EchoStar Convertible Notes" and together with the EchoStar Exchange Notes, the "EchoStar Notes") with an aggregate principal amount of $4.331 billion to be issued by </w:t>
      </w:r>
      <w:r>
        <w:rPr>
          <w:rFonts w:ascii="Arial" w:cs="Arial" w:eastAsia="Arial" w:hAnsi="Arial"/>
          <w:sz w:val="18"/>
          <w:szCs w:val="18"/>
          <w:color w:val="000000"/>
        </w:rPr>
        <w:t>our parent, EchoStar,</w:t>
      </w:r>
      <w:r>
        <w:rPr>
          <w:rFonts w:ascii="Arial" w:cs="Arial" w:eastAsia="Arial" w:hAnsi="Arial"/>
          <w:sz w:val="18"/>
          <w:szCs w:val="18"/>
          <w:color w:val="222222"/>
        </w:rPr>
        <w:t xml:space="preserve"> pursuant to the terms described in a prospectus and consent solicitation statement, dated </w:t>
      </w:r>
      <w:r>
        <w:rPr>
          <w:rFonts w:ascii="Arial" w:cs="Arial" w:eastAsia="Arial" w:hAnsi="Arial"/>
          <w:sz w:val="18"/>
          <w:szCs w:val="18"/>
          <w:color w:val="000000"/>
        </w:rPr>
        <w:t>October 10, 2024 as amended</w:t>
      </w:r>
      <w:r>
        <w:rPr>
          <w:rFonts w:ascii="Arial" w:cs="Arial" w:eastAsia="Arial" w:hAnsi="Arial"/>
          <w:sz w:val="18"/>
          <w:szCs w:val="18"/>
          <w:color w:val="222222"/>
        </w:rPr>
        <w:t xml:space="preserve"> (the "Exchange Offer Prospectus").</w:t>
      </w:r>
    </w:p>
    <w:p>
      <w:pPr>
        <w:spacing w:after="0" w:line="167"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222222"/>
        </w:rPr>
        <w:t>On November 8, 2024, upon the expiration of the EchoStar Exchange Offers, $ 1.819 billion aggregate principal amount, or approximately 92.9%, of the DISH Network 2025 Notes and $2.863 billion aggregate principal amount, or approximately 98.5%, of the DISH Network 2026 Notes, together $4.682 billion total aggregate principal amount of the Existing DISH Convertible Notes, had been validly tendered for exchange.</w:t>
      </w:r>
    </w:p>
    <w:p>
      <w:pPr>
        <w:spacing w:after="0" w:line="160" w:lineRule="exact"/>
        <w:rPr>
          <w:sz w:val="20"/>
          <w:szCs w:val="20"/>
          <w:color w:val="auto"/>
        </w:rPr>
      </w:pPr>
    </w:p>
    <w:p>
      <w:pPr>
        <w:ind w:left="60" w:right="599"/>
        <w:spacing w:after="0" w:line="247" w:lineRule="auto"/>
        <w:rPr>
          <w:sz w:val="20"/>
          <w:szCs w:val="20"/>
          <w:color w:val="auto"/>
        </w:rPr>
      </w:pPr>
      <w:r>
        <w:rPr>
          <w:rFonts w:ascii="Arial" w:cs="Arial" w:eastAsia="Arial" w:hAnsi="Arial"/>
          <w:sz w:val="18"/>
          <w:szCs w:val="18"/>
          <w:color w:val="222222"/>
        </w:rPr>
        <w:t>All of the Existing DISH Convertible Notes validly tendered were exchanged for $2.288 billion aggregate principal amount of EchoStar Exchange Notes and $1.876 billion aggregate principal amount of EchoStar Convertible Notes, together $4.164 billion total aggregate principal amount of the EchoStar Notes, and settlement occurred on November 12, 2024.</w:t>
      </w:r>
    </w:p>
    <w:p>
      <w:pPr>
        <w:spacing w:after="0" w:line="160"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222222"/>
        </w:rPr>
        <w:t>A total of $138 million aggregate principal amount of DISH Network 2025 Notes and $45 million aggregate principal amount of DISH Network 2026 Notes remain outstanding following the consummation of the EchoStar Exchange Offers.</w:t>
      </w:r>
    </w:p>
    <w:p>
      <w:pPr>
        <w:spacing w:after="0" w:line="155"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 xml:space="preserve">Upon the completion of the EchoStar Exchange Offers, our </w:t>
      </w:r>
      <w:r>
        <w:rPr>
          <w:rFonts w:ascii="Arial" w:cs="Arial" w:eastAsia="Arial" w:hAnsi="Arial"/>
          <w:sz w:val="18"/>
          <w:szCs w:val="18"/>
          <w:color w:val="222222"/>
        </w:rPr>
        <w:t>Existing DISH Convertible Notes with an aggregate</w:t>
      </w:r>
      <w:r>
        <w:rPr>
          <w:rFonts w:ascii="Arial" w:cs="Arial" w:eastAsia="Arial" w:hAnsi="Arial"/>
          <w:sz w:val="18"/>
          <w:szCs w:val="18"/>
          <w:color w:val="auto"/>
        </w:rPr>
        <w:t xml:space="preserve"> </w:t>
      </w:r>
      <w:r>
        <w:rPr>
          <w:rFonts w:ascii="Arial" w:cs="Arial" w:eastAsia="Arial" w:hAnsi="Arial"/>
          <w:sz w:val="18"/>
          <w:szCs w:val="18"/>
          <w:color w:val="222222"/>
        </w:rPr>
        <w:t>principal amount of $4.682 billion were cancelled and forgiven by our parent, EchoStar. As a result, we will recognize a gain on this exchange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w:t>
      </w:r>
    </w:p>
    <w:p>
      <w:pPr>
        <w:spacing w:after="0" w:line="200"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i w:val="1"/>
          <w:iCs w:val="1"/>
          <w:color w:val="auto"/>
        </w:rPr>
        <w:t>You should read the following management’s narrative analysis of our results of operations together with the condensed consolidated financial statements and notes to our financial statements included elsewhere in this Quarterly Report on Form 10-Q.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2023 and this Quarterly Report on Form 10-Q under the caption “Item 1A. Risk Factors.” Furthermore, such forward-looking statements speak only as of the date of this Quarterly Report on Form 10-Q, and we expressly disclaim any obligation to update any forward-looking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DIRECTV Transaction</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September 29, 2024, EchoStar and DIRECTV Holdings, LLC (“DTV”), entered into an Equity Purchase Agreement (the “Purchase Agreement”). Pursuant to the terms and subject to the conditions set forth in the Purchase Agreement, DTV agreed to acquire from us all of the issued and outstanding equity interests of DISH DBS Corporation (“DISH DBS”), which operates our Pay-TV business (the “Business” and such acquisition of the Business the “DIRECTV Transaction”). Prior to the closing of the DIRECTV Transaction (the “DIRECTV Closing”), we will complete the Pre-Closing Restructuring, as defined in the Purchase Agreement, and the Pre-Closing Reorganization, as defined in the Purchase Agreement, following which, among other things, DISH DBS will hold all of the properties, rights, assets and liabilities primarily related to the Business, except for certain excluded assets and excluded liabilities.</w:t>
      </w:r>
    </w:p>
    <w:p>
      <w:pPr>
        <w:spacing w:after="0" w:line="17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During the period between signing of the Purchase Agreement and the DIRECTV Closing, DISH DBS and its subsidiaries are not permitted to declare or pay dividends or otherwise cause or permit any leakage (which includes, among other things, cash payments and certain other value transfers by DISH DBS and its subsidiaries, on the one hand, to us or certain other related persons, on the other hand), other than (i) certain permitted cash transfers prior to September 30, 2025 in an aggregate amount not to exceed the permitted cash transfer cap set forth in the Purchase Agreement, and (ii) certain permitted tax sharing payments, in each case, on terms and conditions as set forth in the Purchase Agreement. The permitted cash transfer cap is initially equal to $ 1.52 billion, calculated in accordance with the Purchase Agreement, (“Permitted Transfer Cap”) and is subject to certain adjustments set forth in the Purchase Agreement, including transaction expenses and certain accrued interest adjustments and adjustments tied to certain key performance indicators.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set forth in the Reorganization Plan, immediately prior to the DIRECTV Closing, DISH DBS will distribute the DISH 2021 Intercompany Loan 2028 Tranche (see Note 8 in the Notes to our Condensed Consolidated Financial Statements) to our seller subsidiary. At the DIRECTV Closing, our seller subsidiary will sell and transfer to DTV all of the issued and outstanding equity interests of DISH DBS in exchange for a total cash purchase price of $1.00 plus the assumption of net debt of DISH DBS and its subsidiaries that is outstanding as of the DIRECTV Closing. Additionally, effective with the DIRECTV Closing, certain other intercompany amounts between DISH DBS and us (in addition to the DISH 2021 Intercompany Loan 2028 Tranche) will be subject to cancellation.</w:t>
      </w:r>
    </w:p>
    <w:p>
      <w:pPr>
        <w:spacing w:after="0" w:line="167"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As of September 30, 2024, the balance of the DISH DBS intercompany receivables for the DISH 2021 Intercompany Loan 2028 Tranche and other intercompany amounts totaled $4.606 billion, not including Permitted Transfer Cap receivables of up to $1.52 billion and certain other amounts of residual capital remaining based on performance. Upon the completion of the DIRECTV Transaction, DISH DBS will become a direct and wholly-owned subsidiary of DTV.</w:t>
      </w:r>
    </w:p>
    <w:p>
      <w:pPr>
        <w:spacing w:after="0" w:line="16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Completion of the DIRECTV Transaction is subject to satisfaction or waiver of closing conditions set forth in the Purchase Agreement, including, but not limited to, the receipt of governmental approvals and the success of the DISH DBS Exchange Offers, as detailed and defined in Note 8 in the Notes to our Condensed Consolidated Financial Statements. The DISH DBS Exchange Offers expired at 5:00 p.m., New York City time on November 12, 2024, and the DISH DBS Exchange Offers have been terminated due to the failure to satisfy the Minimum Series Exchange Condition and the Acquisition Consent Threshold Condition, each as defined in the Exchange Offering Memorandum. Pursuant to the terms of the Purchase Agreement, DIRECTV may terminate the Purchase Agreement by November 22, 2024 due to the failure to consummate the DISH DBS Exchange Offers by November 12, 2024 or the failure to satisfy the Acquisition Consent Threshold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and Transfer of Assets</w:t>
      </w:r>
    </w:p>
    <w:p>
      <w:pPr>
        <w:spacing w:after="0" w:line="196" w:lineRule="exact"/>
        <w:rPr>
          <w:sz w:val="20"/>
          <w:szCs w:val="20"/>
          <w:color w:val="auto"/>
        </w:rPr>
      </w:pPr>
    </w:p>
    <w:p>
      <w:pPr>
        <w:ind w:left="60" w:right="299"/>
        <w:spacing w:after="0" w:line="257" w:lineRule="auto"/>
        <w:rPr>
          <w:sz w:val="20"/>
          <w:szCs w:val="20"/>
          <w:color w:val="auto"/>
        </w:rPr>
      </w:pPr>
      <w:r>
        <w:rPr>
          <w:rFonts w:ascii="Arial" w:cs="Arial" w:eastAsia="Arial" w:hAnsi="Arial"/>
          <w:sz w:val="17"/>
          <w:szCs w:val="17"/>
          <w:i w:val="1"/>
          <w:iCs w:val="1"/>
          <w:color w:val="auto"/>
        </w:rPr>
        <w:t>Sale of Assets to EchoStar</w:t>
      </w:r>
      <w:r>
        <w:rPr>
          <w:rFonts w:ascii="Arial" w:cs="Arial" w:eastAsia="Arial" w:hAnsi="Arial"/>
          <w:sz w:val="17"/>
          <w:szCs w:val="17"/>
          <w:color w:val="auto"/>
        </w:rPr>
        <w:t>. On January 10, 2024, we sold certain assets and equity interests to EchoStar,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included the sale of a financial asset (the “Sale of Assets to EchoStar”), for fair value of approximately $246 million. The difference between our net carrying value of the assets sold to their fair value was $138 million, of which $6 million, net of deferred tax, was recorded in “Additional paid-in capital” on our Condensed Consolidated Balance Sheets as of September 30, 2024 and a $ 129 million gain related to the financial asset was recorded in “Other, net” within “Other Income (Expense)” on our Condensed Consolidated Statements of Operations and Comprehensive Income (Loss) for the nine months ended September 30, 2024.</w:t>
      </w:r>
    </w:p>
    <w:p>
      <w:pPr>
        <w:spacing w:after="0" w:line="15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i w:val="1"/>
          <w:iCs w:val="1"/>
          <w:color w:val="222222"/>
        </w:rPr>
        <w:t>Asset Transfer to EchoStar</w:t>
      </w:r>
      <w:r>
        <w:rPr>
          <w:rFonts w:ascii="Arial" w:cs="Arial" w:eastAsia="Arial" w:hAnsi="Arial"/>
          <w:sz w:val="18"/>
          <w:szCs w:val="18"/>
          <w:color w:val="222222"/>
        </w:rPr>
        <w:t>.</w:t>
      </w:r>
      <w:r>
        <w:rPr>
          <w:rFonts w:ascii="Arial" w:cs="Arial" w:eastAsia="Arial" w:hAnsi="Arial"/>
          <w:sz w:val="18"/>
          <w:szCs w:val="18"/>
          <w:i w:val="1"/>
          <w:iCs w:val="1"/>
          <w:color w:val="222222"/>
        </w:rPr>
        <w:t xml:space="preserve"> </w:t>
      </w:r>
      <w:r>
        <w:rPr>
          <w:rFonts w:ascii="Arial" w:cs="Arial" w:eastAsia="Arial" w:hAnsi="Arial"/>
          <w:sz w:val="18"/>
          <w:szCs w:val="18"/>
          <w:color w:val="000000"/>
        </w:rPr>
        <w:t>On January 10, 2024, we transferred our wholly-owned subsidiaries that hold</w:t>
      </w:r>
      <w:r>
        <w:rPr>
          <w:rFonts w:ascii="Arial" w:cs="Arial" w:eastAsia="Arial" w:hAnsi="Arial"/>
          <w:sz w:val="18"/>
          <w:szCs w:val="18"/>
          <w:i w:val="1"/>
          <w:iCs w:val="1"/>
          <w:color w:val="222222"/>
        </w:rPr>
        <w:t xml:space="preserve"> </w:t>
      </w:r>
      <w:r>
        <w:rPr>
          <w:rFonts w:ascii="Arial" w:cs="Arial" w:eastAsia="Arial" w:hAnsi="Arial"/>
          <w:sz w:val="18"/>
          <w:szCs w:val="18"/>
          <w:color w:val="000000"/>
        </w:rPr>
        <w:t>certain assets, including the EchoStar XXV satellite currently under construction, and our wireless spectrum licenses, including AWS-4, H-Block, CBRS (3550-3650 MHz), C-Band – Cheyenne (3.7-3.98 GHz), 12GHz (MVDDS), LMDS, 24 GHz, 28 GHz, 37GHz, 39GHz and 47GHz to EchoStar Wireless Holding L.L.C., a direct wholly-owned subsidiary of our parent, EchoStar (together with the “Intercompany Loan 2026 Tranche” defined below, the “Asset Transfer to EchoStar”). In addition, DISH DBS, in its capacity as “Lender” under the terms of the Loan and Security Agreement related to the Intercompany Loan between DISH Network and DISH DBS, has consummated the assignment pursuant to such terms, without any modification or amendment thereto, of its receivable in respect to the 2026 Tranche of $4.7 billion (the “Intercompany Loan 2026 Tranche”) to DBS Intercompany Receivable L.L.C. DBS Intercompany Receivable L.L.C. has subsequently assigned its rights as lender thereunder to EchoStar Intercompany Receivable Company L.L.C., our parent, EchoStar’s direct wholly-owned subsidiary, such that amounts owed in respect of the 2026 Tranche will now be paid by us to EchoStar Intercompany Receivable L.L.C.</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The transferred amount equals our historical net carrying value of these assets, which was $12.003 billion with the offset recorded as a dividend in “Accumulated earnings (deficit)” on our Condensed Consolidated Balance Sheets as of September 30, 2024.</w:t>
      </w:r>
    </w:p>
    <w:p>
      <w:pPr>
        <w:spacing w:after="0" w:line="155"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i w:val="1"/>
          <w:iCs w:val="1"/>
          <w:color w:val="auto"/>
        </w:rPr>
        <w:t xml:space="preserve">Tax Associated with the </w:t>
      </w:r>
      <w:r>
        <w:rPr>
          <w:rFonts w:ascii="Arial" w:cs="Arial" w:eastAsia="Arial" w:hAnsi="Arial"/>
          <w:sz w:val="18"/>
          <w:szCs w:val="18"/>
          <w:i w:val="1"/>
          <w:iCs w:val="1"/>
          <w:color w:val="222222"/>
        </w:rPr>
        <w:t>Asset Transfer to EchoStar</w:t>
      </w:r>
      <w:r>
        <w:rPr>
          <w:rFonts w:ascii="Arial" w:cs="Arial" w:eastAsia="Arial" w:hAnsi="Arial"/>
          <w:sz w:val="18"/>
          <w:szCs w:val="18"/>
          <w:color w:val="auto"/>
        </w:rPr>
        <w:t>. During the nine months ended September 30, 2024,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recorded $3.775 billion in “Deferred tax liabilities, net” on our Condensed Consolidated Balance Sheets resulting from the step up in basis due to the difference in the fair value compared to the book value of the </w:t>
      </w:r>
      <w:r>
        <w:rPr>
          <w:rFonts w:ascii="Arial" w:cs="Arial" w:eastAsia="Arial" w:hAnsi="Arial"/>
          <w:sz w:val="18"/>
          <w:szCs w:val="18"/>
          <w:color w:val="222222"/>
        </w:rPr>
        <w:t>Asset Transfer to EchoStar</w:t>
      </w:r>
      <w:r>
        <w:rPr>
          <w:rFonts w:ascii="Arial" w:cs="Arial" w:eastAsia="Arial" w:hAnsi="Arial"/>
          <w:sz w:val="18"/>
          <w:szCs w:val="18"/>
          <w:color w:val="000000"/>
        </w:rPr>
        <w:t>, with the offset recorded in “Additional paid-in capital” on our Condensed</w:t>
      </w:r>
      <w:r>
        <w:rPr>
          <w:rFonts w:ascii="Arial" w:cs="Arial" w:eastAsia="Arial" w:hAnsi="Arial"/>
          <w:sz w:val="18"/>
          <w:szCs w:val="18"/>
          <w:color w:val="222222"/>
        </w:rPr>
        <w:t xml:space="preserve"> </w:t>
      </w:r>
      <w:r>
        <w:rPr>
          <w:rFonts w:ascii="Arial" w:cs="Arial" w:eastAsia="Arial" w:hAnsi="Arial"/>
          <w:sz w:val="18"/>
          <w:szCs w:val="18"/>
          <w:color w:val="000000"/>
        </w:rPr>
        <w:t>Consolidated Balance Sheets.</w:t>
      </w:r>
    </w:p>
    <w:p>
      <w:pPr>
        <w:spacing w:after="0" w:line="16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700 MHz Spectrum Sale to EchoStar</w:t>
      </w:r>
      <w:r>
        <w:rPr>
          <w:rFonts w:ascii="Arial" w:cs="Arial" w:eastAsia="Arial" w:hAnsi="Arial"/>
          <w:sz w:val="18"/>
          <w:szCs w:val="18"/>
          <w:color w:val="auto"/>
        </w:rPr>
        <w:t>. On March 12, 2024, we sold our wholly-owned subsidiary which holds the</w:t>
      </w:r>
      <w:r>
        <w:rPr>
          <w:rFonts w:ascii="Arial" w:cs="Arial" w:eastAsia="Arial" w:hAnsi="Arial"/>
          <w:sz w:val="18"/>
          <w:szCs w:val="18"/>
          <w:i w:val="1"/>
          <w:iCs w:val="1"/>
          <w:color w:val="auto"/>
        </w:rPr>
        <w:t xml:space="preserve"> </w:t>
      </w:r>
      <w:r>
        <w:rPr>
          <w:rFonts w:ascii="Arial" w:cs="Arial" w:eastAsia="Arial" w:hAnsi="Arial"/>
          <w:sz w:val="18"/>
          <w:szCs w:val="18"/>
          <w:color w:val="auto"/>
        </w:rPr>
        <w:t>700 MHz spectrum to a wholly-owned subsidiary of our parent, EchoStar (the “700 MHz Spectrum Sale to EchoStar”), for fair value of approximately $1.037 billion. The difference between our net carrying value of the assets sold to their fair value of $115 million, net of deferred tax, was recorded in “Additional paid-in capital” on our Condensed Consolidated Balance Sheets as of September 30, 2024. The proceeds were used to pay the remaining balance of $951 million on our 2 3/8% Convertible Note which matured on March 15, 2024.</w:t>
      </w:r>
    </w:p>
    <w:p>
      <w:pPr>
        <w:spacing w:after="0" w:line="16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 xml:space="preserve">The Sale of Assets to EchoStar, </w:t>
      </w:r>
      <w:r>
        <w:rPr>
          <w:rFonts w:ascii="Arial" w:cs="Arial" w:eastAsia="Arial" w:hAnsi="Arial"/>
          <w:sz w:val="18"/>
          <w:szCs w:val="18"/>
          <w:color w:val="222222"/>
        </w:rPr>
        <w:t>Asset Transfer to EchoStar and</w:t>
      </w:r>
      <w:r>
        <w:rPr>
          <w:rFonts w:ascii="Arial" w:cs="Arial" w:eastAsia="Arial" w:hAnsi="Arial"/>
          <w:sz w:val="18"/>
          <w:szCs w:val="18"/>
          <w:color w:val="auto"/>
        </w:rPr>
        <w:t xml:space="preserve"> 700 MHz Spectrum Sale to EchoStar together are referred to as (the “Sale and Transfer of Assets to EchoStar”).</w:t>
      </w:r>
    </w:p>
    <w:p>
      <w:pPr>
        <w:spacing w:after="0" w:line="14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i w:val="1"/>
          <w:iCs w:val="1"/>
          <w:color w:val="auto"/>
        </w:rPr>
        <w:t>Orbital II Transfer from EchoStar</w:t>
      </w:r>
      <w:r>
        <w:rPr>
          <w:rFonts w:ascii="Arial" w:cs="Arial" w:eastAsia="Arial" w:hAnsi="Arial"/>
          <w:sz w:val="18"/>
          <w:szCs w:val="18"/>
          <w:color w:val="auto"/>
        </w:rPr>
        <w:t>. On May 2, 2024, EchoStar transferred certain assets to us,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satellite currently under construction. The transferred amount equals our historical net carrying value of these assets, which was $141 million with the offset recorded as a capital contribution in “Additional paid-in capital” on our Condensed Consolidated Balance Sheets as of September 30, 2024.</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EchoStar</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EchoStar’s wholly owned subsidiary. For further information, refer to the Consolidated Financial Statements and notes thereto included in our Annual Report on Form 10-K for the year ended December 31, 2023.</w:t>
      </w:r>
    </w:p>
    <w:p>
      <w:pPr>
        <w:spacing w:after="0" w:line="17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With the Merger complete, we are currently focused on the process of integrating our and EchoStar’s business in a manner that facilitates synergies, cost savings, growth opportunities and achieves other anticipated benefits (the “Integration”).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We currently operate three primary business segments: (1) Pay-TV; (2) Retail Wireless; and (3) 5G Network Deployment.</w:t>
      </w:r>
    </w:p>
    <w:p>
      <w:pPr>
        <w:spacing w:after="0" w:line="140" w:lineRule="exact"/>
        <w:rPr>
          <w:sz w:val="20"/>
          <w:szCs w:val="20"/>
          <w:color w:val="auto"/>
        </w:rPr>
      </w:pPr>
    </w:p>
    <w:p>
      <w:pPr>
        <w:ind w:left="60" w:right="199"/>
        <w:spacing w:after="0" w:line="229" w:lineRule="auto"/>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offer pay-TV services under the DISH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and the SLING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(collectively “Pay-TV” services). We promote our Pay-TV services by providing our subscribers with a better “price-to-value” relationship and experience than those available from other subscription television service providers.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w:t>
      </w:r>
    </w:p>
    <w:p>
      <w:pPr>
        <w:spacing w:after="0" w:line="17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spacing w:after="0" w:line="163"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(“Retail Wireless” services), as well as a competitive portfolio of wireless devices. We offer customers value by providing choice and flexibility in our Retail Wireless services. We offer competitive consumer plans with no annual service contracts. Our Retail Wireless business strategy is to expand our current target segments and profitably grow our subscriber base by acquiring and retaining high quality subscribers while we continue our 5G Network Deployment. We intend to acquire high quality subscribers by providing competitive offers, choice and outstanding customer service that better meet those subscribers’ needs and budget.</w:t>
      </w:r>
    </w:p>
    <w:p>
      <w:pPr>
        <w:spacing w:after="0" w:line="167"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 xml:space="preserve">We are currently operating our Retail Wireless segment primarily as a mobile virtual network operator (“MVNO”) as we continue our 5G Network Deployment and commercialize and grow customer traffic on our 5G Network, as defined below. We are transitioning our Retail Wireless segment to a mobile network operator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voice over new radio (“VoNR”)</w:t>
      </w:r>
      <w:r>
        <w:rPr>
          <w:rFonts w:ascii="Arial" w:cs="Arial" w:eastAsia="Arial" w:hAnsi="Arial"/>
          <w:sz w:val="18"/>
          <w:szCs w:val="18"/>
          <w:color w:val="auto"/>
        </w:rPr>
        <w:t xml:space="preserve">. We have deployed </w:t>
      </w:r>
      <w:r>
        <w:rPr>
          <w:rFonts w:ascii="Arial" w:cs="Arial" w:eastAsia="Arial" w:hAnsi="Arial"/>
          <w:sz w:val="18"/>
          <w:szCs w:val="18"/>
          <w:color w:val="0A0A0A"/>
        </w:rPr>
        <w:t>5G VoNR covering over 200 million</w:t>
      </w:r>
      <w:r>
        <w:rPr>
          <w:rFonts w:ascii="Arial" w:cs="Arial" w:eastAsia="Arial" w:hAnsi="Arial"/>
          <w:sz w:val="18"/>
          <w:szCs w:val="18"/>
          <w:color w:val="auto"/>
        </w:rPr>
        <w:t xml:space="preserve"> </w:t>
      </w:r>
      <w:r>
        <w:rPr>
          <w:rFonts w:ascii="Arial" w:cs="Arial" w:eastAsia="Arial" w:hAnsi="Arial"/>
          <w:sz w:val="18"/>
          <w:szCs w:val="18"/>
          <w:color w:val="0A0A0A"/>
        </w:rPr>
        <w:t xml:space="preserve">Americans. </w:t>
      </w:r>
      <w:r>
        <w:rPr>
          <w:rFonts w:ascii="Arial" w:cs="Arial" w:eastAsia="Arial" w:hAnsi="Arial"/>
          <w:sz w:val="18"/>
          <w:szCs w:val="18"/>
          <w:color w:val="000000"/>
        </w:rPr>
        <w:t>Within our MVNO operations, today we depend on T-Mobile and AT&amp;T to provide us with network</w:t>
      </w:r>
      <w:r>
        <w:rPr>
          <w:rFonts w:ascii="Arial" w:cs="Arial" w:eastAsia="Arial" w:hAnsi="Arial"/>
          <w:sz w:val="18"/>
          <w:szCs w:val="18"/>
          <w:color w:val="0A0A0A"/>
        </w:rPr>
        <w:t xml:space="preserve"> </w:t>
      </w:r>
      <w:r>
        <w:rPr>
          <w:rFonts w:ascii="Arial" w:cs="Arial" w:eastAsia="Arial" w:hAnsi="Arial"/>
          <w:sz w:val="18"/>
          <w:szCs w:val="18"/>
          <w:color w:val="000000"/>
        </w:rPr>
        <w:t>services under the amended Master Network Services Agreement (“MNSA”) and Network Services Agreement (the “NSA”), respectively.</w:t>
      </w:r>
    </w:p>
    <w:p>
      <w:pPr>
        <w:spacing w:after="0" w:line="17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Our 5G Network Deployment segment strategy is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 xml:space="preserve">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currently have the largest commercial deployment of 5G</w:t>
      </w:r>
      <w:r>
        <w:rPr>
          <w:rFonts w:ascii="Arial" w:cs="Arial" w:eastAsia="Arial" w:hAnsi="Arial"/>
          <w:sz w:val="18"/>
          <w:szCs w:val="18"/>
          <w:color w:val="auto"/>
        </w:rPr>
        <w:t xml:space="preserve"> </w:t>
      </w:r>
      <w:r>
        <w:rPr>
          <w:rFonts w:ascii="Arial" w:cs="Arial" w:eastAsia="Arial" w:hAnsi="Arial"/>
          <w:sz w:val="18"/>
          <w:szCs w:val="18"/>
          <w:color w:val="0A0A0A"/>
        </w:rPr>
        <w:t xml:space="preserve">VoNR in the world covering over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covering over 250 million Americans.</w:t>
      </w:r>
    </w:p>
    <w:p>
      <w:pPr>
        <w:spacing w:after="0" w:line="171" w:lineRule="exact"/>
        <w:rPr>
          <w:sz w:val="20"/>
          <w:szCs w:val="20"/>
          <w:color w:val="auto"/>
        </w:rPr>
      </w:pPr>
    </w:p>
    <w:p>
      <w:pPr>
        <w:jc w:val="both"/>
        <w:ind w:left="60" w:right="439"/>
        <w:spacing w:after="0" w:line="253" w:lineRule="auto"/>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licenses based on several commitments, as detailed in Note </w:t>
      </w:r>
      <w:r>
        <w:rPr>
          <w:rFonts w:ascii="Arial" w:cs="Arial" w:eastAsia="Arial" w:hAnsi="Arial"/>
          <w:sz w:val="18"/>
          <w:szCs w:val="18"/>
          <w:color w:val="000000"/>
        </w:rPr>
        <w:t>9 in the Notes to our Condensed</w:t>
      </w:r>
      <w:r>
        <w:rPr>
          <w:rFonts w:ascii="Arial" w:cs="Arial" w:eastAsia="Arial" w:hAnsi="Arial"/>
          <w:sz w:val="18"/>
          <w:szCs w:val="18"/>
          <w:color w:val="0A0A0A"/>
        </w:rPr>
        <w:t xml:space="preserve"> </w:t>
      </w:r>
      <w:r>
        <w:rPr>
          <w:rFonts w:ascii="Arial" w:cs="Arial" w:eastAsia="Arial" w:hAnsi="Arial"/>
          <w:sz w:val="18"/>
          <w:szCs w:val="18"/>
          <w:color w:val="000000"/>
        </w:rPr>
        <w:t>Consolidated Financial Statements.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expect to fund our future working capital, capital expenditures, other investments, and debt service requirements from cash generated from operations, existing cash, restricted cash, cash equivalents and marketable investment securities balances, and cash generated through raising additional capital. We may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depending on, among other things, the rate at which we complete our 5G Network Deployment, the potential purchase of additional wireless spectrum licenses and the rate at which we acquire new subscribers, and the cost of subscriber acquisition and retention. Certain of our capital expenditures for 2024 are expected to be driven by the rate of our 5G Network Deployment as well as costs associated with subscriber premises equipment. These expenditures are necessary for our 5G Network Deployment as well as to operate and maintain our DISH TV services. Consequently, we consider them to be non-discretionary.</w:t>
      </w:r>
    </w:p>
    <w:p>
      <w:pPr>
        <w:spacing w:after="0" w:line="169"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w:t>
      </w:r>
    </w:p>
    <w:p>
      <w:pPr>
        <w:spacing w:after="0" w:line="16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have and expect to continue to incur expenditures in 2024 related to our 5G Network Deployment, including, but not limited to, capital expenditures associated with our 5G Network Deployment and the potential purchase of additional wireless spectrum licenses. The amount of capital required will also depend on, among other things, our available liquidity, the growth of our Retail Wireless segment and the levels of investment necessary to support potential strategic initiatives that may arise from time to time. These factors, including, but not limited to, a reduction in our available future cash flows as a result of our 5G Network Deployment, may require us to raise additional capital in the future, which may not be available on favorable terms.</w:t>
      </w:r>
    </w:p>
    <w:p>
      <w:pPr>
        <w:spacing w:after="0" w:line="171"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These developments may have a significant effect on our cost of financing and our liquidity position.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96"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During 2023 and the first nine months of 2024, we experienced inflationary pressures in our commodity and labor costs resulting from the macroeconomic environment in the United States, which has significantly impacted our overall operating results.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Operational Liquidity</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make general investments in property such as, among others, satellites, wireless devices, set-top boxes, information technology and facilities that support our Pay-TV and Retail Wireless segments. 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7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Retail Wireless service margins are impacted by, among other things, our MNSA agreement with T-Mobile and our NSA agreement with AT&amp;T and the speed with which we are able to migrate Wireless subscribers onto our 5G Network.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16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Finally, our future cash flow is impacted by, among other things, the rate at which we complete our 5G Network Deployment, incur litigation expense, and any cash flow from financing activities. We anticipate operating expenditures for our 5G Network Deployment to increase for the remainder of 2024 as we continue to, among other things, deploy cell sites and communication towers to continue to commercialize our 5G Network. We expect our capital expenditures to remain consistent in the near term. However, as we prepare for our next build-out requirement deadlines, we expect our capital expenditures to increase as we approach these deadlines. As a result, our historical cash flow is not necessarily indicative of our future cash flows. As of September 30, 2024, as a result of, among other things, capital expenditures for our 5G Network Deployment, we experienced negative cash flow. We expect that this trend will continue in 2024 and in future periods. In addition, declines in our Pay-TV and Wireless subscriber base and any decrease in subscriber-related margins negatively impact our cash flow, and there can be no assurance that our subscriber declines will not continue.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Maturity</w:t>
      </w:r>
    </w:p>
    <w:p>
      <w:pPr>
        <w:spacing w:after="0" w:line="196"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spacing w:after="0" w:line="140"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Our 5 7/8% Senior Notes due 2024 with remaining balance of approximately $1.983 billion mature on November 15, 2024. We expect to fund this obligation from our current restricted cash and cash equivalents balances on hand.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 and Restrictions Related to our Long-Term Debt</w:t>
      </w:r>
    </w:p>
    <w:p>
      <w:pPr>
        <w:spacing w:after="0" w:line="19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subject to the covenants and restrictions set forth in the indentures related to our long-term debt. In particular, 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w:t>
      </w:r>
    </w:p>
    <w:p>
      <w:pPr>
        <w:spacing w:after="0" w:line="170" w:lineRule="exact"/>
        <w:rPr>
          <w:sz w:val="20"/>
          <w:szCs w:val="20"/>
          <w:color w:val="auto"/>
        </w:rPr>
      </w:pPr>
    </w:p>
    <w:p>
      <w:pPr>
        <w:jc w:val="both"/>
        <w:ind w:left="60" w:right="479"/>
        <w:spacing w:after="0" w:line="253" w:lineRule="auto"/>
        <w:rPr>
          <w:sz w:val="20"/>
          <w:szCs w:val="20"/>
          <w:color w:val="auto"/>
        </w:rPr>
      </w:pPr>
      <w:r>
        <w:rPr>
          <w:rFonts w:ascii="Arial" w:cs="Arial" w:eastAsia="Arial" w:hAnsi="Arial"/>
          <w:sz w:val="18"/>
          <w:szCs w:val="18"/>
          <w:color w:val="auto"/>
        </w:rPr>
        <w:t>As of the date of filing of this Quarterly Report on Form 10-Q, we and DISH DBS were in compliance with the covenants and restrictions related to our respective long-term debt recorded on our Condensed Consolidated Balance Sheets as of September 30, 2024.</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in the Notes to our Condensed Consolidated Financial Statements for further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98"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revenue” consists principally of Pay-TV and Wireless subscriber revenue. Certain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amounts included in “Service revenue” are not recurring on a monthly basis.</w:t>
      </w:r>
    </w:p>
    <w:p>
      <w:pPr>
        <w:spacing w:after="0" w:line="140" w:lineRule="exact"/>
        <w:rPr>
          <w:sz w:val="20"/>
          <w:szCs w:val="20"/>
          <w:color w:val="auto"/>
        </w:rPr>
      </w:pPr>
    </w:p>
    <w:p>
      <w:pPr>
        <w:ind w:left="60" w:right="199"/>
        <w:spacing w:after="0" w:line="301" w:lineRule="auto"/>
        <w:rPr>
          <w:sz w:val="20"/>
          <w:szCs w:val="20"/>
          <w:color w:val="auto"/>
        </w:rPr>
      </w:pPr>
      <w:r>
        <w:rPr>
          <w:rFonts w:ascii="Arial" w:cs="Arial" w:eastAsia="Arial" w:hAnsi="Arial"/>
          <w:sz w:val="17"/>
          <w:szCs w:val="17"/>
          <w:b w:val="1"/>
          <w:bCs w:val="1"/>
          <w:i w:val="1"/>
          <w:iCs w:val="1"/>
          <w:color w:val="auto"/>
        </w:rPr>
        <w:t>Equipment sales and other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and other revenue” principally includes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devices, the non-subsidized sales of Pay-TV equipment and the licensing of certain intellectual property.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segment and costs of Wireless services (including costs incurred under the MNSA and NSA). Beginning on January 1, 2024, as we have commenced utilizing our 5G Network for commercial traffic, cost of Wireless services includes certain direct costs related to our 5G Network Deployment, including lease expense on communication towers, transport, cloud services and other costs.</w:t>
      </w:r>
    </w:p>
    <w:p>
      <w:pPr>
        <w:spacing w:after="0" w:line="163" w:lineRule="exact"/>
        <w:rPr>
          <w:sz w:val="20"/>
          <w:szCs w:val="20"/>
          <w:color w:val="auto"/>
        </w:rPr>
      </w:pPr>
    </w:p>
    <w:p>
      <w:pPr>
        <w:ind w:left="60" w:right="159"/>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and other related items,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Condensed Consolidated Statements of Operations and Comprehensive Income (Loss).</w:t>
      </w:r>
    </w:p>
    <w:p>
      <w:pPr>
        <w:spacing w:after="0" w:line="171"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65"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b w:val="1"/>
          <w:bCs w:val="1"/>
          <w:i w:val="1"/>
          <w:iCs w:val="1"/>
          <w:color w:val="auto"/>
        </w:rPr>
        <w:t>Impairment of long-lived assets and goodwill</w:t>
      </w:r>
      <w:r>
        <w:rPr>
          <w:rFonts w:ascii="Arial" w:cs="Arial" w:eastAsia="Arial" w:hAnsi="Arial"/>
          <w:sz w:val="18"/>
          <w:szCs w:val="18"/>
          <w:color w:val="auto"/>
        </w:rPr>
        <w:t>. “Impairment of long-lived assets and goodwill”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losses related to our property and equipment, regulatory authorizations, goodwill and other intangible assets.</w:t>
      </w:r>
    </w:p>
    <w:p>
      <w:pPr>
        <w:spacing w:after="0" w:line="15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6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foreign currency transaction gains and losses, and equity in earnings and losses of our affiliates.</w:t>
      </w:r>
    </w:p>
    <w:p>
      <w:pPr>
        <w:spacing w:after="0" w:line="163" w:lineRule="exact"/>
        <w:rPr>
          <w:sz w:val="20"/>
          <w:szCs w:val="20"/>
          <w:color w:val="auto"/>
        </w:rPr>
      </w:pPr>
    </w:p>
    <w:p>
      <w:pPr>
        <w:ind w:left="60" w:right="79"/>
        <w:spacing w:after="0" w:line="266" w:lineRule="auto"/>
        <w:rPr>
          <w:sz w:val="20"/>
          <w:szCs w:val="20"/>
          <w:color w:val="auto"/>
        </w:rPr>
      </w:pPr>
      <w:r>
        <w:rPr>
          <w:rFonts w:ascii="Arial" w:cs="Arial" w:eastAsia="Arial" w:hAnsi="Arial"/>
          <w:sz w:val="17"/>
          <w:szCs w:val="17"/>
          <w:b w:val="1"/>
          <w:bCs w:val="1"/>
          <w:i w:val="1"/>
          <w:iCs w:val="1"/>
          <w:color w:val="auto"/>
        </w:rPr>
        <w:t xml:space="preserve">Earnings before interest, taxes, depreciation and amortization (“EBITDA”). </w:t>
      </w:r>
      <w:r>
        <w:rPr>
          <w:rFonts w:ascii="Arial" w:cs="Arial" w:eastAsia="Arial" w:hAnsi="Arial"/>
          <w:sz w:val="17"/>
          <w:szCs w:val="17"/>
          <w:color w:val="auto"/>
        </w:rPr>
        <w:t>EBITDA is defined as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(loss) attributable to DISH Network” plus “Interest expense, net of amounts capitalized” and net of “Interest income,” “Income tax (provision) benefit, net” and “Depreciation and amortization.” This “non-GAAP measure” is reconciled to “Net income (loss) attributable to DISH Network” in our discussion of “Results of Operations” below.</w:t>
      </w:r>
    </w:p>
    <w:p>
      <w:pPr>
        <w:spacing w:after="0" w:line="14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plus “Depreciation and amortization.” This “non-GAAP measure” is reconciled to “Operating income (loss)” in our discussion of “Results of Operations” below.</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 xml:space="preserve">DISH TV subscribers. </w:t>
      </w:r>
      <w:r>
        <w:rPr>
          <w:rFonts w:ascii="Arial" w:cs="Arial" w:eastAsia="Arial" w:hAnsi="Arial"/>
          <w:sz w:val="18"/>
          <w:szCs w:val="18"/>
          <w:color w:val="auto"/>
        </w:rPr>
        <w:t>We include customers obtained through direct sales, independent third-party retailers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63" w:lineRule="exact"/>
        <w:rPr>
          <w:sz w:val="20"/>
          <w:szCs w:val="20"/>
          <w:color w:val="auto"/>
        </w:rPr>
      </w:pPr>
    </w:p>
    <w:p>
      <w:pPr>
        <w:ind w:left="60" w:right="259" w:hanging="12"/>
        <w:spacing w:after="0" w:line="244" w:lineRule="auto"/>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in our SLING TV subscriber count. SLING TV subscriber additions are recorded net of disconnects. SLING TV customers receiving SLING TV Freestream service, or service for no charge, under certain new subscriber promotions, are excluded from our SLING TV subscriber count. For customers who subscribe to multiple SLING TV packages, each customer is only counted as one SLING TV subscriber.</w:t>
      </w:r>
    </w:p>
    <w:p>
      <w:pPr>
        <w:spacing w:after="0" w:line="163"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5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17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7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jc w:val="both"/>
        <w:ind w:left="60" w:right="259" w:hanging="12"/>
        <w:spacing w:after="0" w:line="244"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include prepaid and postpaid customers obtained through direct sales,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retailers 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spacing w:after="0" w:line="165" w:lineRule="exact"/>
        <w:rPr>
          <w:sz w:val="20"/>
          <w:szCs w:val="20"/>
          <w:color w:val="auto"/>
        </w:rPr>
      </w:pPr>
    </w:p>
    <w:p>
      <w:pPr>
        <w:ind w:left="60" w:right="139" w:hanging="12"/>
        <w:spacing w:after="0" w:line="254" w:lineRule="auto"/>
        <w:rPr>
          <w:sz w:val="20"/>
          <w:szCs w:val="20"/>
          <w:color w:val="auto"/>
        </w:rPr>
      </w:pPr>
      <w:r>
        <w:rPr>
          <w:rFonts w:ascii="Arial" w:cs="Arial" w:eastAsia="Arial" w:hAnsi="Arial"/>
          <w:sz w:val="17"/>
          <w:szCs w:val="17"/>
          <w:b w:val="1"/>
          <w:bCs w:val="1"/>
          <w:i w:val="1"/>
          <w:iCs w:val="1"/>
          <w:color w:val="auto"/>
        </w:rPr>
        <w:t xml:space="preserve">Government subsidized wireless subscribers and other wireless subscribers (“Government subsidized subscribers”). </w:t>
      </w:r>
      <w:r>
        <w:rPr>
          <w:rFonts w:ascii="Arial" w:cs="Arial" w:eastAsia="Arial" w:hAnsi="Arial"/>
          <w:sz w:val="17"/>
          <w:szCs w:val="17"/>
          <w:color w:val="auto"/>
        </w:rPr>
        <w:t>Our Government subsidized subscribers have different subscriber economics than our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in government subsidized programs, including the ACP program and Lifeline program, defined below, and other subscribers acquired under the Gen Mobile brand. The Affordable Connectivity Program (“ACP”) is a federal program offering broadband services and devices discounts to help low-income individuals that meet certain eligibility criteria. The ACP program funding concluded on June 1, 2024. The Lifeline Program is a federal program offering broadband services discounts to help low-income individuals that meet certain eligibility criteria. Certain states also offer a separate Lifeline program.</w:t>
      </w:r>
    </w:p>
    <w:p>
      <w:pPr>
        <w:spacing w:after="0" w:line="157" w:lineRule="exact"/>
        <w:rPr>
          <w:sz w:val="20"/>
          <w:szCs w:val="20"/>
          <w:color w:val="auto"/>
        </w:rPr>
      </w:pPr>
    </w:p>
    <w:p>
      <w:pPr>
        <w:ind w:left="60" w:right="59"/>
        <w:spacing w:after="0"/>
        <w:rPr>
          <w:sz w:val="20"/>
          <w:szCs w:val="20"/>
          <w:color w:val="auto"/>
        </w:rPr>
      </w:pPr>
      <w:r>
        <w:rPr>
          <w:rFonts w:ascii="Arial" w:cs="Arial" w:eastAsia="Arial" w:hAnsi="Arial"/>
          <w:sz w:val="18"/>
          <w:szCs w:val="18"/>
          <w:b w:val="1"/>
          <w:bCs w:val="1"/>
          <w:i w:val="1"/>
          <w:iCs w:val="1"/>
          <w:color w:val="auto"/>
        </w:rPr>
        <w:t xml:space="preserve">Wireless average monthly revenue per subscriber (“Wireless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average monthly revenue per Wireless subscriber, or Wireless ARPU, by dividing average monthly Retail Wireless segment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spacing w:after="0" w:line="167" w:lineRule="exact"/>
        <w:rPr>
          <w:sz w:val="20"/>
          <w:szCs w:val="20"/>
          <w:color w:val="auto"/>
        </w:rPr>
      </w:pPr>
    </w:p>
    <w:p>
      <w:pPr>
        <w:ind w:left="60" w:right="59" w:hanging="12"/>
        <w:spacing w:after="0" w:line="239" w:lineRule="auto"/>
        <w:rPr>
          <w:sz w:val="20"/>
          <w:szCs w:val="20"/>
          <w:color w:val="auto"/>
        </w:rPr>
      </w:pPr>
      <w:r>
        <w:rPr>
          <w:rFonts w:ascii="Arial" w:cs="Arial" w:eastAsia="Arial" w:hAnsi="Arial"/>
          <w:sz w:val="18"/>
          <w:szCs w:val="18"/>
          <w:b w:val="1"/>
          <w:bCs w:val="1"/>
          <w:i w:val="1"/>
          <w:iCs w:val="1"/>
          <w:color w:val="auto"/>
        </w:rPr>
        <w:t xml:space="preserve">Wireless average monthly subscriber churn rate (“Wireless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We currently operate three primary business segments: (1) Pay-TV; (2) Retail Wireless; and (3) 5G Network Deployment. Revenue and operating income (loss) by segment are shown in the table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2024 Compared to the Three Months Ended September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440" w:type="dxa"/>
            <w:vAlign w:val="bottom"/>
            <w:gridSpan w:val="4"/>
          </w:tcPr>
          <w:p>
            <w:pPr>
              <w:ind w:left="640"/>
              <w:spacing w:after="0"/>
              <w:rPr>
                <w:sz w:val="20"/>
                <w:szCs w:val="20"/>
                <w:color w:val="auto"/>
              </w:rPr>
            </w:pPr>
            <w:r>
              <w:rPr>
                <w:rFonts w:ascii="Arial" w:cs="Arial" w:eastAsia="Arial" w:hAnsi="Arial"/>
                <w:sz w:val="16"/>
                <w:szCs w:val="16"/>
                <w:b w:val="1"/>
                <w:bCs w:val="1"/>
                <w:color w:val="auto"/>
              </w:rPr>
              <w:t>Variance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Amount</w:t>
            </w:r>
          </w:p>
        </w:tc>
        <w:tc>
          <w:tcPr>
            <w:tcW w:w="7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9"/>
              </w:rPr>
              <w:t>(In thousands)</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2,618,031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2,807,101</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(189,070)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6"/>
                <w:szCs w:val="16"/>
                <w:color w:val="auto"/>
              </w:rPr>
              <w:t>Retail Wireless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895,949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890,980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4,969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(41,496)</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(23,481)</w:t>
            </w:r>
          </w:p>
        </w:tc>
        <w:tc>
          <w:tcPr>
            <w:tcW w:w="24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(18,015)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3,515,317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3,704,516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(189,199)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6"/>
                <w:szCs w:val="16"/>
                <w:color w:val="auto"/>
              </w:rPr>
              <w:t>Pay-TV</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588,501</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589,465</w:t>
            </w:r>
          </w:p>
        </w:tc>
        <w:tc>
          <w:tcPr>
            <w:tcW w:w="1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Wireless</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(113,792)</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(168,166)</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54,374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6"/>
                <w:szCs w:val="16"/>
                <w:color w:val="auto"/>
              </w:rPr>
              <w:t>5G Network Deployment</w:t>
            </w:r>
          </w:p>
        </w:tc>
        <w:tc>
          <w:tcPr>
            <w:tcW w:w="18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(599,022)</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(463,105)</w:t>
            </w:r>
          </w:p>
        </w:tc>
        <w:tc>
          <w:tcPr>
            <w:tcW w:w="24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(135,917)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(124,500)</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(41,806)</w:t>
            </w:r>
          </w:p>
        </w:tc>
        <w:tc>
          <w:tcPr>
            <w:tcW w:w="1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(82,694)</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$3.515 billion for the three months ended September 30,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$189 million or 5.1% compared to the same period in 2023. The net decrease primarily resulted from the decrease in revenue from our Pay-TV segment.</w:t>
      </w:r>
    </w:p>
    <w:p>
      <w:pPr>
        <w:spacing w:after="0" w:line="155" w:lineRule="exact"/>
        <w:rPr>
          <w:sz w:val="20"/>
          <w:szCs w:val="20"/>
          <w:color w:val="auto"/>
        </w:rPr>
      </w:pPr>
    </w:p>
    <w:p>
      <w:pPr>
        <w:ind w:left="60" w:right="179" w:hanging="12"/>
        <w:spacing w:after="0" w:line="247"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loss totaled $125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an increase in operating loss of $83 million compared to the same period in 2023. This change primarily resulted from an increase in operating loss from our 5G Network Deployment segment, partially offset by a decrease in operating loss from our Retail Wireless segment.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2024 Compared to the Nine Months Ended September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For the Nine Months Ended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0"/>
        </w:trPr>
        <w:tc>
          <w:tcPr>
            <w:tcW w:w="3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600" w:type="dxa"/>
            <w:vAlign w:val="bottom"/>
            <w:tcBorders>
              <w:bottom w:val="single" w:sz="8" w:color="auto"/>
            </w:tcBorders>
          </w:tcPr>
          <w:p>
            <w:pPr>
              <w:spacing w:after="0"/>
              <w:rPr>
                <w:sz w:val="18"/>
                <w:szCs w:val="18"/>
                <w:color w:val="auto"/>
              </w:rPr>
            </w:pPr>
          </w:p>
        </w:tc>
      </w:tr>
      <w:tr>
        <w:trPr>
          <w:trHeight w:val="189"/>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60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r>
      <w:tr>
        <w:trPr>
          <w:trHeight w:val="169"/>
        </w:trPr>
        <w:tc>
          <w:tcPr>
            <w:tcW w:w="37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top w:val="single" w:sz="8" w:color="auto"/>
            </w:tcBorders>
            <w:gridSpan w:val="2"/>
          </w:tcPr>
          <w:p>
            <w:pPr>
              <w:jc w:val="right"/>
              <w:ind w:right="219"/>
              <w:spacing w:after="0" w:line="169"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Pay-TV</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8,020,893</w:t>
            </w:r>
          </w:p>
        </w:tc>
        <w:tc>
          <w:tcPr>
            <w:tcW w:w="180" w:type="dxa"/>
            <w:vAlign w:val="bottom"/>
          </w:tcPr>
          <w:p>
            <w:pPr>
              <w:spacing w:after="0"/>
              <w:rPr>
                <w:sz w:val="16"/>
                <w:szCs w:val="16"/>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8,754,372</w:t>
            </w:r>
          </w:p>
        </w:tc>
        <w:tc>
          <w:tcPr>
            <w:tcW w:w="4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(733,479)</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wireless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2,693,330</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2,794,087</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(100,757)</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5G network deployment</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106,653</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67,902</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38,751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(97,400)</w:t>
            </w:r>
          </w:p>
        </w:tc>
        <w:tc>
          <w:tcPr>
            <w:tcW w:w="5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(43,286)</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(54,114)</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74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10,723,476</w:t>
            </w:r>
          </w:p>
        </w:tc>
        <w:tc>
          <w:tcPr>
            <w:tcW w:w="1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11,573,075</w:t>
            </w:r>
          </w:p>
        </w:tc>
        <w:tc>
          <w:tcPr>
            <w:tcW w:w="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(849,599)</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(7.3)</w:t>
            </w:r>
          </w:p>
        </w:tc>
      </w:tr>
      <w:tr>
        <w:trPr>
          <w:trHeight w:val="170"/>
        </w:trPr>
        <w:tc>
          <w:tcPr>
            <w:tcW w:w="3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1,926,541</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1,985,490</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(58,949)</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Retail wireless</w:t>
            </w:r>
          </w:p>
        </w:tc>
        <w:tc>
          <w:tcPr>
            <w:tcW w:w="2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(309,571)</w:t>
            </w:r>
          </w:p>
        </w:tc>
        <w:tc>
          <w:tcPr>
            <w:tcW w:w="5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(298,872)</w:t>
            </w:r>
          </w:p>
        </w:tc>
        <w:tc>
          <w:tcPr>
            <w:tcW w:w="2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(10,699)</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(1,747,262)</w:t>
            </w:r>
          </w:p>
        </w:tc>
        <w:tc>
          <w:tcPr>
            <w:tcW w:w="5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(1,198,667)</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(548,595)</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7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(130,292)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487,951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(618,243)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$10.723 billion for the nine months ended September 30,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$850 million or 7.3% compared to the same period in 2023. The net decrease primarily resulted from the decrease in revenue from our Pay-TV and Retail Wireless segments.</w:t>
      </w:r>
    </w:p>
    <w:p>
      <w:pPr>
        <w:spacing w:after="0" w:line="155"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loss totaled $130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operating income of $488 million during the same period in 2023. This change primarily resulted from an increase in operating loss from our 5G Network Deployment and Retail Wireless segments and a decrease in operating income from our Pay-TV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Segment</w:t>
      </w:r>
    </w:p>
    <w:p>
      <w:pPr>
        <w:spacing w:after="0" w:line="26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offer Pay-TV services under the DISH brand and the SLING brand. As of September 30, 2024, we had 8.031 million Pay-TV subscribers in the United States, including 5.888 million DISH TV subscribers and 2.143 million SLING TV subscribers.</w:t>
      </w:r>
    </w:p>
    <w:p>
      <w:pPr>
        <w:spacing w:after="0" w:line="15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in our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54" w:lineRule="exact"/>
        <w:rPr>
          <w:sz w:val="20"/>
          <w:szCs w:val="20"/>
          <w:color w:val="auto"/>
        </w:rPr>
      </w:pPr>
    </w:p>
    <w:p>
      <w:pPr>
        <w:jc w:val="both"/>
        <w:ind w:left="60" w:right="479"/>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5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60" w:lineRule="exact"/>
        <w:rPr>
          <w:sz w:val="20"/>
          <w:szCs w:val="20"/>
          <w:color w:val="auto"/>
        </w:rPr>
      </w:pPr>
    </w:p>
    <w:p>
      <w:pPr>
        <w:ind w:left="60" w:right="199"/>
        <w:spacing w:after="0" w:line="255" w:lineRule="auto"/>
        <w:rPr>
          <w:sz w:val="20"/>
          <w:szCs w:val="20"/>
          <w:color w:val="auto"/>
        </w:rPr>
      </w:pPr>
      <w:r>
        <w:rPr>
          <w:rFonts w:ascii="Arial" w:cs="Arial" w:eastAsia="Arial" w:hAnsi="Arial"/>
          <w:sz w:val="17"/>
          <w:szCs w:val="17"/>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5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3" w:lineRule="exact"/>
        <w:rPr>
          <w:sz w:val="20"/>
          <w:szCs w:val="20"/>
          <w:color w:val="auto"/>
        </w:rPr>
      </w:pPr>
    </w:p>
    <w:p>
      <w:pPr>
        <w:ind w:left="60" w:right="99" w:hanging="7"/>
        <w:spacing w:after="0" w:line="257" w:lineRule="auto"/>
        <w:rPr>
          <w:sz w:val="20"/>
          <w:szCs w:val="20"/>
          <w:color w:val="auto"/>
        </w:rPr>
      </w:pPr>
      <w:r>
        <w:rPr>
          <w:rFonts w:ascii="Arial" w:cs="Arial" w:eastAsia="Arial" w:hAnsi="Arial"/>
          <w:sz w:val="17"/>
          <w:szCs w:val="17"/>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2023 and elsewhere in our public filings. These transactions may affect us adversely by, among other things, making it more difficult for us to obtain access to certain programming networks on nondiscriminatory and fair terms, or at all.</w:t>
      </w:r>
    </w:p>
    <w:p>
      <w:pPr>
        <w:spacing w:after="0" w:line="155"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6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w:t>
      </w:r>
    </w:p>
    <w:p>
      <w:pPr>
        <w:spacing w:after="0" w:line="171"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22222"/>
        </w:rPr>
        <w:t>Adaptive Bitrate Streaming Patents</w:t>
      </w:r>
    </w:p>
    <w:p>
      <w:pPr>
        <w:spacing w:after="0" w:line="19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22222"/>
        </w:rPr>
        <w:t>T</w:t>
      </w:r>
      <w:r>
        <w:rPr>
          <w:rFonts w:ascii="Arial" w:cs="Arial" w:eastAsia="Arial" w:hAnsi="Arial"/>
          <w:sz w:val="18"/>
          <w:szCs w:val="18"/>
          <w:color w:val="000000"/>
        </w:rPr>
        <w:t>hrough our subsidiaries, we hold dozens of issued United States and foreign patents that relate to Adaptive</w:t>
      </w:r>
      <w:r>
        <w:rPr>
          <w:rFonts w:ascii="Arial" w:cs="Arial" w:eastAsia="Arial" w:hAnsi="Arial"/>
          <w:sz w:val="18"/>
          <w:szCs w:val="18"/>
          <w:color w:val="222222"/>
        </w:rPr>
        <w:t xml:space="preserve"> </w:t>
      </w:r>
      <w:r>
        <w:rPr>
          <w:rFonts w:ascii="Arial" w:cs="Arial" w:eastAsia="Arial" w:hAnsi="Arial"/>
          <w:sz w:val="18"/>
          <w:szCs w:val="18"/>
          <w:color w:val="000000"/>
        </w:rPr>
        <w:t>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On March 8, 2023, the ITC issued its Final Determination, which affirmed the Initial Determination for three of 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second quarter of 2023, we recorded the $75 million license agreement in “Equipment sales and other revenue” on our Condensed Consolidated Statements of Operations and Comprehensive Income (Loss). On March 6, 2024, we entered into a license agreement covering NordicTrack exercise equipment that resolves our litigation involving those products and received the initial payment.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2024 Compared to the Three Months Ended September 30,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7"/>
          </w:tcPr>
          <w:p>
            <w:pPr>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60" w:type="dxa"/>
            <w:vAlign w:val="bottom"/>
          </w:tcPr>
          <w:p>
            <w:pPr>
              <w:spacing w:after="0"/>
              <w:rPr>
                <w:sz w:val="18"/>
                <w:szCs w:val="18"/>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60" w:type="dxa"/>
            <w:vAlign w:val="bottom"/>
            <w:gridSpan w:val="3"/>
          </w:tcPr>
          <w:p>
            <w:pPr>
              <w:ind w:left="500"/>
              <w:spacing w:after="0"/>
              <w:rPr>
                <w:sz w:val="20"/>
                <w:szCs w:val="20"/>
                <w:color w:val="auto"/>
              </w:rPr>
            </w:pPr>
            <w:r>
              <w:rPr>
                <w:rFonts w:ascii="Arial" w:cs="Arial" w:eastAsia="Arial" w:hAnsi="Arial"/>
                <w:sz w:val="16"/>
                <w:szCs w:val="16"/>
                <w:b w:val="1"/>
                <w:bCs w:val="1"/>
                <w:color w:val="auto"/>
              </w:rPr>
              <w:t>Variance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4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5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9"/>
              </w:rPr>
              <w:t>(In thousands)</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2,602,176</w:t>
            </w:r>
          </w:p>
        </w:tc>
        <w:tc>
          <w:tcPr>
            <w:tcW w:w="18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2,776,950</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(174,774)</w:t>
            </w:r>
          </w:p>
        </w:tc>
        <w:tc>
          <w:tcPr>
            <w:tcW w:w="1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15,855</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(14,296)</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2,618,031</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2,807,101</w:t>
            </w:r>
          </w:p>
        </w:tc>
        <w:tc>
          <w:tcPr>
            <w:tcW w:w="1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(189,070)</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gridSpan w:val="2"/>
          </w:tcPr>
          <w:p>
            <w:pPr>
              <w:jc w:val="right"/>
              <w:ind w:right="80"/>
              <w:spacing w:after="0" w:line="183"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1,639,005</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1,715,873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(76,868)</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63.0 %</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61.8 %</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19,243</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(10,784)</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283,780</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385,636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(101,856)</w:t>
            </w:r>
          </w:p>
        </w:tc>
        <w:tc>
          <w:tcPr>
            <w:tcW w:w="1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10.8 %</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13.7 %</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87,502</w:t>
            </w: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86,100</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2,029,530</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2,217,636</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(188,106)</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588,501</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589,465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(964)</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8.031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8.840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(0.809)</w:t>
            </w:r>
          </w:p>
        </w:tc>
        <w:tc>
          <w:tcPr>
            <w:tcW w:w="1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(0.832)</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9"/>
        </w:trPr>
        <w:tc>
          <w:tcPr>
            <w:tcW w:w="4440" w:type="dxa"/>
            <w:vAlign w:val="bottom"/>
            <w:gridSpan w:val="2"/>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2.143</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0.023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(0.043)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(0.064)</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0.021</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(0.188)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(0.181)</w:t>
            </w:r>
          </w:p>
        </w:tc>
        <w:tc>
          <w:tcPr>
            <w:tcW w:w="1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(0.007)</w:t>
            </w:r>
          </w:p>
        </w:tc>
        <w:tc>
          <w:tcPr>
            <w:tcW w:w="1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0.145</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0.028</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Pay-TV ARPU</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108.88</w:t>
            </w:r>
          </w:p>
        </w:tc>
        <w:tc>
          <w:tcPr>
            <w:tcW w:w="18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105.25</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0.075</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(0.067)</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DISH TV churn rate</w:t>
            </w:r>
          </w:p>
        </w:tc>
        <w:tc>
          <w:tcPr>
            <w:tcW w:w="1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1.58 </w:t>
            </w: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(0.11)</w:t>
            </w: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SAC</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53,357</w:t>
            </w:r>
          </w:p>
        </w:tc>
        <w:tc>
          <w:tcPr>
            <w:tcW w:w="18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64,331</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(10,974)</w:t>
            </w:r>
          </w:p>
        </w:tc>
        <w:tc>
          <w:tcPr>
            <w:tcW w:w="18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676,003</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675,565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188,000 net DISH TV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the loss of approximately 181,000 net DISH TV subscribers during the same period in 2023. This increase in net DISH TV subscriber losses primarily resulted from lower gross new DISH TV subscriber activations, partially offset by a lower DISH TV churn rate.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179" w:hanging="12"/>
        <w:spacing w:after="0" w:line="257" w:lineRule="auto"/>
        <w:rPr>
          <w:sz w:val="20"/>
          <w:szCs w:val="20"/>
          <w:color w:val="auto"/>
        </w:rPr>
      </w:pPr>
      <w:r>
        <w:rPr>
          <w:rFonts w:ascii="Arial" w:cs="Arial" w:eastAsia="Arial" w:hAnsi="Arial"/>
          <w:sz w:val="17"/>
          <w:szCs w:val="17"/>
          <w:b w:val="1"/>
          <w:bCs w:val="1"/>
          <w:i w:val="1"/>
          <w:iCs w:val="1"/>
          <w:color w:val="auto"/>
        </w:rPr>
        <w:t>SLING TV subscribers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added approximately 145,000 net SLING TV subscribers during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2024 compared to the addition of approximately 117,000 net SLING TV subscribers during the same period in 2023. The change in net SLING TV subscribers was primarily related to higher SLING TV subscriber activations and lower SLING TV subscriber disconnects in 2024 due to our emphasis on acquiring higher quality subscribers.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5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September 30,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75,000 gross new DISH TV subscribers compared to approximately 142,000 gross new DISH TV subscribers during the same period in 2023, a decrease of 47.2%.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b w:val="1"/>
          <w:bCs w:val="1"/>
          <w:i w:val="1"/>
          <w:iCs w:val="1"/>
          <w:color w:val="auto"/>
        </w:rPr>
        <w:t>DISH TV churn rate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DISH TV churn rate for the three months ended September 30, 2024 was 1.47%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1.58% for the same period in 2023. Our DISH TV churn rate for the three months ended September 30, 2024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56"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$2.602 billion for the three months ended September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$175 million or 6.3% compared to the same period in 2023. The decrease in “Service revenue” compared to the same period in 2023 was primarily related to lower average Pay-TV subscriber base, partially offset by an increase in Pay-TV ARPU, discussed below.</w:t>
      </w:r>
    </w:p>
    <w:p>
      <w:pPr>
        <w:spacing w:after="0" w:line="160"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b w:val="1"/>
          <w:bCs w:val="1"/>
          <w:i w:val="1"/>
          <w:iCs w:val="1"/>
          <w:color w:val="auto"/>
        </w:rPr>
        <w:t xml:space="preserve">Pay-TV ARPU. </w:t>
      </w:r>
      <w:r>
        <w:rPr>
          <w:rFonts w:ascii="Arial" w:cs="Arial" w:eastAsia="Arial" w:hAnsi="Arial"/>
          <w:sz w:val="17"/>
          <w:szCs w:val="17"/>
          <w:color w:val="auto"/>
        </w:rPr>
        <w:t>Pay-TV ARPU was $108.88 during the three months ended September 30, 2024 versus $105.25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same period in 2023. The $3.63 or 3.4% increase in Pay-TV ARPU was primarily attributable to the DISH TV and SLING TV programming price increases and higher Pay-TV ad sales revenue. The DISH TV and SLING TV programming package price increases were effective in the fourth quarter of 2023.</w:t>
      </w:r>
    </w:p>
    <w:p>
      <w:pPr>
        <w:spacing w:after="0" w:line="146"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totaled $1.639 billion during the three months ended September 30, 2024,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$77 million or 4.5% compared to the same period in 2023. The decrease in “Cost of services” was primarily attributable to a lower average Pay-TV subscriber base, partially offset by higher programming costs per subscriber. Programming costs per subscriber increased during the three months ended September 30, 2024 due to rate increases in certain of our programming contracts, including the renewal of certain contracts at higher rates, particularly for local broadcast channels. “Cost of services” represented 63.0% and 61.8% of “Service revenue” during the three months ended September 30, 2024 and 2023, respectively.</w:t>
      </w:r>
    </w:p>
    <w:p>
      <w:pPr>
        <w:spacing w:after="0" w:line="15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63" w:lineRule="exact"/>
        <w:rPr>
          <w:sz w:val="20"/>
          <w:szCs w:val="20"/>
          <w:color w:val="auto"/>
        </w:rPr>
      </w:pPr>
    </w:p>
    <w:p>
      <w:pPr>
        <w:ind w:left="60" w:right="339"/>
        <w:spacing w:after="0" w:line="24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September 30, 2024, a $102 million or 26.4% decrease compared to the same period in 2023. This change was primarily driven by a decrease in subscriber acquisition costs resulting from lower marketing expenditures and lower gross new DISH TV subscriber activations and a decrease in personnel costs. In addition, the three months ended September 30, 2023 was negatively impacted by Merger related costs.</w:t>
      </w:r>
    </w:p>
    <w:p>
      <w:pPr>
        <w:spacing w:after="0" w:line="165"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$985 during the three months ended September 30, 2024 compared to $1,065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a decrease of $80 or 7.5%. This change was primarily attributable to a decrease in advertising costs per subscriber and a higher percentage of remanufactured receivers being activated on new subscriber accounts, partially offset by higher commission costs due to our emphasis on acquiring higher quality subscribers.</w:t>
      </w:r>
    </w:p>
    <w:p>
      <w:pPr>
        <w:spacing w:after="0" w:line="163" w:lineRule="exact"/>
        <w:rPr>
          <w:sz w:val="20"/>
          <w:szCs w:val="20"/>
          <w:color w:val="auto"/>
        </w:rPr>
      </w:pPr>
    </w:p>
    <w:p>
      <w:pPr>
        <w:ind w:left="60" w:right="139" w:hanging="7"/>
        <w:spacing w:after="0" w:line="247" w:lineRule="auto"/>
        <w:rPr>
          <w:sz w:val="20"/>
          <w:szCs w:val="20"/>
          <w:color w:val="auto"/>
        </w:rPr>
      </w:pPr>
      <w:r>
        <w:rPr>
          <w:rFonts w:ascii="Arial" w:cs="Arial" w:eastAsia="Arial" w:hAnsi="Arial"/>
          <w:sz w:val="18"/>
          <w:szCs w:val="18"/>
          <w:color w:val="auto"/>
        </w:rPr>
        <w:t>During the three months ended September 30, 2024 and 2023, the amount of equipment capitalized under our lease program for new DISH TV subscribers totaled $6 million and $16 million, respectively. This decrease in capital expenditures primarily resulted from a decrease in gross new DISH TV subscriber activations and a higher percentage of remanufactured receivers being activated on new subscriber accounts.</w:t>
      </w:r>
    </w:p>
    <w:p>
      <w:pPr>
        <w:spacing w:after="0" w:line="16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63"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Our “DISH TV SAC” may materially increase in the future to the extent that we, among other things, transition to newer technologies, introduce more aggressive promotions, or provide greater equipment subsidies.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2024 Compared to the Nine Months Ended September 30,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For the Nine Months Ended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tcPr>
          <w:p>
            <w:pPr>
              <w:spacing w:after="0"/>
              <w:rPr>
                <w:sz w:val="18"/>
                <w:szCs w:val="18"/>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60" w:type="dxa"/>
            <w:vAlign w:val="bottom"/>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2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5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9"/>
              </w:rPr>
              <w:t>(In thousands)</w:t>
            </w: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7,961,736</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8,592,126</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(630,390)</w:t>
            </w:r>
          </w:p>
        </w:tc>
        <w:tc>
          <w:tcPr>
            <w:tcW w:w="1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162,246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(103,089)</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8,020,893</w:t>
            </w:r>
          </w:p>
        </w:tc>
        <w:tc>
          <w:tcPr>
            <w:tcW w:w="2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8,754,372</w:t>
            </w:r>
          </w:p>
        </w:tc>
        <w:tc>
          <w:tcPr>
            <w:tcW w:w="1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(733,479)</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gridSpan w:val="2"/>
          </w:tcPr>
          <w:p>
            <w:pPr>
              <w:jc w:val="right"/>
              <w:ind w:right="60"/>
              <w:spacing w:after="0" w:line="183"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4,942,133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5,298,196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(356,063)</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62.1 %</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61.7 %</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54,072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75,800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(21,728)</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839,994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1,108,738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(268,744)</w:t>
            </w:r>
          </w:p>
        </w:tc>
        <w:tc>
          <w:tcPr>
            <w:tcW w:w="1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10.5 %</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12.7 %</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258,153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286,148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(27,995)</w:t>
            </w:r>
          </w:p>
        </w:tc>
        <w:tc>
          <w:tcPr>
            <w:tcW w:w="1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6,094,352</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6,768,882</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(674,530)</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1,926,541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1,985,490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(58,949)</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8.840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(0.809)</w:t>
            </w:r>
          </w:p>
        </w:tc>
        <w:tc>
          <w:tcPr>
            <w:tcW w:w="1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(0.832)</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0.023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(0.495)</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(0.910)</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(0.583)</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(0.696)</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0.113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(0.214)</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Pay-TV ARPU</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108.21</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103.98</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(0.145)</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DISH TV churn rate</w:t>
            </w: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(0.23)</w:t>
            </w: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SAC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119,111</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167,524</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(48,413)</w:t>
            </w:r>
          </w:p>
        </w:tc>
        <w:tc>
          <w:tcPr>
            <w:tcW w:w="1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2,184,694</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2,271,638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(86,944)</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is not meaningful.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jc w:val="both"/>
        <w:ind w:left="60" w:right="299"/>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583,000 net DISH TV subscribers 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the loss of approximately 696,000 net DISH TV subscribers during the same period in 2023. This decrease in net DISH TV subscriber losses primarily resulted from a lower DISH TV churn rate, partially offset by lower gross new DISH TV subscriber activations.</w:t>
      </w:r>
    </w:p>
    <w:p>
      <w:pPr>
        <w:spacing w:after="0" w:line="160"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b w:val="1"/>
          <w:bCs w:val="1"/>
          <w:i w:val="1"/>
          <w:iCs w:val="1"/>
          <w:color w:val="auto"/>
        </w:rPr>
        <w:t>SLING TV subscribers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added approximately 88,000 net SLING TV subscribers during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2024 compared to the loss of approximately 214,000 net SLING TV subscribers during the same period in 2023. The change in net SLING TV subscribers was primarily related to lower SLING TV subscriber disconnects in 2024 due to our emphasis on acquiring higher quality subscribers, partially offset by lower SLING TV subscriber activations.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months ended September 30,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230,000 gross new DISH TV subscribers compared to approximately 375,000 gross new DISH TV subscribers during the same period in 2023, a decrease of 38.7%.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nine months ended September 30, 2024 was 1.46%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1.69% for the same period in 2023. Our DISH TV churn rate for the nine months ended September 30, 2024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 In addition, our DISH TV churn rate for the nine months ended September 30, 2023 was briefly elevated due to the cyber-security incident in the first quarter of 2023.</w:t>
      </w:r>
    </w:p>
    <w:p>
      <w:pPr>
        <w:spacing w:after="0" w:line="172"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$7.962 billion for the nine months ended September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$630 million or 7.3% compared to the same period in 2023. The decrease in “Service revenue” compared to the same period in 2023 was primarily related to lower average Pay-TV subscriber base, partially offset by an increase in Pay-TV ARPU, discussed below.</w:t>
      </w:r>
    </w:p>
    <w:p>
      <w:pPr>
        <w:spacing w:after="0" w:line="16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$59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2024, a decrease of $103 million compared to the same period in 2023. The decrease in “Equipment sales and other revenue” compared to the same period in 2023 was primarily related to a non-recurring $75 million license of our Adaptive Bitrate Streaming patents to Peloton covering certain Peloton products that resolves our litigation involving those products during the second quarter of 2023</w:t>
      </w:r>
      <w:r>
        <w:rPr>
          <w:rFonts w:ascii="Arial" w:cs="Arial" w:eastAsia="Arial" w:hAnsi="Arial"/>
          <w:sz w:val="18"/>
          <w:szCs w:val="18"/>
          <w:color w:val="222222"/>
        </w:rPr>
        <w:t>.</w:t>
      </w:r>
    </w:p>
    <w:p>
      <w:pPr>
        <w:spacing w:after="0" w:line="163" w:lineRule="exact"/>
        <w:rPr>
          <w:sz w:val="20"/>
          <w:szCs w:val="20"/>
          <w:color w:val="auto"/>
        </w:rPr>
      </w:pPr>
    </w:p>
    <w:p>
      <w:pPr>
        <w:ind w:left="60" w:right="219"/>
        <w:spacing w:after="0" w:line="266" w:lineRule="auto"/>
        <w:rPr>
          <w:sz w:val="20"/>
          <w:szCs w:val="20"/>
          <w:color w:val="auto"/>
        </w:rPr>
      </w:pPr>
      <w:r>
        <w:rPr>
          <w:rFonts w:ascii="Arial" w:cs="Arial" w:eastAsia="Arial" w:hAnsi="Arial"/>
          <w:sz w:val="17"/>
          <w:szCs w:val="17"/>
          <w:b w:val="1"/>
          <w:bCs w:val="1"/>
          <w:i w:val="1"/>
          <w:iCs w:val="1"/>
          <w:color w:val="auto"/>
        </w:rPr>
        <w:t xml:space="preserve">Pay-TV ARPU. </w:t>
      </w:r>
      <w:r>
        <w:rPr>
          <w:rFonts w:ascii="Arial" w:cs="Arial" w:eastAsia="Arial" w:hAnsi="Arial"/>
          <w:sz w:val="17"/>
          <w:szCs w:val="17"/>
          <w:color w:val="auto"/>
        </w:rPr>
        <w:t>Pay-TV ARPU was $108.21 during the nine months ended September 30, 2024 versus $103.98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same period in 2023. The $4.23 or 4.1% increase in Pay-TV ARPU was primarily attributable to the DISH TV and SLING TV programming price increases and higher Pay-TV ad sales revenue. The DISH TV and SLING TV programming package price increases were effective in the fourth quarter of 2023.</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$4.942 billion during the nine months ended September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$356 million or 6.7% compared to the same period in 2023. The decrease in “Cost of services” was primarily attributable to a lower average Pay-TV subscriber base and lower variable and retention costs per subscriber, partially offset by higher programming costs per subscriber. Programming costs per subscriber increased during the nine months ended September 30, 2024 due to rate increases in certain of our programming contracts, including the renewal of certain contracts at higher rates, particularly for local broadcast channels. Variable and retention costs per subscriber during the nine months ended September 30, 2023 were negatively impacted by approximately $30 million in cyber-security-related expenses to remediate the incident and provide additional customer support. “Cost of services” represented 62.1% and 61.7% of “Service revenue” during the nine months ended September 30, 2024 and 2023, respectively.</w:t>
      </w:r>
    </w:p>
    <w:p>
      <w:pPr>
        <w:spacing w:after="0" w:line="166" w:lineRule="exact"/>
        <w:rPr>
          <w:sz w:val="20"/>
          <w:szCs w:val="20"/>
          <w:color w:val="auto"/>
        </w:rPr>
      </w:pPr>
    </w:p>
    <w:p>
      <w:pPr>
        <w:ind w:left="60" w:right="419"/>
        <w:spacing w:after="0" w:line="24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$840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nine months ended September 30, 2024, a $269 million or 24.2% decrease compared to the same period in 2023. This change was primarily driven by a decrease in subscriber acquisition costs resulting from lower marketing expenditures and lower gross new DISH TV subscriber activations and a decrease in personnel costs. In addition, the nine months ended September 30, 2023 was negatively impacted by Merger related costs.</w:t>
      </w:r>
    </w:p>
    <w:p>
      <w:pPr>
        <w:spacing w:after="0" w:line="165"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$258 million during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2024, a $28 million or 9.8% decrease compared to the same period in 2023. This change was primarily driven by a decrease in depreciation expense from equipment leased to new and existing DISH TV subscribers and the EchoStar XI satellite which became fully depreciated during the second quarter of 2023.</w:t>
      </w:r>
    </w:p>
    <w:p>
      <w:pPr>
        <w:spacing w:after="0" w:line="163"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$993 during the nine months ended September 30, 2024 compared to $1,095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a decrease of $102 or 9.3%. This change was primarily attributable to a decrease in advertising costs per subscriber and a higher percentage of remanufactured receivers being activated on new subscriber accounts, partially offset by higher commission costs due to our emphasis on acquiring higher quality subscribers.</w:t>
      </w:r>
    </w:p>
    <w:p>
      <w:pPr>
        <w:spacing w:after="0" w:line="16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During the nine months ended September 30, 2024 and 2023, the amount of equipment capitalized under our lease program for new DISH TV subscribers totaled $19 million and $43 million, respectively. This decrease in capital expenditures primarily resulted from a decrease in gross new DISH TV subscriber activations and a higher percentage of remanufactured receivers being activated on new subscriber accounts.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Retail Wireless Segment</w:t>
      </w:r>
    </w:p>
    <w:p>
      <w:pPr>
        <w:spacing w:after="0" w:line="198"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163"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8"/>
          <w:szCs w:val="18"/>
          <w:i w:val="1"/>
          <w:iCs w:val="1"/>
          <w:color w:val="auto"/>
        </w:rPr>
        <w:t>Boost Mobile postpaid</w:t>
      </w:r>
      <w:r>
        <w:rPr>
          <w:rFonts w:ascii="Arial" w:cs="Arial" w:eastAsia="Arial" w:hAnsi="Arial"/>
          <w:sz w:val="18"/>
          <w:szCs w:val="18"/>
          <w:color w:val="auto"/>
        </w:rPr>
        <w:t>. During 2023, we launched our nationwide expansion of our Boost Mobile postpaid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At the end of the third quarter of 2023, we began offering premium wireless devices, including Apple products. We currently offer a broad range of premium wireless devices on our 5G Network.</w:t>
      </w:r>
    </w:p>
    <w:p>
      <w:pPr>
        <w:spacing w:after="0" w:line="155" w:lineRule="exact"/>
        <w:rPr>
          <w:sz w:val="20"/>
          <w:szCs w:val="20"/>
          <w:color w:val="auto"/>
        </w:rPr>
      </w:pPr>
    </w:p>
    <w:p>
      <w:pPr>
        <w:ind w:left="60" w:right="219" w:hanging="7"/>
        <w:spacing w:after="0"/>
        <w:rPr>
          <w:sz w:val="20"/>
          <w:szCs w:val="20"/>
          <w:color w:val="auto"/>
        </w:rPr>
      </w:pPr>
      <w:r>
        <w:rPr>
          <w:rFonts w:ascii="Arial" w:cs="Arial" w:eastAsia="Arial" w:hAnsi="Arial"/>
          <w:sz w:val="18"/>
          <w:szCs w:val="18"/>
          <w:color w:val="auto"/>
        </w:rPr>
        <w:t xml:space="preserve">We are currently operating our Retail Wireless segment primarily as an MVNO as we continue our 5G Network Deployment and commercialize and grow customer traffic on our 5G Network. We are transitioning our Retail Wireless segment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VoNR</w:t>
      </w:r>
      <w:r>
        <w:rPr>
          <w:rFonts w:ascii="Arial" w:cs="Arial" w:eastAsia="Arial" w:hAnsi="Arial"/>
          <w:sz w:val="18"/>
          <w:szCs w:val="18"/>
          <w:color w:val="auto"/>
        </w:rPr>
        <w:t xml:space="preserve">. We have deployed </w:t>
      </w:r>
      <w:r>
        <w:rPr>
          <w:rFonts w:ascii="Arial" w:cs="Arial" w:eastAsia="Arial" w:hAnsi="Arial"/>
          <w:sz w:val="18"/>
          <w:szCs w:val="18"/>
          <w:color w:val="0A0A0A"/>
        </w:rPr>
        <w:t>5G VoNR covering over 200 million</w:t>
      </w:r>
      <w:r>
        <w:rPr>
          <w:rFonts w:ascii="Arial" w:cs="Arial" w:eastAsia="Arial" w:hAnsi="Arial"/>
          <w:sz w:val="18"/>
          <w:szCs w:val="18"/>
          <w:color w:val="auto"/>
        </w:rPr>
        <w:t xml:space="preserve"> </w:t>
      </w:r>
      <w:r>
        <w:rPr>
          <w:rFonts w:ascii="Arial" w:cs="Arial" w:eastAsia="Arial" w:hAnsi="Arial"/>
          <w:sz w:val="18"/>
          <w:szCs w:val="18"/>
          <w:color w:val="0A0A0A"/>
        </w:rPr>
        <w:t xml:space="preserve">Americans. </w:t>
      </w:r>
      <w:r>
        <w:rPr>
          <w:rFonts w:ascii="Arial" w:cs="Arial" w:eastAsia="Arial" w:hAnsi="Arial"/>
          <w:sz w:val="18"/>
          <w:szCs w:val="18"/>
          <w:color w:val="000000"/>
        </w:rPr>
        <w:t>Within our MVNO operations, today we depend on T-Mobile and AT&amp;T to provide us with network</w:t>
      </w:r>
      <w:r>
        <w:rPr>
          <w:rFonts w:ascii="Arial" w:cs="Arial" w:eastAsia="Arial" w:hAnsi="Arial"/>
          <w:sz w:val="18"/>
          <w:szCs w:val="18"/>
          <w:color w:val="0A0A0A"/>
        </w:rPr>
        <w:t xml:space="preserve"> </w:t>
      </w:r>
      <w:r>
        <w:rPr>
          <w:rFonts w:ascii="Arial" w:cs="Arial" w:eastAsia="Arial" w:hAnsi="Arial"/>
          <w:sz w:val="18"/>
          <w:szCs w:val="18"/>
          <w:color w:val="000000"/>
        </w:rPr>
        <w:t>services under the MNSA and NSA, respectively.</w:t>
      </w:r>
    </w:p>
    <w:p>
      <w:pPr>
        <w:spacing w:after="0" w:line="171"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8"/>
          <w:szCs w:val="18"/>
          <w:color w:val="auto"/>
        </w:rPr>
        <w:t>As of September 30, 2024 we had 6.984 million Wireless subscribers. Currently, we offer Wireless subscribers competitive consumer plans with no annual service contracts and monthly service plans including high-speed data and unlimited talk and text, and device financing arrangements for certain qualified subscribers.</w:t>
      </w:r>
    </w:p>
    <w:p>
      <w:pPr>
        <w:spacing w:after="0" w:line="155" w:lineRule="exact"/>
        <w:rPr>
          <w:sz w:val="20"/>
          <w:szCs w:val="20"/>
          <w:color w:val="auto"/>
        </w:rPr>
      </w:pPr>
    </w:p>
    <w:p>
      <w:pPr>
        <w:ind w:left="60" w:right="159" w:hanging="7"/>
        <w:spacing w:after="0"/>
        <w:rPr>
          <w:sz w:val="20"/>
          <w:szCs w:val="20"/>
          <w:color w:val="auto"/>
        </w:rPr>
      </w:pPr>
      <w:r>
        <w:rPr>
          <w:rFonts w:ascii="Arial" w:cs="Arial" w:eastAsia="Arial" w:hAnsi="Arial"/>
          <w:sz w:val="18"/>
          <w:szCs w:val="18"/>
          <w:color w:val="auto"/>
        </w:rPr>
        <w:t>During the second half of 2022, we began the process of migrating subscribers off the Transition Services Agreement (“TSA”) with T-Mobile, including the billing systems, and onto our own billing and operational support systems. The migration of subscribers to our new billing and operational support systems accelerated during the fourth quarter of 2022 and continued in the first and second quarters of 2023. The migration of subscribers during the first and second quarters of 2023 negatively impacted our Wireless churn rate and our results of operations. During the second quarter of 2023, we completed the migration of subscribers off the TSA with T-Mobile and onto our own billing and operational support systems.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ACP Subscribers. </w:t>
      </w:r>
      <w:r>
        <w:rPr>
          <w:rFonts w:ascii="Arial" w:cs="Arial" w:eastAsia="Arial" w:hAnsi="Arial"/>
          <w:sz w:val="18"/>
          <w:szCs w:val="18"/>
          <w:color w:val="auto"/>
        </w:rPr>
        <w:t>A portion of our Wireless subscriber base and revenue is comprised of subscribers who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received benefits under ACP through May 2024. Households enrolled in the ACP program continued to receive</w:t>
      </w:r>
    </w:p>
    <w:p>
      <w:pPr>
        <w:ind w:left="60"/>
        <w:spacing w:after="0" w:line="234" w:lineRule="auto"/>
        <w:rPr>
          <w:sz w:val="20"/>
          <w:szCs w:val="20"/>
          <w:color w:val="auto"/>
        </w:rPr>
      </w:pPr>
      <w:r>
        <w:rPr>
          <w:rFonts w:ascii="Arial" w:cs="Arial" w:eastAsia="Arial" w:hAnsi="Arial"/>
          <w:sz w:val="18"/>
          <w:szCs w:val="18"/>
          <w:color w:val="auto"/>
        </w:rPr>
        <w:t>the benefit on their service through April 2024. In May 2024, households received a partial benefit and 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June 1, 2024 the ACP program funding concluded and households no longer received their benefit. Although we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implemented plans to retain and/or migrate these subscribers to lower priced service plans, these subscribers</w:t>
      </w:r>
    </w:p>
    <w:p>
      <w:pPr>
        <w:ind w:left="60"/>
        <w:spacing w:after="0" w:line="234" w:lineRule="auto"/>
        <w:rPr>
          <w:sz w:val="20"/>
          <w:szCs w:val="20"/>
          <w:color w:val="auto"/>
        </w:rPr>
      </w:pPr>
      <w:r>
        <w:rPr>
          <w:rFonts w:ascii="Arial" w:cs="Arial" w:eastAsia="Arial" w:hAnsi="Arial"/>
          <w:sz w:val="18"/>
          <w:szCs w:val="18"/>
          <w:color w:val="auto"/>
        </w:rPr>
        <w:t>began deactivating in the second and third quarter of 2024. As of September 30, 2024, we had approximately</w:t>
      </w:r>
    </w:p>
    <w:p>
      <w:pPr>
        <w:ind w:left="60"/>
        <w:spacing w:after="0" w:line="235" w:lineRule="auto"/>
        <w:rPr>
          <w:sz w:val="20"/>
          <w:szCs w:val="20"/>
          <w:color w:val="auto"/>
        </w:rPr>
      </w:pPr>
      <w:r>
        <w:rPr>
          <w:rFonts w:ascii="Arial" w:cs="Arial" w:eastAsia="Arial" w:hAnsi="Arial"/>
          <w:sz w:val="18"/>
          <w:szCs w:val="18"/>
          <w:color w:val="auto"/>
        </w:rPr>
        <w:t>33,000 Wireless ACP subscribers, and if we are unsuccessful in retaining and/or migrating the remaining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subscribers, they will deactivate in the fourth quarter of 2024.</w:t>
      </w:r>
    </w:p>
    <w:p>
      <w:pPr>
        <w:spacing w:after="0" w:line="180" w:lineRule="exact"/>
        <w:rPr>
          <w:sz w:val="20"/>
          <w:szCs w:val="20"/>
          <w:color w:val="auto"/>
        </w:rPr>
      </w:pPr>
    </w:p>
    <w:p>
      <w:pPr>
        <w:ind w:left="60" w:right="199" w:hanging="12"/>
        <w:spacing w:after="0" w:line="247" w:lineRule="auto"/>
        <w:rPr>
          <w:sz w:val="20"/>
          <w:szCs w:val="20"/>
          <w:color w:val="auto"/>
        </w:rPr>
      </w:pPr>
      <w:r>
        <w:rPr>
          <w:rFonts w:ascii="Arial" w:cs="Arial" w:eastAsia="Arial" w:hAnsi="Arial"/>
          <w:sz w:val="18"/>
          <w:szCs w:val="18"/>
          <w:color w:val="auto"/>
        </w:rPr>
        <w:t>Generally, ACP subscribers have lower Wireless ARPU than other Wireless subscribers and as a result, any loss of ACP subscribers will have a nominal impact on pre-tax net income. We cannot predict with any certainty the impact of the loss of the ACP benefit to our Wireless subscriber base, net Wireless subscriber activations and results of operations.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Competition</w:t>
      </w:r>
    </w:p>
    <w:p>
      <w:pPr>
        <w:spacing w:after="0" w:line="196"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Retail wireless is a mature market with moderate year over year organic 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71" w:lineRule="exact"/>
        <w:rPr>
          <w:sz w:val="20"/>
          <w:szCs w:val="20"/>
          <w:color w:val="auto"/>
        </w:rPr>
      </w:pPr>
    </w:p>
    <w:p>
      <w:pPr>
        <w:ind w:left="60" w:right="279" w:hanging="7"/>
        <w:spacing w:after="0" w:line="247" w:lineRule="auto"/>
        <w:rPr>
          <w:sz w:val="20"/>
          <w:szCs w:val="20"/>
          <w:color w:val="auto"/>
        </w:rPr>
      </w:pPr>
      <w:r>
        <w:rPr>
          <w:rFonts w:ascii="Arial" w:cs="Arial" w:eastAsia="Arial" w:hAnsi="Arial"/>
          <w:sz w:val="18"/>
          <w:szCs w:val="18"/>
          <w:color w:val="auto"/>
        </w:rPr>
        <w:t>Additional primary competitors to our Retail Wireless segment include, but are not limited to, Metro PCS (owned by T-Mobile), Cricket Wireless (owned by AT&amp;T), Visible (owned by Verizon), Tracfone Wireless (owned by Verizon), Total Wireless (owned by Verizon), and other MVNOs such as Consumer Cellular, Mint Mobile (owned by T-Mobile), Spectrum Mobile and Xfinity 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Retail Wireless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2024 Compared to the Three Months Ended September 30,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00" w:type="dxa"/>
            <w:vAlign w:val="bottom"/>
            <w:gridSpan w:val="3"/>
          </w:tcPr>
          <w:p>
            <w:pPr>
              <w:ind w:left="460"/>
              <w:spacing w:after="0"/>
              <w:rPr>
                <w:sz w:val="20"/>
                <w:szCs w:val="20"/>
                <w:color w:val="auto"/>
              </w:rPr>
            </w:pPr>
            <w:r>
              <w:rPr>
                <w:rFonts w:ascii="Arial" w:cs="Arial" w:eastAsia="Arial" w:hAnsi="Arial"/>
                <w:sz w:val="16"/>
                <w:szCs w:val="16"/>
                <w:b w:val="1"/>
                <w:bCs w:val="1"/>
                <w:color w:val="auto"/>
              </w:rPr>
              <w:t>Variance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gridSpan w:val="3"/>
          </w:tcPr>
          <w:p>
            <w:pPr>
              <w:jc w:val="right"/>
              <w:ind w:right="39"/>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778,737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814,267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(35,530)</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117,212</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76,713</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40,499</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895,949</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890,980</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4,969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469,292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525,130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(55,838)</w:t>
            </w:r>
          </w:p>
        </w:tc>
        <w:tc>
          <w:tcPr>
            <w:tcW w:w="2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60.3 %</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64.5 %</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300,322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279,914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20,408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217,090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191,553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25,537</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24.2 %</w:t>
            </w:r>
          </w:p>
        </w:tc>
        <w:tc>
          <w:tcPr>
            <w:tcW w:w="18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21.5 %</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(39,512)</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1,009,741</w:t>
            </w: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1,059,146</w:t>
            </w:r>
          </w:p>
        </w:tc>
        <w:tc>
          <w:tcPr>
            <w:tcW w:w="1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(49,405)</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gridSpan w:val="2"/>
          </w:tcPr>
          <w:p>
            <w:pPr>
              <w:jc w:val="right"/>
              <w:ind w:right="120"/>
              <w:spacing w:after="0" w:line="18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(113,792)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(168,166)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54,374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(0.516)</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0.642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0.638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0.004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(0.297)</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(0.225)</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(0.072)</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Wireless ARPU</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36.27</w:t>
            </w:r>
          </w:p>
        </w:tc>
        <w:tc>
          <w:tcPr>
            <w:tcW w:w="22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35.74</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0.53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churn rate</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(1.22)</w:t>
            </w:r>
            <w:r>
              <w:rPr>
                <w:rFonts w:ascii="Arial" w:cs="Arial" w:eastAsia="Arial" w:hAnsi="Arial"/>
                <w:sz w:val="16"/>
                <w:szCs w:val="16"/>
                <w:b w:val="1"/>
                <w:bCs w:val="1"/>
                <w:color w:val="auto"/>
              </w:rPr>
              <w:t>%</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5"/>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(90,755)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(105,617)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14,862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Includes Government subsidized subscribers.</w:t>
      </w:r>
    </w:p>
    <w:p>
      <w:pPr>
        <w:spacing w:after="0" w:line="18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297,000 net Wireless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the loss of approximately 225,000 net Wireless subscribers during the same period in 2023. This increase in net Wireless subscriber losses primarily resulted from net losses of Government subsidized subscribers during the three months ended September 30, 2024 compared to net additions of Government subsidized subscribers during the same period in 2023, primarily due to the ACP program funding concluding on June 1, 2024. See “Retail Wireless Segment – ACP Subscribers” for further information. Excluding the impact of net losses of Government subsidized subscribers, we added approximately 62,000 net Wireless subscribers during the three months ended September 30, 2024. In addition, the three months ended September 30, 2024 was positively impacted by a lower Wireless churn rate and higher gross new Wireless subscriber activations compared to the same period in 2023.</w:t>
      </w:r>
    </w:p>
    <w:p>
      <w:pPr>
        <w:spacing w:after="0" w:line="166"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September 30,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642,000 gross new Wireless subscribers compared to approximately 638,000 gross new Wireless subscribers during the same period in 2023, an increase of 0.6%. Our gross new Wireless subscriber activations continue to be negatively impacted by our emphasis on acquiring and retaining higher quality subscribers and increased competitive pressures, including aggressive competitor marketing, discounted service plans and deeper wireless device subsidies.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right="619" w:hanging="7"/>
        <w:spacing w:after="0" w:line="247"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three months ended September 30, 2024 was 2.99%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4.21% for the same period in 2023. Our Wireless churn rate for the three months ended September 30, 2024 was positively impacted by our emphasis on acquiring and retaining higher quality subscribers, partially offset by competitive pressures, including deeper wireless device subsidies.</w:t>
      </w:r>
    </w:p>
    <w:p>
      <w:pPr>
        <w:spacing w:after="0" w:line="16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$779 million for the three months ended September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$36 million or 4.4% compared to the same period in 2023. The decrease in “Service revenue” compared to the same period in 2023 was primarily related to a lower average Wireless subscriber base, partially offset by an increase in Wireless ARPU, discussed below.</w:t>
      </w:r>
    </w:p>
    <w:p>
      <w:pPr>
        <w:spacing w:after="0" w:line="160"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b w:val="1"/>
          <w:bCs w:val="1"/>
          <w:i w:val="1"/>
          <w:iCs w:val="1"/>
          <w:color w:val="auto"/>
        </w:rPr>
        <w:t xml:space="preserve">Wireless ARPU. </w:t>
      </w:r>
      <w:r>
        <w:rPr>
          <w:rFonts w:ascii="Arial" w:cs="Arial" w:eastAsia="Arial" w:hAnsi="Arial"/>
          <w:sz w:val="17"/>
          <w:szCs w:val="17"/>
          <w:color w:val="auto"/>
        </w:rPr>
        <w:t>Wireless ARPU was $36.27 during the three months ended September 30, 2024 versus $35.74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same period in 2023. The $0.53 or 1.5% increase in Wireless ARPU was primarily attributable to, among other things, a shift in subscriber plan mix to higher priced service plans and increased sales of value added services, partially offset by providing certain remaining ACP subscribers with service plan credits.</w:t>
      </w:r>
    </w:p>
    <w:p>
      <w:pPr>
        <w:spacing w:after="0" w:line="146"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$117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September 30, 2024, an increase of $40 million or 52.8% compared to the same period in 2023. The increase in “Equipment sales and other revenue” compared to the same period in 2023 was primarily related to </w:t>
      </w:r>
      <w:r>
        <w:rPr>
          <w:rFonts w:ascii="Arial" w:cs="Arial" w:eastAsia="Arial" w:hAnsi="Arial"/>
          <w:sz w:val="18"/>
          <w:szCs w:val="18"/>
          <w:color w:val="222222"/>
        </w:rPr>
        <w:t>h</w:t>
      </w:r>
      <w:r>
        <w:rPr>
          <w:rFonts w:ascii="Arial" w:cs="Arial" w:eastAsia="Arial" w:hAnsi="Arial"/>
          <w:sz w:val="18"/>
          <w:szCs w:val="18"/>
          <w:color w:val="auto"/>
        </w:rPr>
        <w:t>igher revenue per unit shipped due to unit mix and an increase in units shipped. During the three months ended September 30, 2024, we shipped a higher percentage of devices that are compatible with our 5G Network and other devices that have a higher revenue per unit.</w:t>
      </w:r>
    </w:p>
    <w:p>
      <w:pPr>
        <w:spacing w:after="0" w:line="165" w:lineRule="exact"/>
        <w:rPr>
          <w:sz w:val="20"/>
          <w:szCs w:val="20"/>
          <w:color w:val="auto"/>
        </w:rPr>
      </w:pPr>
    </w:p>
    <w:p>
      <w:pPr>
        <w:ind w:left="60" w:right="199"/>
        <w:spacing w:after="0"/>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$469 million for the three months ended September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$56 million or 10.6% compared to the same period in 2023. The decrease in “Cost of services” compared to the same period in 2023 was primarily attributable to a lower average Wireless subscriber base and lower network services costs per subscriber. In addition, the three months ended September 30, 2023 was negatively impacted by temporarily elevated dealer incentive costs in connection with the third quarter of 2023 realignment of our commission structure with current business objectives to acquire higher quality, long-term subscribers.</w:t>
      </w:r>
    </w:p>
    <w:p>
      <w:pPr>
        <w:spacing w:after="0" w:line="171" w:lineRule="exact"/>
        <w:rPr>
          <w:sz w:val="20"/>
          <w:szCs w:val="20"/>
          <w:color w:val="auto"/>
        </w:rPr>
      </w:pPr>
    </w:p>
    <w:p>
      <w:pPr>
        <w:ind w:left="60" w:right="139" w:hanging="12"/>
        <w:spacing w:after="0" w:line="242"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$300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2024, an increase of $20 million or 7.3% compared to the same period in 2023. The increase in “Cost of sales – equipment and other” compared to the same period in 2023 was primarily related to higher costs per unit shipped due to unit mix and an increase in units shipped. During the three months ended September 30, 2024, we shipped a higher percentage of devices that are compatible with our 5G Network and other devices that have a higher cost per unit.</w:t>
      </w:r>
    </w:p>
    <w:p>
      <w:pPr>
        <w:spacing w:after="0" w:line="16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September 30, 2024, a $26 million or 13.3% increase compared to the same period in 2023. This change was primarily driven by higher marketing expenditures and an increase in costs to support the Retail Wireless Segment, partially offset by lower sales commissions. In the third quarter of 2023, we realigned our commission structure with current business objectives to acquire higher quality, long-term subscribers, which resulted in lower sales commissions.</w:t>
      </w:r>
    </w:p>
    <w:p>
      <w:pPr>
        <w:spacing w:after="0" w:line="165"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$23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2024, a $40 million or 63.2% decrease compared to the same period in 2023. This change was primarily driven by a decrease in amortization expense from subscriber relationships related to the Boost Mobile acquisition in 2020, which became fully amortized during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2024 Compared to the Nine Months Ended September 30,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9"/>
              </w:rPr>
              <w:t>For the Nine Months Ended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20" w:type="dxa"/>
            <w:vAlign w:val="bottom"/>
          </w:tcPr>
          <w:p>
            <w:pPr>
              <w:spacing w:after="0"/>
              <w:rPr>
                <w:sz w:val="18"/>
                <w:szCs w:val="18"/>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60" w:type="dxa"/>
            <w:vAlign w:val="bottom"/>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6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5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2,368,138</w:t>
            </w:r>
          </w:p>
        </w:tc>
        <w:tc>
          <w:tcPr>
            <w:tcW w:w="20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2,535,296</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(167,158)</w:t>
            </w:r>
          </w:p>
        </w:tc>
        <w:tc>
          <w:tcPr>
            <w:tcW w:w="1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325,192</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258,791</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66,401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2,693,330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2,794,087</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(100,757)</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gridSpan w:val="2"/>
          </w:tcPr>
          <w:p>
            <w:pPr>
              <w:jc w:val="right"/>
              <w:ind w:right="20"/>
              <w:spacing w:after="0" w:line="183"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1,391,018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1,537,338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(146,320)</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58.7 %</w:t>
            </w:r>
          </w:p>
        </w:tc>
        <w:tc>
          <w:tcPr>
            <w:tcW w:w="2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60.6 %</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902,846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822,118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80,728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573,734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564,906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8,828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21.3 %</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20.2 %</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135,303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168,597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(33,294)</w:t>
            </w:r>
          </w:p>
        </w:tc>
        <w:tc>
          <w:tcPr>
            <w:tcW w:w="1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3,002,901</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3,092,959</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(90,058)</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(309,571)</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(298,872)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(10,699)</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6.984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7.500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(0.516)</w:t>
            </w:r>
          </w:p>
        </w:tc>
        <w:tc>
          <w:tcPr>
            <w:tcW w:w="1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(0.306)</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1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(0.394)</w:t>
            </w:r>
          </w:p>
        </w:tc>
        <w:tc>
          <w:tcPr>
            <w:tcW w:w="22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(0.494)</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0.100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ARPU</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Wireless churn rate</w:t>
            </w:r>
          </w:p>
        </w:tc>
        <w:tc>
          <w:tcPr>
            <w:tcW w:w="1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(1.34)</w:t>
            </w: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(174,268)</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(130,275)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(43,993)</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Includes Government subsidized subscribers.</w:t>
      </w:r>
    </w:p>
    <w:p>
      <w:pPr>
        <w:spacing w:after="0" w:line="180" w:lineRule="exact"/>
        <w:rPr>
          <w:sz w:val="20"/>
          <w:szCs w:val="20"/>
          <w:color w:val="auto"/>
        </w:rPr>
      </w:pPr>
    </w:p>
    <w:p>
      <w:pPr>
        <w:ind w:left="60" w:right="159"/>
        <w:spacing w:after="0"/>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394,000 net Wireless subscribers 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the loss of approximately 494,000 net Wireless subscribers during the same period in 2023. This decrease in net Wireless subscriber losses primarily resulted from a lower Wireless churn rate, partially offset by lower gross new Wireless subscriber activations and lower net Government subsidized subscriber additions compared to the same period in 2023, primarily due to the ACP program funding concluding on June 1, 2024. See “Retail Wireless Segment – ACP Subscribers” for further information. Excluding the impact of net losses of Government subsidized subscribers, we added approximately 65,000 net Wireless subscribers during the nine months ended September 30, 2024.</w:t>
      </w:r>
    </w:p>
    <w:p>
      <w:pPr>
        <w:spacing w:after="0" w:line="167" w:lineRule="exact"/>
        <w:rPr>
          <w:sz w:val="20"/>
          <w:szCs w:val="20"/>
          <w:color w:val="auto"/>
        </w:rPr>
      </w:pPr>
    </w:p>
    <w:p>
      <w:pPr>
        <w:ind w:left="60" w:right="239"/>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months ended September 30,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1.828 million gross new Wireless subscribers compared to approximately 2.134 million gross new Wireless subscribers during the same period in 2023, a decrease of 14.3%. Our gross new Wireless subscribers for the nine months ended September 30, 2024 was negatively impacted by our emphasis on acquiring and retaining higher quality subscribers. In addition, this decrease in our gross new Wireless subscriber activations was primarily related to increased competitive pressures, including aggressive competitor marketing, discounted service plans and deeper wireless device subsidies.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nine months ended September 30, 2024 was 2.99%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4.33% for the same period in 2023. Our Wireless churn rate for the nine months ended September 30, 2024 was positively impacted by our emphasis on acquiring and retaining higher quality subscribers, partially offset by competitive pressures, including deeper wireless device subsidies. In addition, our Wireless churn rate for the nine months ended September 30, 2023 was negatively impacted by migrating subscribers off the TSA with T-Mobile and onto our new billing and operational support systems.</w:t>
      </w:r>
    </w:p>
    <w:p>
      <w:pPr>
        <w:spacing w:after="0" w:line="165"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$2.368 billion for the nine months ended September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$167 million or 6.6% compared to the same period in 2023. The decrease in “Service revenue” compared to the same period in 2023 was primarily related to a lower average Wireless subscriber base, partially offset by an increase in Wireless ARPU, discussed below.</w:t>
      </w:r>
    </w:p>
    <w:p>
      <w:pPr>
        <w:spacing w:after="0" w:line="16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$36.29 during the nine months ended September 30, 2024 versus $36.19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The $0.10 or 0.3% increase in Wireless ARPU was primarily attributable to, among other things, a shift in subscriber plan mix to higher priced service plans, partially offset by providing ACP subscribers continued services for approximately half the charge in May 2024 and free of charge in June 2024 when the ACP program funding concluded and with service plan credits during the three months ended September 30, 2024.</w:t>
      </w:r>
    </w:p>
    <w:p>
      <w:pPr>
        <w:spacing w:after="0" w:line="165" w:lineRule="exact"/>
        <w:rPr>
          <w:sz w:val="20"/>
          <w:szCs w:val="20"/>
          <w:color w:val="auto"/>
        </w:rPr>
      </w:pPr>
    </w:p>
    <w:p>
      <w:pPr>
        <w:ind w:left="60" w:right="199"/>
        <w:spacing w:after="0" w:line="259" w:lineRule="auto"/>
        <w:rPr>
          <w:sz w:val="20"/>
          <w:szCs w:val="20"/>
          <w:color w:val="auto"/>
        </w:rPr>
      </w:pPr>
      <w:r>
        <w:rPr>
          <w:rFonts w:ascii="Arial" w:cs="Arial" w:eastAsia="Arial" w:hAnsi="Arial"/>
          <w:sz w:val="17"/>
          <w:szCs w:val="17"/>
          <w:b w:val="1"/>
          <w:bCs w:val="1"/>
          <w:i w:val="1"/>
          <w:iCs w:val="1"/>
          <w:color w:val="auto"/>
        </w:rPr>
        <w:t xml:space="preserve">Equipment sales and other revenue. </w:t>
      </w:r>
      <w:r>
        <w:rPr>
          <w:rFonts w:ascii="Arial" w:cs="Arial" w:eastAsia="Arial" w:hAnsi="Arial"/>
          <w:sz w:val="17"/>
          <w:szCs w:val="17"/>
          <w:color w:val="auto"/>
        </w:rPr>
        <w:t>“Equipment sales and other revenue” totaled $325 million for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months ended September 30, 2024, an increase of $66 million or 25.7% compared to the same period in 2023. The increase in “Equipment sales and other revenue” compared to the same period in 2023 was primarily related to </w:t>
      </w:r>
      <w:r>
        <w:rPr>
          <w:rFonts w:ascii="Arial" w:cs="Arial" w:eastAsia="Arial" w:hAnsi="Arial"/>
          <w:sz w:val="17"/>
          <w:szCs w:val="17"/>
          <w:color w:val="222222"/>
        </w:rPr>
        <w:t>h</w:t>
      </w:r>
      <w:r>
        <w:rPr>
          <w:rFonts w:ascii="Arial" w:cs="Arial" w:eastAsia="Arial" w:hAnsi="Arial"/>
          <w:sz w:val="17"/>
          <w:szCs w:val="17"/>
          <w:color w:val="auto"/>
        </w:rPr>
        <w:t xml:space="preserve">igher revenue per unit shipped due to unit mix, partially offset </w:t>
      </w:r>
      <w:r>
        <w:rPr>
          <w:rFonts w:ascii="Arial" w:cs="Arial" w:eastAsia="Arial" w:hAnsi="Arial"/>
          <w:sz w:val="17"/>
          <w:szCs w:val="17"/>
          <w:color w:val="222222"/>
        </w:rPr>
        <w:t>by</w:t>
      </w:r>
      <w:r>
        <w:rPr>
          <w:rFonts w:ascii="Arial" w:cs="Arial" w:eastAsia="Arial" w:hAnsi="Arial"/>
          <w:sz w:val="17"/>
          <w:szCs w:val="17"/>
          <w:color w:val="auto"/>
        </w:rPr>
        <w:t xml:space="preserve"> a decrease in units shipped and higher promotional subsidies. During the nine months ended September 30, 2024, we shipped a higher percentage of devices that are compatible with our 5G Network and other devices that have a higher revenue per unit.</w:t>
      </w:r>
    </w:p>
    <w:p>
      <w:pPr>
        <w:spacing w:after="0" w:line="15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$1.391 billion for the nine months ended September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$146 million or 9.5% compared to the same period in 2023. The decrease in “Cost of services” compared to the same period in 2023 was primarily attributable to a lower average Wireless subscriber base, lower network services costs per subscriber and operational efficiencies, partially offset by higher monthly dealer incentive costs. In the third quarter of 2023, we realigned our commission structure with current business objectives to acquire higher quality, long-term subscribers, which resulted in higher monthly dealer incentive costs. The nine months ended September 30, 2023 was negatively impacted by the migration of subscribers off the TSA with T-Mobile and onto our new billing and operational support systems. We incurred duplicative costs related to our TSA with T-Mobile and our own billing and operational support systems as we migrated subscribers off the TSA with T-Mobile.</w:t>
      </w:r>
    </w:p>
    <w:p>
      <w:pPr>
        <w:spacing w:after="0" w:line="16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$903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September 30, 2024, an increase of $81 million or 9.8% compared to the same period in 2023. The increase in “Cost of sales – equipment and other” compared to the same period in 2023 was primarily related to </w:t>
      </w:r>
      <w:r>
        <w:rPr>
          <w:rFonts w:ascii="Arial" w:cs="Arial" w:eastAsia="Arial" w:hAnsi="Arial"/>
          <w:sz w:val="18"/>
          <w:szCs w:val="18"/>
          <w:color w:val="222222"/>
        </w:rPr>
        <w:t>h</w:t>
      </w:r>
      <w:r>
        <w:rPr>
          <w:rFonts w:ascii="Arial" w:cs="Arial" w:eastAsia="Arial" w:hAnsi="Arial"/>
          <w:sz w:val="18"/>
          <w:szCs w:val="18"/>
          <w:color w:val="auto"/>
        </w:rPr>
        <w:t xml:space="preserve">igher costs per unit shipped due to unit mix, </w:t>
      </w:r>
      <w:r>
        <w:rPr>
          <w:rFonts w:ascii="Arial" w:cs="Arial" w:eastAsia="Arial" w:hAnsi="Arial"/>
          <w:sz w:val="18"/>
          <w:szCs w:val="18"/>
          <w:color w:val="222222"/>
        </w:rPr>
        <w:t>partially offset by</w:t>
      </w:r>
      <w:r>
        <w:rPr>
          <w:rFonts w:ascii="Arial" w:cs="Arial" w:eastAsia="Arial" w:hAnsi="Arial"/>
          <w:sz w:val="18"/>
          <w:szCs w:val="18"/>
          <w:color w:val="auto"/>
        </w:rPr>
        <w:t xml:space="preserve"> a decrease in units shipped and higher vendor rebates</w:t>
      </w:r>
      <w:r>
        <w:rPr>
          <w:rFonts w:ascii="Arial" w:cs="Arial" w:eastAsia="Arial" w:hAnsi="Arial"/>
          <w:sz w:val="18"/>
          <w:szCs w:val="18"/>
          <w:color w:val="222222"/>
        </w:rPr>
        <w:t>.</w:t>
      </w:r>
      <w:r>
        <w:rPr>
          <w:rFonts w:ascii="Arial" w:cs="Arial" w:eastAsia="Arial" w:hAnsi="Arial"/>
          <w:sz w:val="18"/>
          <w:szCs w:val="18"/>
          <w:color w:val="auto"/>
        </w:rPr>
        <w:t xml:space="preserve"> During the nine months ended September 30, 2024, we shipped a higher percentage of devices that are compatible with our 5G Network and other devices that have a higher cost per unit.</w:t>
      </w:r>
    </w:p>
    <w:p>
      <w:pPr>
        <w:spacing w:after="0" w:line="16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$574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w:t>
      </w:r>
      <w:r>
        <w:rPr>
          <w:rFonts w:ascii="Arial" w:cs="Arial" w:eastAsia="Arial" w:hAnsi="Arial"/>
          <w:sz w:val="18"/>
          <w:szCs w:val="18"/>
          <w:color w:val="222222"/>
        </w:rPr>
        <w:t>he nine months ended September 30, 2024, a $9 million or 1.6% increase compared to the same</w:t>
      </w:r>
      <w:r>
        <w:rPr>
          <w:rFonts w:ascii="Arial" w:cs="Arial" w:eastAsia="Arial" w:hAnsi="Arial"/>
          <w:sz w:val="18"/>
          <w:szCs w:val="18"/>
          <w:color w:val="auto"/>
        </w:rPr>
        <w:t xml:space="preserve"> </w:t>
      </w:r>
      <w:r>
        <w:rPr>
          <w:rFonts w:ascii="Arial" w:cs="Arial" w:eastAsia="Arial" w:hAnsi="Arial"/>
          <w:sz w:val="18"/>
          <w:szCs w:val="18"/>
          <w:color w:val="222222"/>
        </w:rPr>
        <w:t>period in 2023. This change was primarily driven by higher marketing expenditures, partially offset by lower sales commissions and a decrease in costs to support the Retail Wireless segment. The nine months ended September 30, 2023 was negatively impacted by costs of migrating subscribers off the TSA with T-Mobile and onto our new billing and operational support systems.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b w:val="1"/>
          <w:bCs w:val="1"/>
          <w:i w:val="1"/>
          <w:iCs w:val="1"/>
          <w:color w:val="222222"/>
        </w:rPr>
        <w:t>Depreciation and amortization</w:t>
      </w:r>
      <w:r>
        <w:rPr>
          <w:rFonts w:ascii="Arial" w:cs="Arial" w:eastAsia="Arial" w:hAnsi="Arial"/>
          <w:sz w:val="17"/>
          <w:szCs w:val="17"/>
          <w:color w:val="222222"/>
        </w:rPr>
        <w:t>. “Depreciation and amortization” expense totaled $135 million during the nine</w:t>
      </w:r>
      <w:r>
        <w:rPr>
          <w:rFonts w:ascii="Arial" w:cs="Arial" w:eastAsia="Arial" w:hAnsi="Arial"/>
          <w:sz w:val="17"/>
          <w:szCs w:val="17"/>
          <w:b w:val="1"/>
          <w:bCs w:val="1"/>
          <w:i w:val="1"/>
          <w:iCs w:val="1"/>
          <w:color w:val="222222"/>
        </w:rPr>
        <w:t xml:space="preserve"> </w:t>
      </w:r>
      <w:r>
        <w:rPr>
          <w:rFonts w:ascii="Arial" w:cs="Arial" w:eastAsia="Arial" w:hAnsi="Arial"/>
          <w:sz w:val="17"/>
          <w:szCs w:val="17"/>
          <w:color w:val="222222"/>
        </w:rPr>
        <w:t>months ended September 30, 2024, a $33 million or 19.7% decrease compared to the same period in 2023. This change was primarily driven by a decrease in amortization expense from subscriber relationships related to the Boost Mobile acquisition in 2020, which became fully amortized during the second quarter of 2024.</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5G Network Deployment Segment</w:t>
      </w:r>
    </w:p>
    <w:p>
      <w:pPr>
        <w:spacing w:after="0" w:line="198"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initially invested a total of over $30 billion in Wireless spectrum licenses, and a portion of these licenses were included in the Sale and Transfer of Assets to EchoStar. We currently have $24 billion of investments related to Wireless spectrum licenses, which does not include $7 billion of capitalized interest related to the carrying value of such licenses. See Note 1, Note 2 and Note 9 in the Notes to our Condensed Consolidated Financial Statements for further information. We plan to commercialize our Wireless spectrum licenses through our 5G Network Deployment. We have committed to deploy our 5G Network capable of serving increasingly larger portions of the U.S. population at different deadlines.</w:t>
      </w:r>
    </w:p>
    <w:p>
      <w:pPr>
        <w:spacing w:after="0" w:line="171"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We may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9 in the Notes to our Condensed Consolidated Financial Statements for further information.</w:t>
      </w:r>
    </w:p>
    <w:p>
      <w:pPr>
        <w:spacing w:after="0" w:line="165" w:lineRule="exact"/>
        <w:rPr>
          <w:sz w:val="20"/>
          <w:szCs w:val="20"/>
          <w:color w:val="auto"/>
        </w:rPr>
      </w:pPr>
    </w:p>
    <w:p>
      <w:pPr>
        <w:ind w:left="60" w:right="219" w:hanging="7"/>
        <w:spacing w:after="0" w:line="257" w:lineRule="auto"/>
        <w:rPr>
          <w:sz w:val="20"/>
          <w:szCs w:val="20"/>
          <w:color w:val="auto"/>
        </w:rPr>
      </w:pPr>
      <w:r>
        <w:rPr>
          <w:rFonts w:ascii="Arial" w:cs="Arial" w:eastAsia="Arial" w:hAnsi="Arial"/>
          <w:sz w:val="17"/>
          <w:szCs w:val="17"/>
          <w:color w:val="auto"/>
        </w:rPr>
        <w:t>Our Wireless spectrum licenses are subject to certain interim and final build-out requirements, as well as certain renewal requirements.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We currently have the largest commercial deployment of 5G VoNR in the world covering over 200 million Americans and 5G broadband service covering over 250 million Americans.</w:t>
      </w:r>
    </w:p>
    <w:p>
      <w:pPr>
        <w:spacing w:after="0" w:line="155" w:lineRule="exact"/>
        <w:rPr>
          <w:sz w:val="20"/>
          <w:szCs w:val="20"/>
          <w:color w:val="auto"/>
        </w:rPr>
      </w:pPr>
    </w:p>
    <w:p>
      <w:pPr>
        <w:jc w:val="both"/>
        <w:ind w:left="60" w:right="79" w:hanging="7"/>
        <w:spacing w:after="0" w:line="253" w:lineRule="auto"/>
        <w:rPr>
          <w:sz w:val="20"/>
          <w:szCs w:val="20"/>
          <w:color w:val="auto"/>
        </w:rPr>
      </w:pPr>
      <w:r>
        <w:rPr>
          <w:rFonts w:ascii="Arial" w:cs="Arial" w:eastAsia="Arial" w:hAnsi="Arial"/>
          <w:sz w:val="18"/>
          <w:szCs w:val="18"/>
          <w:color w:val="auto"/>
        </w:rPr>
        <w:t>In September 2024, the FCC conditionally granted our requests to extend the 5G deployment deadlines for certain of our licenses based on several commitments, as detailed in Note 9 in the Notes to our Condensed Consolidated Financial Statements.</w:t>
      </w:r>
    </w:p>
    <w:p>
      <w:pPr>
        <w:spacing w:after="0" w:line="155"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We may also determine that additional wireless spectrum licenses may be required for our 5G Network Deployment and to compete effectively with other wireless service providers.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–5G Network Deployment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2024 Compared to the Three Months Ended September 30,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00" w:type="dxa"/>
            <w:vAlign w:val="bottom"/>
          </w:tcPr>
          <w:p>
            <w:pPr>
              <w:spacing w:after="0"/>
              <w:rPr>
                <w:sz w:val="18"/>
                <w:szCs w:val="18"/>
                <w:color w:val="auto"/>
              </w:rPr>
            </w:pPr>
          </w:p>
        </w:tc>
        <w:tc>
          <w:tcPr>
            <w:tcW w:w="256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60" w:type="dxa"/>
            <w:vAlign w:val="bottom"/>
            <w:gridSpan w:val="3"/>
          </w:tcPr>
          <w:p>
            <w:pPr>
              <w:ind w:left="500"/>
              <w:spacing w:after="0"/>
              <w:rPr>
                <w:sz w:val="20"/>
                <w:szCs w:val="20"/>
                <w:color w:val="auto"/>
              </w:rPr>
            </w:pPr>
            <w:r>
              <w:rPr>
                <w:rFonts w:ascii="Arial" w:cs="Arial" w:eastAsia="Arial" w:hAnsi="Arial"/>
                <w:sz w:val="16"/>
                <w:szCs w:val="16"/>
                <w:b w:val="1"/>
                <w:bCs w:val="1"/>
                <w:color w:val="auto"/>
              </w:rPr>
              <w:t>Variance</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4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3"/>
          </w:tcPr>
          <w:p>
            <w:pPr>
              <w:jc w:val="right"/>
              <w:ind w:right="3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29,916</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42,833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29,916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12,917</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43.2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332,690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260,747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(260,747)</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68,315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(28,679)</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269,529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163,959</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105,570</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64.4</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641,855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493,021</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148,834</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(599,022)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(463,105)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(135,917)</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231,432</w:t>
            </w:r>
          </w:p>
        </w:tc>
        <w:tc>
          <w:tcPr>
            <w:tcW w:w="1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686,192</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(454,760)</w:t>
            </w:r>
          </w:p>
        </w:tc>
        <w:tc>
          <w:tcPr>
            <w:tcW w:w="2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(329,493)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(299,146)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(30,347)</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was $43 million for the three months ended September 30, 2024,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 million or 43.2% compared to the same period in 2023. The increase in “Total revenue” compared to the same period in 2023 was primarily related to higher intercompany MNO revenue, partially offset by lower leased spectrum revenue.</w:t>
      </w:r>
    </w:p>
    <w:p>
      <w:pPr>
        <w:spacing w:after="0" w:line="160" w:lineRule="exact"/>
        <w:rPr>
          <w:sz w:val="20"/>
          <w:szCs w:val="20"/>
          <w:color w:val="auto"/>
        </w:rPr>
      </w:pPr>
    </w:p>
    <w:p>
      <w:pPr>
        <w:ind w:left="60" w:right="139" w:hanging="7"/>
        <w:spacing w:after="0" w:line="254" w:lineRule="auto"/>
        <w:rPr>
          <w:sz w:val="20"/>
          <w:szCs w:val="20"/>
          <w:color w:val="auto"/>
        </w:rPr>
      </w:pPr>
      <w:r>
        <w:rPr>
          <w:rFonts w:ascii="Arial" w:cs="Arial" w:eastAsia="Arial" w:hAnsi="Arial"/>
          <w:sz w:val="17"/>
          <w:szCs w:val="17"/>
          <w:b w:val="1"/>
          <w:bCs w:val="1"/>
          <w:i w:val="1"/>
          <w:iCs w:val="1"/>
          <w:color w:val="auto"/>
        </w:rPr>
        <w:t xml:space="preserve">Cost of services and Cost of sales – equipment and other. </w:t>
      </w:r>
      <w:r>
        <w:rPr>
          <w:rFonts w:ascii="Arial" w:cs="Arial" w:eastAsia="Arial" w:hAnsi="Arial"/>
          <w:sz w:val="17"/>
          <w:szCs w:val="17"/>
          <w:color w:val="auto"/>
        </w:rPr>
        <w:t>“Cost of services” and “Cost of sales – equipment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totaled $333 million during the three months ended September 30, 2024, an increase of $72 million compared to the same period in 2023. Beginning on January 1, 2024, as we have commenced utilizing our 5G Network for commercial traffic, “Cost of services” includes certain direct costs related to our 5G Network Deployment, including lease expense on communication towers, transport, cloud services and other costs which were previously reported in “Cost of sales – equipment and other.” The increase primarily resulted from an increase in lease expense on communication towers and other costs related to our 5G Network. In addition, beginning on January 1, 2024, as we have commenced utilizing our 5G Network for commercial traffic, “Cost of services” includes certain personal costs which were previously reported in “Selling, general and administrative expenses.” See Note 2 in the Notes to our Condensed Consolidated Financial Statements for further information.</w:t>
      </w:r>
    </w:p>
    <w:p>
      <w:pPr>
        <w:spacing w:after="0" w:line="159" w:lineRule="exact"/>
        <w:rPr>
          <w:sz w:val="20"/>
          <w:szCs w:val="20"/>
          <w:color w:val="auto"/>
        </w:rPr>
      </w:pPr>
    </w:p>
    <w:p>
      <w:pPr>
        <w:ind w:left="60" w:right="31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September 30, 2024, a $29 million or 42.0% decrease compared to the same period in 2023. Beginning on January 1, 2024, as we have commenced utilizing our 5G Network for commercial traffic, “Cost of services” includes certain personal costs which were previously reported in “Selling, general and administrative expenses” primarily driving this decrease.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$270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2024, a $106 million increase compared to the same period in 2023.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2024 Compared to the Nine Months Ended September 30,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For the Nine Months Ended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60" w:type="dxa"/>
            <w:vAlign w:val="bottom"/>
          </w:tcPr>
          <w:p>
            <w:pPr>
              <w:spacing w:after="0"/>
              <w:rPr>
                <w:sz w:val="18"/>
                <w:szCs w:val="18"/>
                <w:color w:val="auto"/>
              </w:rPr>
            </w:pPr>
          </w:p>
        </w:tc>
        <w:tc>
          <w:tcPr>
            <w:tcW w:w="2680" w:type="dxa"/>
            <w:vAlign w:val="bottom"/>
            <w:gridSpan w:val="5"/>
          </w:tcPr>
          <w:p>
            <w:pPr>
              <w:jc w:val="right"/>
              <w:ind w:right="9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40" w:type="dxa"/>
            <w:vAlign w:val="bottom"/>
            <w:gridSpan w:val="3"/>
          </w:tcPr>
          <w:p>
            <w:pPr>
              <w:ind w:left="540"/>
              <w:spacing w:after="0"/>
              <w:rPr>
                <w:sz w:val="20"/>
                <w:szCs w:val="20"/>
                <w:color w:val="auto"/>
              </w:rPr>
            </w:pPr>
            <w:r>
              <w:rPr>
                <w:rFonts w:ascii="Arial" w:cs="Arial" w:eastAsia="Arial" w:hAnsi="Arial"/>
                <w:sz w:val="16"/>
                <w:szCs w:val="16"/>
                <w:b w:val="1"/>
                <w:bCs w:val="1"/>
                <w:color w:val="auto"/>
              </w:rPr>
              <w:t>Variance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6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top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106,653</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67,902</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38,751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106,653</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67,902</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38,751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57.1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946,250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946,250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671,241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(671,241)</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135,030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210,258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(75,228)</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772,635</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385,070</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387,565</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4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1,853,915</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1,266,569</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587,346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(1,747,262)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(1,198,667)</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(548,595)</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Purchases of property and equipment, net of refunds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858,030</w:t>
            </w:r>
          </w:p>
        </w:tc>
        <w:tc>
          <w:tcPr>
            <w:tcW w:w="20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2,159,359</w:t>
            </w:r>
          </w:p>
        </w:tc>
        <w:tc>
          <w:tcPr>
            <w:tcW w:w="20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(1,301,329)</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(974,627)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(813,597)</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(161,030)</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color w:val="auto"/>
        </w:rPr>
        <w:t>. “Total revenue” was $107 million for the nine months ended September 30, 2024,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 million or 57.1% compared to the same period in 2023. The increase in “Total revenue” compared to the same period in 2023 was primarily related to higher intercompany MNO revenue, partially offset by lower leased spectrum revenue.</w:t>
      </w:r>
    </w:p>
    <w:p>
      <w:pPr>
        <w:spacing w:after="0" w:line="147" w:lineRule="exact"/>
        <w:rPr>
          <w:sz w:val="20"/>
          <w:szCs w:val="20"/>
          <w:color w:val="auto"/>
        </w:rPr>
      </w:pPr>
    </w:p>
    <w:p>
      <w:pPr>
        <w:ind w:left="60" w:right="219" w:hanging="7"/>
        <w:spacing w:after="0" w:line="238" w:lineRule="auto"/>
        <w:rPr>
          <w:sz w:val="20"/>
          <w:szCs w:val="20"/>
          <w:color w:val="auto"/>
        </w:rPr>
      </w:pPr>
      <w:r>
        <w:rPr>
          <w:rFonts w:ascii="Arial" w:cs="Arial" w:eastAsia="Arial" w:hAnsi="Arial"/>
          <w:sz w:val="18"/>
          <w:szCs w:val="18"/>
          <w:b w:val="1"/>
          <w:bCs w:val="1"/>
          <w:i w:val="1"/>
          <w:iCs w:val="1"/>
          <w:color w:val="auto"/>
        </w:rPr>
        <w:t xml:space="preserve">Cost of services and Cost of sales – equipment and other. </w:t>
      </w:r>
      <w:r>
        <w:rPr>
          <w:rFonts w:ascii="Arial" w:cs="Arial" w:eastAsia="Arial" w:hAnsi="Arial"/>
          <w:sz w:val="18"/>
          <w:szCs w:val="18"/>
          <w:color w:val="auto"/>
        </w:rPr>
        <w:t>“Cost of services” and “Cost of sales –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totaled $946 million during the nine months ended September 30, 2024, an increase of $275 million compared to the same period in 2023. Beginning on January 1, 2024, as we have commenced utilizing our 5G Network for commercial traffic, “Cost of services” includes certain direct costs related to our 5G Network Deployment, including lease expense on communication towers, transport, cloud services and other costs which were previously reported in “Cost of sales – equipment and other.” The increase primarily resulted from an increase in lease expense on communication towers, transport, cloud services and other costs related to our 5G Network. In addition, beginning on January 1, 2024, as we have commenced utilizing our 5G Network for commercial traffic, “Cost of services” includes certain personal costs which were previously reported in “Selling, general and administrative expenses.” See Note 2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31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$135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nine months ended September 30, 2024, a $75 million or 35.8% decrease compared to the same period in 2023. Beginning on January 1, 2024, as we have commenced utilizing our 5G Network for commercial traffic, “Cost of services” includes certain personal costs which were previously reported in “Selling, general and administrative expenses” primarily driving this decrease.</w:t>
      </w:r>
    </w:p>
    <w:p>
      <w:pPr>
        <w:spacing w:after="0" w:line="163"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$773 million during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2024, a $388 million increase compared to the same period in 2023.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CONSOLIDATED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2024 Compared to the Three Months Ended September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7"/>
          </w:tcPr>
          <w:p>
            <w:pPr>
              <w:jc w:val="right"/>
              <w:ind w:right="32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Pr>
          <w:p>
            <w:pPr>
              <w:spacing w:after="0"/>
              <w:rPr>
                <w:sz w:val="18"/>
                <w:szCs w:val="18"/>
                <w:color w:val="auto"/>
              </w:rPr>
            </w:pPr>
          </w:p>
        </w:tc>
        <w:tc>
          <w:tcPr>
            <w:tcW w:w="2340" w:type="dxa"/>
            <w:vAlign w:val="bottom"/>
            <w:gridSpan w:val="6"/>
          </w:tcPr>
          <w:p>
            <w:pPr>
              <w:jc w:val="right"/>
              <w:ind w:right="8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80" w:type="dxa"/>
            <w:vAlign w:val="bottom"/>
            <w:gridSpan w:val="4"/>
          </w:tcPr>
          <w:p>
            <w:pPr>
              <w:ind w:left="580"/>
              <w:spacing w:after="0"/>
              <w:rPr>
                <w:sz w:val="20"/>
                <w:szCs w:val="20"/>
                <w:color w:val="auto"/>
              </w:rPr>
            </w:pPr>
            <w:r>
              <w:rPr>
                <w:rFonts w:ascii="Arial" w:cs="Arial" w:eastAsia="Arial" w:hAnsi="Arial"/>
                <w:sz w:val="16"/>
                <w:szCs w:val="16"/>
                <w:b w:val="1"/>
                <w:bCs w:val="1"/>
                <w:color w:val="auto"/>
              </w:rPr>
              <w:t>Variance</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Amount</w:t>
            </w:r>
          </w:p>
        </w:tc>
        <w:tc>
          <w:tcPr>
            <w:tcW w:w="6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w w:val="89"/>
              </w:rPr>
              <w:t>(In thousands)</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(41,806)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(82,694)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8,627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18,649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(10,022)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(160,625)</w:t>
            </w:r>
          </w:p>
        </w:tc>
        <w:tc>
          <w:tcPr>
            <w:tcW w:w="10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(10,173)</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(150,452)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18,019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(151,497)</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169,516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(133,979)</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(143,021)</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9,042</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(258,479)</w:t>
            </w:r>
          </w:p>
        </w:tc>
        <w:tc>
          <w:tcPr>
            <w:tcW w:w="10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(184,827)</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(73,652)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47,971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67,988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(20,017)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18.6 %</w:t>
            </w:r>
          </w:p>
        </w:tc>
        <w:tc>
          <w:tcPr>
            <w:tcW w:w="10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36.8 %</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(210,508)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(116,839)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(93,669)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 noncontrolling</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interests, net of tax</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22,346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(22,331)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183"/>
        </w:trPr>
        <w:tc>
          <w:tcPr>
            <w:tcW w:w="41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DISH Network</w:t>
            </w: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(210,523)</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(139,185)</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(71,338)</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$9 million during the three months ended September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$10 million compared to the same period in 2023. This decrease primarily resulted from lower average cash and marketable investment securities balances and lower percentage returns earned on our cash and marketable investment securities during the three months ended September 30, 2024.</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right="219" w:hanging="7"/>
        <w:spacing w:after="0" w:line="238"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$161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September 30, 2024, an increase of $150 million compared to the same period in 2023. This increase primarily resulted from the reduction of capitalized interest related to the qualifying assets being placed into service and the Sale and Transfer of Assets to EchoStar, which included the Intercompany Loan 2026 Tranche, which was previously eliminated in consolidation and held by DISH DBS, and as a result interest expense increased. During the three months ended September 30, 2024, as a result of the lower basis of our qualifying assets due to the Sale and Transfer of Assets to EchoStar and other qualifying assets, including certain bands of wireless spectrum licenses that have been placed into service with the deployment of our 5G Network, we no longer capitalize interest on those assets and as a result, capitalized interest was reduced. See Note 1, Note 2 and Note 8 in the Notes to our Condensed Consolidated Financial Statements for further information.</w:t>
      </w:r>
    </w:p>
    <w:p>
      <w:pPr>
        <w:spacing w:after="0" w:line="17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income totaled $18 million during the three months ended September 30,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expense of $151 million during the same period in 2023. The three months ended September 30, 2024 was positively impacted by a $21 million gain on the Liberty Puerto Rico asset sale. The three months ended September 30, 2023 was negatively impacted by a $155 million decrease in the fair value of our option to purchase certain of T-Mobile’s 800 MHz spectrum licenses. See Note 4 and Note 9 in the Notes to our Condensed Consolidated Financial Statements for further information.</w:t>
      </w:r>
    </w:p>
    <w:p>
      <w:pPr>
        <w:spacing w:after="0" w:line="16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$48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a decrease of $20 million compared to the same period in 2023. This change was primarily related to a decrease in “Income (loss) before income taxes” and the change in our effective tax rate. Our effective tax rate during the three months ended September 30, 2024 and 2023 was impacted by federal and state valuation allowances.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2024 Compared to the Nine Months Ended September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rPr>
              <w:t>For the Nine Months Ended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40" w:type="dxa"/>
            <w:vAlign w:val="bottom"/>
          </w:tcPr>
          <w:p>
            <w:pPr>
              <w:spacing w:after="0"/>
              <w:rPr>
                <w:sz w:val="18"/>
                <w:szCs w:val="18"/>
                <w:color w:val="auto"/>
              </w:rPr>
            </w:pPr>
          </w:p>
        </w:tc>
        <w:tc>
          <w:tcPr>
            <w:tcW w:w="260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80" w:type="dxa"/>
            <w:vAlign w:val="bottom"/>
            <w:gridSpan w:val="4"/>
          </w:tcPr>
          <w:p>
            <w:pPr>
              <w:ind w:left="600"/>
              <w:spacing w:after="0"/>
              <w:rPr>
                <w:sz w:val="20"/>
                <w:szCs w:val="20"/>
                <w:color w:val="auto"/>
              </w:rPr>
            </w:pPr>
            <w:r>
              <w:rPr>
                <w:rFonts w:ascii="Arial" w:cs="Arial" w:eastAsia="Arial" w:hAnsi="Arial"/>
                <w:sz w:val="16"/>
                <w:szCs w:val="16"/>
                <w:b w:val="1"/>
                <w:bCs w:val="1"/>
                <w:color w:val="auto"/>
              </w:rPr>
              <w:t>Variance</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Amount</w:t>
            </w:r>
          </w:p>
        </w:tc>
        <w:tc>
          <w:tcPr>
            <w:tcW w:w="6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top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(130,292)</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487,951</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(618,243)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31,794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90,907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(59,113)</w:t>
            </w:r>
          </w:p>
        </w:tc>
        <w:tc>
          <w:tcPr>
            <w:tcW w:w="2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(495,821)</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(27,379)</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(468,442)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80,884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(120,726)</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201,610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(383,143)</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(57,198)</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(325,945)</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(513,435)</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430,753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(944,188)</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80,872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(81,930)</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162,802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15.8 %</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19.0 %</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(432,563)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348,823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(781,386)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(61,292)</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183"/>
        </w:trPr>
        <w:tc>
          <w:tcPr>
            <w:tcW w:w="40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DISH Network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(436,251)</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283,843</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(720,094)</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Percentage is not meaningful.</w:t>
      </w:r>
    </w:p>
    <w:p>
      <w:pPr>
        <w:spacing w:after="0" w:line="198"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$32 million during the nine months ended September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$59 million compared to the same period in 2023. This decrease primarily resulted from lower average cash and marketable investment securities balances and lower percentage returns earned on our cash and marketable investment securities during the nine months ended September 30, 2024.</w:t>
      </w:r>
    </w:p>
    <w:p>
      <w:pPr>
        <w:spacing w:after="0" w:line="160" w:lineRule="exact"/>
        <w:rPr>
          <w:sz w:val="20"/>
          <w:szCs w:val="20"/>
          <w:color w:val="auto"/>
        </w:rPr>
      </w:pPr>
    </w:p>
    <w:p>
      <w:pPr>
        <w:ind w:left="60" w:right="219" w:hanging="7"/>
        <w:spacing w:after="0" w:line="238"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$496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nine months ended September 30, 2024, an increase of $468 million compared to the same period in 2023. This increase primarily resulted from the reduction of capitalized interest related to the qualifying assets being placed into service and the Sale and Transfer of Assets to EchoStar, which included the Intercompany Loan 2026 Tranche, which was previously eliminated in consolidation and held by DISH DBS, and as a result interest expense increased. During the nine months ended September 30, 2024, as a result of the lower basis of our qualifying assets due to the Sale and Transfer of Assets to EchoStar and other qualifying assets, including certain bands of wireless spectrum licenses that have been placed into service with the deployment of our 5G Network, we no longer capitalize interest on those assets and as a result, capitalized interest was reduced. See Note 1, Note 2 and Note 8 in the Notes to our Condensed Consolidated Financial Statements for further information.</w:t>
      </w:r>
    </w:p>
    <w:p>
      <w:pPr>
        <w:spacing w:after="0" w:line="17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income totaled $81 million during the nine months ended September 30, 2024,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expense of $121 million during the same period in 2023. The nine months ended September 30, 2024 was positively impacted by the $128 million gain on a sale of a financial asset to EchoStar and a $21 million gain on the Liberty Puerto Rico asset sale, partially offset by a $70 million loss in equity in earnings from our Invidi investment, including $63 million from our portion of Invidi’s goodwill impairment. The nine months ended September 30, 2023 was negatively impacted by a $192 million decrease in the fair value of our option to purchase certain of T-Mobile’s 800 MHz spectrum licenses, partially offset by $73 million of early debt extinguishment gains from the repurchases of our convertible notes. See Note 1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1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$81 million 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compared to a provision of $82 million during the same period in 2023. This change was primarily related to a decrease in “Income (loss) before income taxes” and the change in our effective tax rate. Our effective tax rate during the nine months ended September 30, 2024 and 2023 was impacted by federal and state valuation allowances.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96" w:lineRule="exact"/>
        <w:rPr>
          <w:sz w:val="20"/>
          <w:szCs w:val="20"/>
          <w:color w:val="auto"/>
        </w:rPr>
      </w:pPr>
    </w:p>
    <w:p>
      <w:pPr>
        <w:ind w:left="60" w:right="279"/>
        <w:spacing w:after="0" w:line="256" w:lineRule="auto"/>
        <w:rPr>
          <w:sz w:val="20"/>
          <w:szCs w:val="20"/>
          <w:color w:val="auto"/>
        </w:rPr>
      </w:pPr>
      <w:r>
        <w:rPr>
          <w:rFonts w:ascii="Arial" w:cs="Arial" w:eastAsia="Arial" w:hAnsi="Arial"/>
          <w:sz w:val="17"/>
          <w:szCs w:val="17"/>
          <w:color w:val="auto"/>
        </w:rPr>
        <w:t>It is management’s intent to provide non-GAAP financial information to enhance the understanding of our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EBITDA</w:t>
      </w:r>
    </w:p>
    <w:p>
      <w:pPr>
        <w:spacing w:after="0" w:line="19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Consolidated EBITDA is not a measure determined in accordance with GAAP and should not be considered a substitute for operating income, net income or any other measure determined in accordance with GAAP. Consolidated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36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w:t>
            </w:r>
          </w:p>
        </w:tc>
        <w:tc>
          <w:tcPr>
            <w:tcW w:w="23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20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r>
      <w:tr>
        <w:trPr>
          <w:trHeight w:val="189"/>
        </w:trPr>
        <w:tc>
          <w:tcPr>
            <w:tcW w:w="41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right"/>
              <w:ind w:right="49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DISH Network</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(210,523)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(139,185)</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(436,251)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283,843</w:t>
            </w:r>
          </w:p>
        </w:tc>
        <w:tc>
          <w:tcPr>
            <w:tcW w:w="180" w:type="dxa"/>
            <w:vAlign w:val="bottom"/>
            <w:shd w:val="clear" w:color="auto" w:fill="CCEEFF"/>
          </w:tcPr>
          <w:p>
            <w:pPr>
              <w:spacing w:after="0"/>
              <w:rPr>
                <w:sz w:val="16"/>
                <w:szCs w:val="16"/>
                <w:color w:val="auto"/>
              </w:rPr>
            </w:pPr>
          </w:p>
        </w:tc>
      </w:tr>
      <w:tr>
        <w:trPr>
          <w:trHeight w:val="189"/>
        </w:trPr>
        <w:tc>
          <w:tcPr>
            <w:tcW w:w="4160" w:type="dxa"/>
            <w:vAlign w:val="bottom"/>
          </w:tcPr>
          <w:p>
            <w:pPr>
              <w:ind w:left="20"/>
              <w:spacing w:after="0"/>
              <w:rPr>
                <w:sz w:val="20"/>
                <w:szCs w:val="20"/>
                <w:color w:val="auto"/>
              </w:rPr>
            </w:pPr>
            <w:r>
              <w:rPr>
                <w:rFonts w:ascii="Arial" w:cs="Arial" w:eastAsia="Arial" w:hAnsi="Arial"/>
                <w:sz w:val="16"/>
                <w:szCs w:val="16"/>
                <w:color w:val="auto"/>
              </w:rPr>
              <w:t>Interest, net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151,998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(8,476)</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464,027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(63,528)</w:t>
            </w:r>
          </w:p>
        </w:tc>
      </w:tr>
      <w:tr>
        <w:trPr>
          <w:trHeight w:val="18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 net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(47,971)</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(67,988)</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(80,872)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81,930</w:t>
            </w:r>
          </w:p>
        </w:tc>
        <w:tc>
          <w:tcPr>
            <w:tcW w:w="180" w:type="dxa"/>
            <w:vAlign w:val="bottom"/>
            <w:shd w:val="clear" w:color="auto" w:fill="CCEEFF"/>
          </w:tcPr>
          <w:p>
            <w:pPr>
              <w:spacing w:after="0"/>
              <w:rPr>
                <w:sz w:val="16"/>
                <w:szCs w:val="16"/>
                <w:color w:val="auto"/>
              </w:rPr>
            </w:pPr>
          </w:p>
        </w:tc>
      </w:tr>
      <w:tr>
        <w:trPr>
          <w:trHeight w:val="18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364,199</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294,797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1,122,383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806,504</w:t>
            </w:r>
          </w:p>
        </w:tc>
        <w:tc>
          <w:tcPr>
            <w:tcW w:w="180" w:type="dxa"/>
            <w:vAlign w:val="bottom"/>
            <w:tcBorders>
              <w:bottom w:val="single" w:sz="8" w:color="CCEEFF"/>
            </w:tcBorders>
          </w:tcPr>
          <w:p>
            <w:pPr>
              <w:spacing w:after="0"/>
              <w:rPr>
                <w:sz w:val="16"/>
                <w:szCs w:val="16"/>
                <w:color w:val="auto"/>
              </w:rPr>
            </w:pPr>
          </w:p>
        </w:tc>
      </w:tr>
      <w:tr>
        <w:trPr>
          <w:trHeight w:val="183"/>
        </w:trPr>
        <w:tc>
          <w:tcPr>
            <w:tcW w:w="416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Consolidated EBITDA</w:t>
            </w: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257,703</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79,148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1,069,287</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1,108,749</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changes in Consolidated EBITDA during the three and nine months ended September 30, 2024, compared to the same periods in 2023, were primarily a result of the factors described in connection with operating revenues and operating expenses, as well as the impact from changes in “Other, net” during the three and nine months ended September 30, 2024 and 2023.</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 – Continued</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OIBDA</w:t>
      </w:r>
    </w:p>
    <w:p>
      <w:pPr>
        <w:spacing w:after="0" w:line="198" w:lineRule="exact"/>
        <w:rPr>
          <w:sz w:val="20"/>
          <w:szCs w:val="20"/>
          <w:color w:val="auto"/>
        </w:rPr>
      </w:pPr>
    </w:p>
    <w:p>
      <w:pPr>
        <w:ind w:left="60" w:right="199" w:hanging="12"/>
        <w:spacing w:after="0"/>
        <w:rPr>
          <w:sz w:val="20"/>
          <w:szCs w:val="20"/>
          <w:color w:val="auto"/>
        </w:rPr>
      </w:pPr>
      <w:r>
        <w:rPr>
          <w:rFonts w:ascii="Arial" w:cs="Arial" w:eastAsia="Arial" w:hAnsi="Arial"/>
          <w:sz w:val="18"/>
          <w:szCs w:val="18"/>
          <w:color w:val="auto"/>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10 to the Notes to our Condensed Consolidated Financial Statements for further information.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Retail</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5G Network</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September 30, 2024</w:t>
            </w:r>
          </w:p>
        </w:tc>
        <w:tc>
          <w:tcPr>
            <w:tcW w:w="18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Pay-TV</w:t>
            </w: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Wireless</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Deployment</w:t>
            </w: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83"/>
        </w:trPr>
        <w:tc>
          <w:tcPr>
            <w:tcW w:w="3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ind w:left="180"/>
              <w:spacing w:after="0" w:line="183" w:lineRule="exact"/>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588,501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(113,792)$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(599,022)$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87,502</w:t>
            </w:r>
          </w:p>
        </w:tc>
        <w:tc>
          <w:tcPr>
            <w:tcW w:w="14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23,037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269,529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(15,869)</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364,199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676,003</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rPr>
              <w:t>(90,755)</w:t>
            </w: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rPr>
              <w:t>(329,493)</w:t>
            </w: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(16,056)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239,699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2023</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589,465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(168,166)$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(463,105)$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(41,806)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86,100</w:t>
            </w:r>
          </w:p>
        </w:tc>
        <w:tc>
          <w:tcPr>
            <w:tcW w:w="14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62,549</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163,959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(17,811)</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294,797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675,565</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rPr>
              <w:t>(105,617)</w:t>
            </w: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rPr>
              <w:t>(299,146)</w:t>
            </w: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(17,811)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252,991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Retail</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5G Network</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Nine Months Ended September 30, 2024</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Pay-TV</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Wireless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Deployment</w:t>
            </w: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Consolidated</w:t>
            </w:r>
          </w:p>
        </w:tc>
      </w:tr>
      <w:tr>
        <w:trPr>
          <w:trHeight w:val="183"/>
        </w:trPr>
        <w:tc>
          <w:tcPr>
            <w:tcW w:w="3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20" w:type="dxa"/>
            <w:vAlign w:val="bottom"/>
            <w:gridSpan w:val="3"/>
          </w:tcPr>
          <w:p>
            <w:pPr>
              <w:ind w:left="140"/>
              <w:spacing w:after="0" w:line="183" w:lineRule="exact"/>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$ 1,926,541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(309,571)$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(1,747,262)$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(130,292)</w:t>
            </w: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6"/>
                <w:szCs w:val="16"/>
                <w:color w:val="auto"/>
              </w:rPr>
              <w:t>258,153</w:t>
            </w:r>
          </w:p>
        </w:tc>
        <w:tc>
          <w:tcPr>
            <w:tcW w:w="14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135,303</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772,635</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(43,708)</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1,122,383</w:t>
            </w:r>
          </w:p>
        </w:tc>
      </w:tr>
      <w:tr>
        <w:trPr>
          <w:trHeight w:val="183"/>
        </w:trPr>
        <w:tc>
          <w:tcPr>
            <w:tcW w:w="38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$ 2,184,694</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rPr>
              <w:t>(174,268)</w:t>
            </w: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rPr>
              <w:t>(974,627)</w:t>
            </w: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(43,708)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992,091</w:t>
            </w:r>
          </w:p>
        </w:tc>
      </w:tr>
      <w:tr>
        <w:trPr>
          <w:trHeight w:val="20"/>
        </w:trPr>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0"/>
        </w:trPr>
        <w:tc>
          <w:tcPr>
            <w:tcW w:w="3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2023</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3"/>
        </w:trPr>
        <w:tc>
          <w:tcPr>
            <w:tcW w:w="3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$ 1,985,490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(298,872)$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(1,198,667)$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487,951</w:t>
            </w:r>
          </w:p>
        </w:tc>
      </w:tr>
      <w:tr>
        <w:trPr>
          <w:trHeight w:val="189"/>
        </w:trPr>
        <w:tc>
          <w:tcPr>
            <w:tcW w:w="3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6"/>
                <w:szCs w:val="16"/>
                <w:color w:val="auto"/>
              </w:rPr>
              <w:t>286,148</w:t>
            </w:r>
          </w:p>
        </w:tc>
        <w:tc>
          <w:tcPr>
            <w:tcW w:w="14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168,597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385,070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(33,311)</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806,504</w:t>
            </w:r>
          </w:p>
        </w:tc>
      </w:tr>
      <w:tr>
        <w:trPr>
          <w:trHeight w:val="183"/>
        </w:trPr>
        <w:tc>
          <w:tcPr>
            <w:tcW w:w="38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$ 2,271,638</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rPr>
              <w:t>(130,275)</w:t>
            </w: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rPr>
              <w:t>(813,597)</w:t>
            </w: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(33,311)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1,294,455</w:t>
            </w:r>
          </w:p>
        </w:tc>
      </w:tr>
      <w:tr>
        <w:trPr>
          <w:trHeight w:val="20"/>
        </w:trPr>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changes in OIBDA during the three and nine months ended September 30, 2024, compared to the same periods in 2023, were primarily a result of the factors described in connection with operating revenues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198" w:lineRule="exact"/>
        <w:rPr>
          <w:sz w:val="20"/>
          <w:szCs w:val="20"/>
          <w:color w:val="auto"/>
        </w:rPr>
      </w:pPr>
    </w:p>
    <w:p>
      <w:pPr>
        <w:jc w:val="both"/>
        <w:ind w:left="60" w:right="379"/>
        <w:spacing w:after="0" w:line="255"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w:t>
      </w:r>
    </w:p>
    <w:p>
      <w:pPr>
        <w:spacing w:after="0" w:line="2" w:lineRule="exact"/>
        <w:rPr>
          <w:sz w:val="20"/>
          <w:szCs w:val="20"/>
          <w:color w:val="auto"/>
        </w:rPr>
      </w:pPr>
    </w:p>
    <w:p>
      <w:pPr>
        <w:ind w:left="60" w:right="199"/>
        <w:spacing w:after="0" w:line="250" w:lineRule="auto"/>
        <w:rPr>
          <w:sz w:val="20"/>
          <w:szCs w:val="20"/>
          <w:color w:val="auto"/>
        </w:rPr>
      </w:pPr>
      <w:r>
        <w:rPr>
          <w:rFonts w:ascii="Arial" w:cs="Arial" w:eastAsia="Arial" w:hAnsi="Arial"/>
          <w:sz w:val="18"/>
          <w:szCs w:val="18"/>
          <w:color w:val="auto"/>
        </w:rPr>
        <w:t>Based upon that evaluation, our Chief Executive Officer and Chief Financial Officer concluded that our disclosure controls and procedures were effective as of the end of the period covered by this report.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7"/>
          <w:szCs w:val="17"/>
          <w:color w:val="auto"/>
        </w:rPr>
        <w:t>See Note 9 “</w:t>
      </w:r>
      <w:r>
        <w:rPr>
          <w:rFonts w:ascii="Arial" w:cs="Arial" w:eastAsia="Arial" w:hAnsi="Arial"/>
          <w:sz w:val="17"/>
          <w:szCs w:val="17"/>
          <w:i w:val="1"/>
          <w:iCs w:val="1"/>
          <w:color w:val="auto"/>
        </w:rPr>
        <w:t>Commitments and Contingencies – Contingencies – Litigation</w:t>
      </w:r>
      <w:r>
        <w:rPr>
          <w:rFonts w:ascii="Arial" w:cs="Arial" w:eastAsia="Arial" w:hAnsi="Arial"/>
          <w:sz w:val="17"/>
          <w:szCs w:val="17"/>
          <w:color w:val="auto"/>
        </w:rPr>
        <w:t>” in the Notes to our Condensed Consolidated Financial Statements for information regarding certain legal proceedings in which we are involved.</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Item 1A, “Risk Factors,” of our Annual Report on Form 10-K for the year ended December 31, 2023 includes a detailed discussion of our risk factors. The information presented below updates, and should be read in conjunction with, the risk factors and information disclosed in our Annual Report on Form 10-K for the year ended December 31, 2023.</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the DIRECTV Transaction</w:t>
      </w:r>
    </w:p>
    <w:p>
      <w:pPr>
        <w:spacing w:after="0" w:line="200"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Termination of the Purchase Agreement or failure to otherwise complete the DIRECTV Transaction could have a material adverse impact on our business, financial condition and results of operations.</w:t>
      </w:r>
    </w:p>
    <w:p>
      <w:pPr>
        <w:spacing w:after="0" w:line="126"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Termination of the Purchase Agreement or any failure to otherwise complete the DIRECTV Transaction may result in various adverse consequences, including:</w:t>
      </w:r>
    </w:p>
    <w:p>
      <w:pPr>
        <w:spacing w:after="0" w:line="140"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not being able to realize the anticipated benefits of the DIRECTV Transaction;</w:t>
      </w:r>
    </w:p>
    <w:p>
      <w:pPr>
        <w:spacing w:after="0" w:line="26" w:lineRule="exact"/>
        <w:rPr>
          <w:rFonts w:ascii="Times New Roman" w:cs="Times New Roman" w:eastAsia="Times New Roman" w:hAnsi="Times New Roman"/>
          <w:sz w:val="18"/>
          <w:szCs w:val="18"/>
          <w:color w:val="auto"/>
        </w:rPr>
      </w:pPr>
    </w:p>
    <w:p>
      <w:pPr>
        <w:jc w:val="both"/>
        <w:ind w:left="720" w:right="319" w:hanging="319"/>
        <w:spacing w:after="0" w:line="234"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being materially adversely impacted by the failure to pursue other beneficial opportunities due to the focus of management on the DIRECTV Transaction, without realizing any of the anticipated benefits of completing the DIRECTV Transaction; and</w:t>
      </w:r>
    </w:p>
    <w:p>
      <w:pPr>
        <w:spacing w:after="0" w:line="1" w:lineRule="exact"/>
        <w:rPr>
          <w:rFonts w:ascii="Times New Roman" w:cs="Times New Roman" w:eastAsia="Times New Roman" w:hAnsi="Times New Roman"/>
          <w:sz w:val="18"/>
          <w:szCs w:val="18"/>
          <w:color w:val="auto"/>
        </w:rPr>
      </w:pPr>
    </w:p>
    <w:p>
      <w:pPr>
        <w:ind w:left="720" w:right="519" w:hanging="319"/>
        <w:spacing w:after="0" w:line="249"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negative reactions from the financial markets, respective customers and other stakeholders possibly related to the above.</w:t>
      </w:r>
    </w:p>
    <w:p>
      <w:pPr>
        <w:spacing w:after="0" w:line="159"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If any of the foregoing consequences were to occur as a result of termination of the Purchase Agreement, it could have a material adverse impact on our business, financial condition and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right="299"/>
        <w:spacing w:after="0" w:line="268" w:lineRule="auto"/>
        <w:rPr>
          <w:sz w:val="20"/>
          <w:szCs w:val="20"/>
          <w:color w:val="auto"/>
        </w:rPr>
      </w:pPr>
      <w:r>
        <w:rPr>
          <w:rFonts w:ascii="Arial" w:cs="Arial" w:eastAsia="Arial" w:hAnsi="Arial"/>
          <w:sz w:val="17"/>
          <w:szCs w:val="17"/>
          <w:b w:val="1"/>
          <w:bCs w:val="1"/>
          <w:i w:val="1"/>
          <w:iCs w:val="1"/>
          <w:color w:val="auto"/>
        </w:rPr>
        <w:t>The timing of the completion of the DIRECTV Transaction is not certain, and is subject to certain conditions, some of which we cannot control, which could result in the DIRECTV Transaction not being completed or being completed later than we expect, which could have a material adverse impact on our costs and revenues or otherwise reducing the anticipated benefits of the DIRECTV Transaction.</w:t>
      </w:r>
    </w:p>
    <w:p>
      <w:pPr>
        <w:spacing w:after="0" w:line="137"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Pursuant to the Purchase Agreement, the completion of the DIRECTV Transaction is subject to certain closing conditions, including, for example, the satisfaction of certain antitrust and other regulatory approvals and the successful exchange of DISH DBS Notes, none of which have been satisfied, and the absence of legal restraints prohibiting the completion of the DIRECTV Transaction. Governmental agencies may not approve the DIRECTV Transaction or may impose conditions to any such approval or require changes to the terms of the DIRECTV Transaction. Any such conditions or changes could have the effect of delaying completion of the DIRECTV Transaction, imposing costs on or limiting our revenues or otherwise reducing the anticipated benefits of the DIRECTV Transaction. Furthermore, under the Purchase Agreement, each party’s obligation to consummate the DIRECTV Transaction is also subject to the accuracy of the representations and warranties of the other party (subject to certain qualifications and exceptions) and the performance in all material respects of the other party’s covenants under the Purchase Agreement, including, with respect to us, certain covenants regarding the operation of our business prior to completion of the DIRECTV Transaction. As a result of these conditions, we cannot provide assurance that the DIRECTV Transaction will be completed on the terms or timeline currently contemplated, or at all. If such conditions are not fulfilled by the Outside Date or, if for any other reason, the DIRECTV Transaction is not completed on or prior to the Outside Date (as defined in the Purchase Agreement), the Purchase Agreement may be terminated and the DIRECTV Transaction may not be completed.</w:t>
      </w:r>
    </w:p>
    <w:p>
      <w:pPr>
        <w:spacing w:after="0" w:line="161" w:lineRule="exact"/>
        <w:rPr>
          <w:sz w:val="20"/>
          <w:szCs w:val="20"/>
          <w:color w:val="auto"/>
        </w:rPr>
      </w:pPr>
    </w:p>
    <w:p>
      <w:pPr>
        <w:jc w:val="both"/>
        <w:ind w:left="60" w:right="139"/>
        <w:spacing w:after="0" w:line="256" w:lineRule="auto"/>
        <w:rPr>
          <w:sz w:val="20"/>
          <w:szCs w:val="20"/>
          <w:color w:val="auto"/>
        </w:rPr>
      </w:pPr>
      <w:r>
        <w:rPr>
          <w:rFonts w:ascii="Arial" w:cs="Arial" w:eastAsia="Arial" w:hAnsi="Arial"/>
          <w:sz w:val="18"/>
          <w:szCs w:val="18"/>
          <w:b w:val="1"/>
          <w:bCs w:val="1"/>
          <w:i w:val="1"/>
          <w:iCs w:val="1"/>
          <w:color w:val="auto"/>
        </w:rPr>
        <w:t>There is no assurance that we will be able to obtain the required governmental and regulatory approvals to complete the DIRECTV Transaction, which, if delayed or not granted, is likely to delay or jeopardize the DIRECTV Transaction.</w:t>
      </w:r>
    </w:p>
    <w:p>
      <w:pPr>
        <w:spacing w:after="0" w:line="14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DIRECTV Transaction is conditioned on the expiration or termination of the applicable waiting period (or extension thereof) under the Hart-Scott-Rodino Antitrust Improvements Act of 1976, as amended, approval from the U.S. Federal Communications Commission (“FCC”) and possibly the consent of certain other merger control authorities and other governmental entities as set forth in the Purchase Agreement (collectively, “Regulatory Approval”). These governmental and regulatory agencies have broad discretion in administering the applicable governing regulations. As a condition to their approval of the transactions contemplated by the Purchase Agreement, those agencies may impose requirements, limitations or costs or require divestitures or place restrictions on the conduct of our business. The required approvals may not be obtained or the required conditions to the DIRECTV Transaction may not be satisfied, or, even if the required approvals are obtained and the conditions to the completion of the DIRECTV Transaction are satisfied, the terms, conditions and timing of such approvals are uncertain. Any delay in completing the DIRECTV Transaction could have a material adverse impact on our business, financial condition and results of operations.  </w:t>
      </w:r>
    </w:p>
    <w:p>
      <w:pPr>
        <w:spacing w:after="0" w:line="167"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b w:val="1"/>
          <w:bCs w:val="1"/>
          <w:i w:val="1"/>
          <w:iCs w:val="1"/>
          <w:color w:val="auto"/>
        </w:rPr>
        <w:t>The DIRECTV Transaction is conditioned on the consummation of a pre-closing reorganization, which requires the completion of transfers of certain assets and liabilities between us and certain of our affiliates, which transfers may require consents from or approval of third parties.</w:t>
      </w:r>
    </w:p>
    <w:p>
      <w:pPr>
        <w:spacing w:after="0" w:line="153"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7"/>
          <w:szCs w:val="17"/>
          <w:color w:val="auto"/>
        </w:rPr>
        <w:t>The Purchase Agreement is conditioned, among other things, upon the consummation of a pre-closing reorganization, which requires, among other things, that certain contracts and other assets, rights and liabilities are to be transferred between DISH DBS and certain of its affiliates in connection with the DIRECTV Transaction, as further described in the Purchase Agreement. The transfer of certain of these contracts and other assets, rights and liabilities may require consents or approvals of third parties or provide other rights to third parties.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Some parties may use consent requirements or other rights to terminate contracts or obtain more favorable contractual terms from us, which, for example, could take the form of price increases for services or assets that we require, forcing us and/or our affiliates to either expend additional resources in order to obtain the services or assets previously provided under the contracts or to make arrangements with new third parties. If we do not obtain required consents or approvals, the DIRECTV Transaction may not be completed, or, if completed, we may not be reflective of the currently intended DIRECTV Transaction and we may be required to seek alternative arrangements, which may not come on a timely basis or at all, or be more costly and/or of lower quality.</w:t>
      </w:r>
    </w:p>
    <w:p>
      <w:pPr>
        <w:spacing w:after="0" w:line="155" w:lineRule="exact"/>
        <w:rPr>
          <w:sz w:val="20"/>
          <w:szCs w:val="20"/>
          <w:color w:val="auto"/>
        </w:rPr>
      </w:pPr>
    </w:p>
    <w:p>
      <w:pPr>
        <w:ind w:left="60" w:right="419"/>
        <w:spacing w:after="0" w:line="275" w:lineRule="auto"/>
        <w:rPr>
          <w:sz w:val="20"/>
          <w:szCs w:val="20"/>
          <w:color w:val="auto"/>
        </w:rPr>
      </w:pPr>
      <w:r>
        <w:rPr>
          <w:rFonts w:ascii="Arial" w:cs="Arial" w:eastAsia="Arial" w:hAnsi="Arial"/>
          <w:sz w:val="17"/>
          <w:szCs w:val="17"/>
          <w:color w:val="auto"/>
        </w:rPr>
        <w:t>The termination, modification, replacement or replication of these contracts or permits or the failure to timely complete the transfer or assignment of these contracts could have a material adverse impact on our business, financial condition and results of operations and on the prospects for completion of the DIRECTV Transaction.</w:t>
      </w:r>
    </w:p>
    <w:p>
      <w:pPr>
        <w:spacing w:after="0" w:line="181"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have and continue to incur substantial transaction-related costs in connection with the DIRECTV Transaction. If the DIRECTV Transaction does not occur, we will not benefit from these transaction related costs.</w:t>
      </w:r>
    </w:p>
    <w:p>
      <w:pPr>
        <w:spacing w:after="0" w:line="146"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have incurred and will continue to incur a number of non-recurring costs associated with the completion of the DIRECTV Transaction and the satisfaction of the related closing conditions, which could be substantial. Nonrecurring transaction costs may include, but are not limited to, fees paid to legal, financial, consulting, investment banking and accounting advisors and costs incurred in connection with obtaining required consents or approvals from governmental authorities or contract counterparties. Such costs may be material and could have a material adverse impact on our business, financial condition and results of operations. Furthermore, if the DIRECTV Transaction does not occur in a timely manner or at all, we may not be able to derive any benefit from such costs.</w:t>
      </w:r>
    </w:p>
    <w:p>
      <w:pPr>
        <w:spacing w:after="0" w:line="169" w:lineRule="exact"/>
        <w:rPr>
          <w:sz w:val="20"/>
          <w:szCs w:val="20"/>
          <w:color w:val="auto"/>
        </w:rPr>
      </w:pPr>
    </w:p>
    <w:p>
      <w:pPr>
        <w:ind w:left="60" w:right="279"/>
        <w:spacing w:after="0" w:line="278" w:lineRule="auto"/>
        <w:rPr>
          <w:sz w:val="20"/>
          <w:szCs w:val="20"/>
          <w:color w:val="auto"/>
        </w:rPr>
      </w:pPr>
      <w:r>
        <w:rPr>
          <w:rFonts w:ascii="Arial" w:cs="Arial" w:eastAsia="Arial" w:hAnsi="Arial"/>
          <w:sz w:val="18"/>
          <w:szCs w:val="18"/>
          <w:b w:val="1"/>
          <w:bCs w:val="1"/>
          <w:i w:val="1"/>
          <w:iCs w:val="1"/>
          <w:color w:val="auto"/>
        </w:rPr>
        <w:t>The announcement and pendency of the DIRECTV Transaction could have a material adverse impact on our business, financial condition and results of operations.</w:t>
      </w:r>
    </w:p>
    <w:p>
      <w:pPr>
        <w:spacing w:after="0" w:line="12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announcement and pendency of the DIRECTV Transaction could cause disruptions in and create uncertainty surrounding our business, including affecting our relationships with respective existing and future customers, suppliers, vendors and employees, which could have a material adverse impact on our business, financial condition and results of operations, regardless of whether the DIRECTV Transaction is completed. In particular, we could potentially lose customers, suppliers or vendors, and new contracts with any of these third parties could be delayed, increased or decreased, and we may lose important personnel as a result of the departure of employees who decide to pursue other opportunities in light of the DIRECTV Transaction.  </w:t>
      </w:r>
    </w:p>
    <w:p>
      <w:pPr>
        <w:spacing w:after="0" w:line="189"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Additionally, uncertainty about the completion and effect of the DIRECTV Transaction on our business, financial condition and results of operations may impair our ability to attract, retain and motivate personnel until the DIRECTV Transaction is completed. Employee retention may be particularly challenging during the pendency of the DIRECTV Transaction, as employees may feel uncertain about their future roles within each company after the completion of the DIRECTV Transaction. If such employees depart because of issues relating to the uncertainty relating to the DIRECTV Transaction or a desire not to continue to be employees of ours or DTV after the completion of the DIRECTV Transaction, this could have a material adverse impact on our business, financial condition and results of operations.</w:t>
      </w:r>
    </w:p>
    <w:p>
      <w:pPr>
        <w:spacing w:after="0" w:line="169"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addition, we have expended, and continue to expend, significant management resources in an effort to complete the DIRECTV Transaction, which are being diverted from our day-to-day operations and future growth plans. In addition, the failure to complete the DIRECTV Transaction may result in negative publicity and/or a negative impression of us in the investment community and may affect our relationship with employees, customers and other partners in the business community.</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The Purchase Agreement subjects us to restrictions on our business activities prior to the completion of the DIRECTV Transaction.</w:t>
      </w:r>
    </w:p>
    <w:p>
      <w:pPr>
        <w:spacing w:after="0" w:line="12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Purchase Agreement subjects us and our subsidiaries, particularly DISH DBS, to restrictions on our business activities prior to the completion of the DIRECTV Transaction. The Purchase Agreement obligates us generally to, among other things, operate our Pay-TV business in the ordinary course until the completion of the DIRECTV Transaction and to use our commercially reasonable efforts to preserve a substantially intact business organizations, operations and goodwill of the business and maintain in all material respects commercial relationships.</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These restrictions on our business activities may adversely affect our ability to execute certain business strategies outside of the ordinary course of business, including paying dividends or making distributions, pursuing attractive business opportunities, making certain investments or acquisitions, hiring or terminating certain employees, selling, leasing, or licensing material real property, settling litigation matters, entering into certain material contracts, selling assets, engaging in capital expenditures, incurring indebtedness or making changes to its business. Such limitations could have a material adverse impact on our business, financial condition and results of operations prior to the completion of the DIRECTV Transaction.</w:t>
      </w:r>
    </w:p>
    <w:p>
      <w:pPr>
        <w:spacing w:after="0" w:line="171"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 risks described above may be exacerbated by delays or other adverse developments with respect to the completion of the DIRECTV Transaction. For additional information, see the complete set of terms and conditions of the DIRECTV Transaction included in the Purchase Agreement.</w:t>
      </w:r>
    </w:p>
    <w:p>
      <w:pPr>
        <w:spacing w:after="0" w:line="155"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Purchase Agreement also obligates us to, among other things, incur certain costs, make substantial investments in the Pay-TV business and take other actions, that absent the Purchase Agreement, we may or may not have taken. Absent certain exemptions in the Purchase Agreement, we are obligated to take such actions regardless if the DIRECTV Transaction is completed. These actions may be different than the historical manner in which we ran the business.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 a holding company, we are dependent on the operations and funds of our subsidiaries.</w:t>
      </w:r>
    </w:p>
    <w:p>
      <w:pPr>
        <w:spacing w:after="0" w:line="19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are a holding company with no business operations of our own. Our only significant assets are the outstanding equity interests in our subsidiaries. As a result, we rely on cash flows from subsidiaries to meet our obligations, including to service any of our debt obligations. On September 30, 2024, we announced a sale of our Pay-TV business, from which we derive a substantial portion of our cash flow. With the sale of that business, and the interim operating covenants that restrict our access to that cash, we will be required to, among other things, sell our Pay-TV business and transfer at least $400 million of cash (subject to certain upward adjustments) to DTV upon closing of the DIRECTV Transaction and we are prevented from declaring any dividend or otherwise permitting any leakage in excess of $1.520 billion (subject to certain adjustments set forth in the Purchase Agreement, including transaction expenses and certain accrued interest adjustments and adjustments tied to certain key performance indicators) between the signing and closing of the DIRECTV Transaction.</w:t>
      </w:r>
    </w:p>
    <w:p>
      <w:pPr>
        <w:spacing w:after="0" w:line="17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As a result, our ability to fund our Wireless business will be limited to by our cash flow from operations and ability to generate capital from our other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12" w:lineRule="exact"/>
        <w:rPr>
          <w:sz w:val="20"/>
          <w:szCs w:val="20"/>
          <w:color w:val="auto"/>
        </w:rPr>
      </w:pPr>
    </w:p>
    <w:p>
      <w:pPr>
        <w:jc w:val="both"/>
        <w:ind w:left="1220" w:right="559" w:hanging="714"/>
        <w:spacing w:after="0" w:line="25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22">
        <w:r>
          <w:rPr>
            <w:rFonts w:ascii="Arial" w:cs="Arial" w:eastAsia="Arial" w:hAnsi="Arial"/>
            <w:sz w:val="18"/>
            <w:szCs w:val="18"/>
            <w:u w:val="single" w:color="auto"/>
            <w:color w:val="0000EE"/>
          </w:rPr>
          <w:t>Equity Purchase Agreement, dated September 29, 2024, by and between EchoStar</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Corporation and DirecTV Holdings, LLC (incorporated by reference from Exhibit 2.1 of the</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Current Report on Form 8-K of EchoStar Corporation filed September 30, 2024).</w:t>
        </w:r>
      </w:hyperlink>
    </w:p>
    <w:p>
      <w:pPr>
        <w:spacing w:after="0" w:line="155" w:lineRule="exact"/>
        <w:rPr>
          <w:rFonts w:ascii="Arial" w:cs="Arial" w:eastAsia="Arial" w:hAnsi="Arial"/>
          <w:sz w:val="18"/>
          <w:szCs w:val="18"/>
          <w:u w:val="single" w:color="auto"/>
          <w:color w:val="0000EE"/>
        </w:rPr>
      </w:pPr>
    </w:p>
    <w:p>
      <w:pPr>
        <w:jc w:val="both"/>
        <w:ind w:left="1220" w:right="559" w:hanging="714"/>
        <w:spacing w:after="0" w:line="24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23">
        <w:r>
          <w:rPr>
            <w:rFonts w:ascii="Arial" w:cs="Arial" w:eastAsia="Arial" w:hAnsi="Arial"/>
            <w:sz w:val="18"/>
            <w:szCs w:val="18"/>
            <w:u w:val="single" w:color="auto"/>
            <w:color w:val="0000EE"/>
          </w:rPr>
          <w:t>Loan and Security Agreement, dated September 29, 2024, by and among DISH DBS Issuer</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LLC, as borrower, Alter Domus (US) LLC, as administrative agent, and the lenders party</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thereto (incorporated by reference from Exhibit 10.1 of the Current Report on Form 8-K of</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EchoStar Corporation filed September 30, 2024).</w:t>
        </w:r>
      </w:hyperlink>
    </w:p>
    <w:p>
      <w:pPr>
        <w:spacing w:after="0" w:line="160" w:lineRule="exact"/>
        <w:rPr>
          <w:rFonts w:ascii="Arial" w:cs="Arial" w:eastAsia="Arial" w:hAnsi="Arial"/>
          <w:sz w:val="18"/>
          <w:szCs w:val="18"/>
          <w:u w:val="single" w:color="auto"/>
          <w:color w:val="0000EE"/>
        </w:rPr>
      </w:pPr>
    </w:p>
    <w:p>
      <w:pPr>
        <w:jc w:val="both"/>
        <w:ind w:left="1220" w:right="559" w:hanging="714"/>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r:id="rId124">
        <w:r>
          <w:rPr>
            <w:rFonts w:ascii="Arial" w:cs="Arial" w:eastAsia="Arial" w:hAnsi="Arial"/>
            <w:sz w:val="17"/>
            <w:szCs w:val="17"/>
            <w:u w:val="single" w:color="auto"/>
            <w:color w:val="0000EE"/>
          </w:rPr>
          <w:t>Transaction Support Agreement, dated September 30, 2024, by and among EchoStar</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Corporation, DISH Network Corporation, and certain of their direct and indirect subsidiaries</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party thereto, and each Ad Hoc Group party thereto (incorporated by reference from Exhibit</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10.2 of the Current Report on Form 8-K of EchoStar Corporation filed September 30, 2024).</w:t>
        </w:r>
      </w:hyperlink>
    </w:p>
    <w:p>
      <w:pPr>
        <w:spacing w:after="0" w:line="106" w:lineRule="exact"/>
        <w:rPr>
          <w:rFonts w:ascii="Arial" w:cs="Arial" w:eastAsia="Arial" w:hAnsi="Arial"/>
          <w:sz w:val="17"/>
          <w:szCs w:val="17"/>
          <w:u w:val="single" w:color="auto"/>
          <w:color w:val="0000EE"/>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31.1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Executive Officer.</w:t>
      </w:r>
    </w:p>
    <w:p>
      <w:pPr>
        <w:spacing w:after="0" w:line="212" w:lineRule="exact"/>
        <w:rPr>
          <w:rFonts w:ascii="Arial" w:cs="Arial" w:eastAsia="Arial" w:hAnsi="Arial"/>
          <w:sz w:val="17"/>
          <w:szCs w:val="17"/>
          <w:u w:val="single" w:color="auto"/>
          <w:color w:val="0000EE"/>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31.2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Financial Officer.</w:t>
      </w:r>
    </w:p>
    <w:p>
      <w:pPr>
        <w:spacing w:after="0" w:line="212" w:lineRule="exact"/>
        <w:rPr>
          <w:rFonts w:ascii="Arial" w:cs="Arial" w:eastAsia="Arial" w:hAnsi="Arial"/>
          <w:sz w:val="17"/>
          <w:szCs w:val="17"/>
          <w:u w:val="single" w:color="auto"/>
          <w:color w:val="0000EE"/>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32.1</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Executive Officer.</w:t>
      </w:r>
    </w:p>
    <w:p>
      <w:pPr>
        <w:spacing w:after="0" w:line="212" w:lineRule="exact"/>
        <w:rPr>
          <w:rFonts w:ascii="Arial" w:cs="Arial" w:eastAsia="Arial" w:hAnsi="Arial"/>
          <w:sz w:val="17"/>
          <w:szCs w:val="17"/>
          <w:u w:val="single" w:color="auto"/>
          <w:color w:val="0000EE"/>
        </w:rPr>
      </w:pPr>
    </w:p>
    <w:p>
      <w:pPr>
        <w:ind w:left="500"/>
        <w:spacing w:after="0" w:line="207" w:lineRule="exact"/>
        <w:tabs>
          <w:tab w:leader="none" w:pos="1200" w:val="left"/>
        </w:tabs>
        <w:rPr>
          <w:sz w:val="20"/>
          <w:szCs w:val="20"/>
          <w:color w:val="auto"/>
        </w:rPr>
      </w:pPr>
      <w:r>
        <w:rPr>
          <w:rFonts w:ascii="Arial" w:cs="Arial" w:eastAsia="Arial" w:hAnsi="Arial"/>
          <w:sz w:val="18"/>
          <w:szCs w:val="18"/>
          <w:color w:val="auto"/>
        </w:rPr>
        <w:t>32.2</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Financial Officer.</w:t>
      </w:r>
    </w:p>
    <w:p>
      <w:pPr>
        <w:spacing w:after="0" w:line="212" w:lineRule="exact"/>
        <w:rPr>
          <w:rFonts w:ascii="Arial" w:cs="Arial" w:eastAsia="Arial" w:hAnsi="Arial"/>
          <w:sz w:val="17"/>
          <w:szCs w:val="17"/>
          <w:u w:val="single" w:color="auto"/>
          <w:color w:val="0000EE"/>
        </w:rPr>
      </w:pPr>
    </w:p>
    <w:p>
      <w:pPr>
        <w:ind w:left="1220" w:right="639" w:hanging="714"/>
        <w:spacing w:after="0" w:line="205" w:lineRule="exact"/>
        <w:tabs>
          <w:tab w:leader="none" w:pos="1200" w:val="left"/>
        </w:tabs>
        <w:rPr>
          <w:sz w:val="20"/>
          <w:szCs w:val="20"/>
          <w:color w:val="auto"/>
        </w:rPr>
      </w:pPr>
      <w:r>
        <w:rPr>
          <w:rFonts w:ascii="Arial" w:cs="Arial" w:eastAsia="Arial" w:hAnsi="Arial"/>
          <w:sz w:val="18"/>
          <w:szCs w:val="18"/>
          <w:color w:val="auto"/>
        </w:rPr>
        <w:t>101</w:t>
      </w:r>
      <w:r>
        <w:rPr>
          <w:rFonts w:ascii="MS PGothic" w:cs="MS PGothic" w:eastAsia="MS PGothic" w:hAnsi="MS PGothic"/>
          <w:sz w:val="18"/>
          <w:szCs w:val="18"/>
          <w:color w:val="auto"/>
        </w:rPr>
        <w:t>☐</w:t>
      </w:r>
      <w:r>
        <w:rPr>
          <w:rFonts w:ascii="Arial" w:cs="Arial" w:eastAsia="Arial" w:hAnsi="Arial"/>
          <w:sz w:val="18"/>
          <w:szCs w:val="18"/>
          <w:color w:val="auto"/>
        </w:rPr>
        <w:tab/>
        <w:t>The following materials from the Quarterly Report on Form 10-Q of DISH Network for the quarter ended September 30, 2024 filed on November 14, 2024,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p>
      <w:pPr>
        <w:spacing w:after="0" w:line="41" w:lineRule="exact"/>
        <w:rPr>
          <w:rFonts w:ascii="Arial" w:cs="Arial" w:eastAsia="Arial" w:hAnsi="Arial"/>
          <w:sz w:val="17"/>
          <w:szCs w:val="17"/>
          <w:u w:val="single" w:color="auto"/>
          <w:color w:val="0000EE"/>
        </w:rPr>
      </w:pPr>
    </w:p>
    <w:p>
      <w:pPr>
        <w:ind w:left="1220" w:right="559" w:hanging="714"/>
        <w:spacing w:after="0" w:line="214" w:lineRule="exact"/>
        <w:tabs>
          <w:tab w:leader="none" w:pos="1200" w:val="left"/>
        </w:tabs>
        <w:rPr>
          <w:sz w:val="20"/>
          <w:szCs w:val="20"/>
          <w:color w:val="auto"/>
        </w:rPr>
      </w:pPr>
      <w:r>
        <w:rPr>
          <w:rFonts w:ascii="Arial" w:cs="Arial" w:eastAsia="Arial" w:hAnsi="Arial"/>
          <w:sz w:val="18"/>
          <w:szCs w:val="18"/>
          <w:color w:val="auto"/>
        </w:rPr>
        <w:t>104</w:t>
      </w:r>
      <w:r>
        <w:rPr>
          <w:rFonts w:ascii="MS PGothic" w:cs="MS PGothic" w:eastAsia="MS PGothic" w:hAnsi="MS PGothic"/>
          <w:sz w:val="18"/>
          <w:szCs w:val="18"/>
          <w:color w:val="auto"/>
        </w:rPr>
        <w:t>☐</w:t>
      </w:r>
      <w:r>
        <w:rPr>
          <w:rFonts w:ascii="Arial" w:cs="Arial" w:eastAsia="Arial" w:hAnsi="Arial"/>
          <w:sz w:val="18"/>
          <w:szCs w:val="18"/>
          <w:color w:val="auto"/>
        </w:rPr>
        <w:tab/>
        <w:t>Cover Page Interactive Data File (the cover page XBRL tags are embedded in the Inline XBRL document).</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58420</wp:posOffset>
            </wp:positionV>
            <wp:extent cx="14141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8" w:lineRule="exact"/>
        <w:rPr>
          <w:rFonts w:ascii="Arial" w:cs="Arial" w:eastAsia="Arial" w:hAnsi="Arial"/>
          <w:sz w:val="17"/>
          <w:szCs w:val="17"/>
          <w:u w:val="single" w:color="auto"/>
          <w:color w:val="0000EE"/>
        </w:rPr>
      </w:pPr>
    </w:p>
    <w:p>
      <w:pPr>
        <w:ind w:left="600" w:hanging="550"/>
        <w:spacing w:after="0"/>
        <w:tabs>
          <w:tab w:leader="none" w:pos="600"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12" w:lineRule="exact"/>
        <w:rPr>
          <w:rFonts w:ascii="Arial" w:cs="Arial" w:eastAsia="Arial" w:hAnsi="Arial"/>
          <w:sz w:val="17"/>
          <w:szCs w:val="17"/>
          <w:u w:val="single" w:color="auto"/>
          <w:color w:val="0000EE"/>
        </w:rPr>
      </w:pPr>
    </w:p>
    <w:p>
      <w:pPr>
        <w:ind w:left="600" w:hanging="550"/>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73" w:lineRule="exact"/>
        <w:rPr>
          <w:rFonts w:ascii="Arial" w:cs="Arial" w:eastAsia="Arial" w:hAnsi="Arial"/>
          <w:sz w:val="17"/>
          <w:szCs w:val="17"/>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DISH NETWORK CORPORATION</w:t>
      </w:r>
    </w:p>
    <w:p>
      <w:pPr>
        <w:spacing w:after="0" w:line="19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Hamid Akhavan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686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1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(Duly Authorized Officer)</w:t>
      </w:r>
    </w:p>
    <w:p>
      <w:pPr>
        <w:spacing w:after="0" w:line="38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W. Orban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686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180" w:right="79"/>
        <w:spacing w:after="0" w:line="250" w:lineRule="auto"/>
        <w:rPr>
          <w:sz w:val="20"/>
          <w:szCs w:val="20"/>
          <w:color w:val="auto"/>
        </w:rPr>
      </w:pPr>
      <w:r>
        <w:rPr>
          <w:rFonts w:ascii="Arial" w:cs="Arial" w:eastAsia="Arial" w:hAnsi="Arial"/>
          <w:sz w:val="18"/>
          <w:szCs w:val="18"/>
          <w:color w:val="auto"/>
        </w:rPr>
        <w:t xml:space="preserve">Executive Vice President and Chief Financial Officer, DISH </w:t>
      </w:r>
      <w:r>
        <w:rPr>
          <w:rFonts w:ascii="Arial" w:cs="Arial" w:eastAsia="Arial" w:hAnsi="Arial"/>
          <w:sz w:val="18"/>
          <w:szCs w:val="18"/>
          <w:i w:val="1"/>
          <w:iCs w:val="1"/>
          <w:color w:val="auto"/>
        </w:rPr>
        <w:t>(Principal Financial Officer)</w:t>
      </w:r>
    </w:p>
    <w:p>
      <w:pPr>
        <w:spacing w:after="0" w:line="36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James S. Allen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James S.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-127635</wp:posOffset>
            </wp:positionV>
            <wp:extent cx="27686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ind w:left="4180"/>
        <w:spacing w:after="0" w:line="234" w:lineRule="auto"/>
        <w:rPr>
          <w:sz w:val="20"/>
          <w:szCs w:val="20"/>
          <w:color w:val="auto"/>
        </w:rPr>
      </w:pPr>
      <w:r>
        <w:rPr>
          <w:rFonts w:ascii="Arial" w:cs="Arial" w:eastAsia="Arial" w:hAnsi="Arial"/>
          <w:sz w:val="18"/>
          <w:szCs w:val="18"/>
          <w:color w:val="auto"/>
        </w:rPr>
        <w:t>Senior Vice President and Chief Accounting Officer</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(Principal Accounting Officer)</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Hamid Akhavan, certify that:</w:t>
      </w:r>
    </w:p>
    <w:p>
      <w:pPr>
        <w:spacing w:after="0" w:line="225" w:lineRule="exact"/>
        <w:rPr>
          <w:sz w:val="20"/>
          <w:szCs w:val="20"/>
          <w:color w:val="auto"/>
        </w:rPr>
      </w:pPr>
    </w:p>
    <w:p>
      <w:pPr>
        <w:ind w:left="360" w:hanging="316"/>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Network Corporation;</w:t>
      </w:r>
    </w:p>
    <w:p>
      <w:pPr>
        <w:spacing w:after="0" w:line="225" w:lineRule="exact"/>
        <w:rPr>
          <w:rFonts w:ascii="Arial" w:cs="Arial" w:eastAsia="Arial" w:hAnsi="Arial"/>
          <w:sz w:val="18"/>
          <w:szCs w:val="18"/>
          <w:color w:val="auto"/>
        </w:rPr>
      </w:pPr>
    </w:p>
    <w:p>
      <w:pPr>
        <w:jc w:val="both"/>
        <w:ind w:left="360" w:right="459" w:hanging="316"/>
        <w:spacing w:after="0" w:line="268"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60" w:right="379" w:hanging="316"/>
        <w:spacing w:after="0" w:line="261"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ind w:left="360" w:right="259" w:hanging="316"/>
        <w:spacing w:after="0" w:line="257"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700" w:right="139" w:hanging="332"/>
        <w:spacing w:after="0" w:line="262"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700" w:right="379" w:hanging="332"/>
        <w:spacing w:after="0" w:line="262"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700" w:right="139" w:hanging="332"/>
        <w:spacing w:after="0" w:line="268"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700" w:right="419" w:hanging="332"/>
        <w:spacing w:after="0" w:line="262"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360" w:right="539" w:hanging="316"/>
        <w:spacing w:after="0" w:line="268"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700" w:right="299" w:hanging="332"/>
        <w:spacing w:after="0" w:line="261"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14, 2024</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28289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492125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8"/>
          <w:szCs w:val="18"/>
          <w:color w:val="auto"/>
        </w:rPr>
        <w:t>I, Paul W. Orban, certify that:</w:t>
      </w:r>
    </w:p>
    <w:p>
      <w:pPr>
        <w:spacing w:after="0" w:line="225" w:lineRule="exact"/>
        <w:rPr>
          <w:sz w:val="20"/>
          <w:szCs w:val="20"/>
          <w:color w:val="auto"/>
        </w:rPr>
      </w:pPr>
    </w:p>
    <w:p>
      <w:pPr>
        <w:ind w:left="321" w:hanging="321"/>
        <w:spacing w:after="0"/>
        <w:tabs>
          <w:tab w:leader="none" w:pos="3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DISH Network Corporation;</w:t>
      </w:r>
    </w:p>
    <w:p>
      <w:pPr>
        <w:spacing w:after="0" w:line="225" w:lineRule="exact"/>
        <w:rPr>
          <w:rFonts w:ascii="Arial" w:cs="Arial" w:eastAsia="Arial" w:hAnsi="Arial"/>
          <w:sz w:val="18"/>
          <w:szCs w:val="18"/>
          <w:color w:val="auto"/>
        </w:rPr>
      </w:pPr>
    </w:p>
    <w:p>
      <w:pPr>
        <w:ind w:left="321" w:right="180" w:hanging="321"/>
        <w:spacing w:after="0" w:line="268" w:lineRule="auto"/>
        <w:tabs>
          <w:tab w:leader="none" w:pos="3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321" w:right="200" w:hanging="321"/>
        <w:spacing w:after="0" w:line="261" w:lineRule="auto"/>
        <w:tabs>
          <w:tab w:leader="none" w:pos="3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ind w:left="321" w:right="140" w:hanging="321"/>
        <w:spacing w:after="0" w:line="283" w:lineRule="auto"/>
        <w:tabs>
          <w:tab w:leader="none" w:pos="32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Arial" w:cs="Arial" w:eastAsia="Arial" w:hAnsi="Arial"/>
          <w:sz w:val="17"/>
          <w:szCs w:val="17"/>
          <w:color w:val="auto"/>
        </w:rPr>
      </w:pPr>
    </w:p>
    <w:p>
      <w:pPr>
        <w:ind w:left="641" w:right="20" w:hanging="317"/>
        <w:spacing w:after="0" w:line="262" w:lineRule="auto"/>
        <w:tabs>
          <w:tab w:leader="none" w:pos="6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641" w:right="100" w:hanging="317"/>
        <w:spacing w:after="0" w:line="262" w:lineRule="auto"/>
        <w:tabs>
          <w:tab w:leader="none" w:pos="6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641" w:right="240" w:hanging="317"/>
        <w:spacing w:after="0" w:line="268" w:lineRule="auto"/>
        <w:tabs>
          <w:tab w:leader="none" w:pos="6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641" w:right="40" w:hanging="317"/>
        <w:spacing w:after="0" w:line="262" w:lineRule="auto"/>
        <w:tabs>
          <w:tab w:leader="none" w:pos="6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321" w:right="160" w:hanging="321"/>
        <w:spacing w:after="0" w:line="268" w:lineRule="auto"/>
        <w:tabs>
          <w:tab w:leader="none" w:pos="3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41" w:right="180" w:hanging="317"/>
        <w:spacing w:after="0" w:line="261" w:lineRule="auto"/>
        <w:tabs>
          <w:tab w:leader="none" w:pos="6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641" w:right="280" w:hanging="317"/>
        <w:spacing w:after="0" w:line="271" w:lineRule="auto"/>
        <w:tabs>
          <w:tab w:leader="none" w:pos="6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14, 2024</w:t>
      </w:r>
    </w:p>
    <w:p>
      <w:pPr>
        <w:spacing w:after="0" w:line="227"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940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0" w:lineRule="exact"/>
        <w:rPr>
          <w:sz w:val="20"/>
          <w:szCs w:val="20"/>
          <w:color w:val="auto"/>
        </w:rPr>
      </w:pPr>
    </w:p>
    <w:p>
      <w:pPr>
        <w:ind w:left="1"/>
        <w:spacing w:after="0"/>
        <w:rPr>
          <w:sz w:val="20"/>
          <w:szCs w:val="20"/>
          <w:color w:val="auto"/>
        </w:rPr>
      </w:pPr>
      <w:r>
        <w:rPr>
          <w:rFonts w:ascii="Arial" w:cs="Arial" w:eastAsia="Arial" w:hAnsi="Arial"/>
          <w:sz w:val="18"/>
          <w:szCs w:val="18"/>
          <w:color w:val="auto"/>
        </w:rPr>
        <w:t>Executive Vice President and Chief Financial Officer,</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8"/>
          <w:szCs w:val="18"/>
          <w:color w:val="auto"/>
        </w:rPr>
        <w:t>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486410</wp:posOffset>
            </wp:positionV>
            <wp:extent cx="588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112" w:name="page113"/>
    <w:bookmarkEnd w:id="11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207" w:lineRule="exact"/>
        <w:rPr>
          <w:sz w:val="20"/>
          <w:szCs w:val="20"/>
          <w:color w:val="auto"/>
        </w:rPr>
      </w:pPr>
    </w:p>
    <w:p>
      <w:pPr>
        <w:ind w:left="40" w:right="259"/>
        <w:spacing w:after="0" w:line="259" w:lineRule="auto"/>
        <w:rPr>
          <w:sz w:val="20"/>
          <w:szCs w:val="20"/>
          <w:color w:val="auto"/>
        </w:rPr>
      </w:pPr>
      <w:r>
        <w:rPr>
          <w:rFonts w:ascii="Arial" w:cs="Arial" w:eastAsia="Arial" w:hAnsi="Arial"/>
          <w:sz w:val="18"/>
          <w:szCs w:val="18"/>
          <w:color w:val="auto"/>
        </w:rPr>
        <w:t>Pursuant to 18 U.S.C. § 1350, the undersigned officer of DISH Network Corporation (the “Company”) hereby certifies that to the best of his knowledge the Company’s Quarterly Report on Form 10-Q for the three months ended September 30,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Dated: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17780</wp:posOffset>
            </wp:positionV>
            <wp:extent cx="24517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17780</wp:posOffset>
            </wp:positionV>
            <wp:extent cx="24517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19"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225" w:lineRule="exact"/>
        <w:rPr>
          <w:sz w:val="20"/>
          <w:szCs w:val="20"/>
          <w:color w:val="auto"/>
        </w:rPr>
      </w:pPr>
    </w:p>
    <w:p>
      <w:pPr>
        <w:ind w:left="40" w:right="259"/>
        <w:spacing w:after="0" w:line="28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3"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94" w:lineRule="exact"/>
        <w:rPr>
          <w:sz w:val="20"/>
          <w:szCs w:val="20"/>
          <w:color w:val="auto"/>
        </w:rPr>
      </w:pPr>
    </w:p>
    <w:p>
      <w:pPr>
        <w:ind w:left="40" w:right="259"/>
        <w:spacing w:after="0" w:line="259" w:lineRule="auto"/>
        <w:rPr>
          <w:sz w:val="20"/>
          <w:szCs w:val="20"/>
          <w:color w:val="auto"/>
        </w:rPr>
      </w:pPr>
      <w:r>
        <w:rPr>
          <w:rFonts w:ascii="Arial" w:cs="Arial" w:eastAsia="Arial" w:hAnsi="Arial"/>
          <w:sz w:val="18"/>
          <w:szCs w:val="18"/>
          <w:color w:val="auto"/>
        </w:rPr>
        <w:t>Pursuant to 18 U.S.C. § 1350, the undersigned officer of DISH Network Corporation (the “Company”) hereby certifies that to the best of his knowledge the Company’s Quarterly Report on Form 10-Q for the three months ended September 30,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Dated: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17780</wp:posOffset>
            </wp:positionV>
            <wp:extent cx="25800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17780</wp:posOffset>
            </wp:positionV>
            <wp:extent cx="25800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p>
      <w:pPr>
        <w:ind w:left="430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and Chief Financial</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Officer, 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6350</wp:posOffset>
            </wp:positionV>
            <wp:extent cx="25800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1" w:lineRule="exact"/>
        <w:rPr>
          <w:sz w:val="20"/>
          <w:szCs w:val="20"/>
          <w:color w:val="auto"/>
        </w:rPr>
      </w:pPr>
    </w:p>
    <w:p>
      <w:pPr>
        <w:ind w:left="40" w:right="259"/>
        <w:spacing w:after="0" w:line="28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3"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3"/>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4"/>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6"/>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7"/>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8"/>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lowerRoman"/>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9"/>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5"/>
    </w:lvl>
  </w:abstractNum>
  <w:abstractNum w:abstractNumId="33">
    <w:nsid w:val="153EA438"/>
    <w:multiLevelType w:val="hybridMultilevel"/>
    <w:lvl w:ilvl="0">
      <w:lvlJc w:val="left"/>
      <w:lvlText w:val="(%1)"/>
      <w:numFmt w:val="decimal"/>
      <w:start w:val="12"/>
    </w:lvl>
  </w:abstractNum>
  <w:abstractNum w:abstractNumId="34">
    <w:nsid w:val="3855585C"/>
    <w:multiLevelType w:val="hybridMultilevel"/>
    <w:lvl w:ilvl="0">
      <w:lvlJc w:val="left"/>
      <w:lvlText w:val="%1."/>
      <w:numFmt w:val="decimal"/>
      <w:start w:val="10"/>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1"/>
    </w:lvl>
  </w:abstractNum>
  <w:abstractNum w:abstractNumId="38">
    <w:nsid w:val="1D4ED43B"/>
    <w:multiLevelType w:val="hybridMultilevel"/>
    <w:lvl w:ilvl="0">
      <w:lvlJc w:val="left"/>
      <w:lvlText w:val="%1."/>
      <w:numFmt w:val="decimal"/>
      <w:start w:val="12"/>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3"/>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22" Type="http://schemas.openxmlformats.org/officeDocument/2006/relationships/hyperlink" Target="https://www.sec.gov/Archives/edgar/data/1415404/000110465924103932/tm2425160d1_ex2-1.htm" TargetMode="External"/><Relationship Id="rId123" Type="http://schemas.openxmlformats.org/officeDocument/2006/relationships/hyperlink" Target="https://www.sec.gov/Archives/edgar/data/1415404/000110465924103932/tm2425160d1_ex10-1.htm" TargetMode="External"/><Relationship Id="rId124" Type="http://schemas.openxmlformats.org/officeDocument/2006/relationships/hyperlink" Target="https://www.sec.gov/Archives/edgar/data/1415404/000110465924103932/tm2425160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2024-11-14T13:34:58Z</dcterms:created>
  <dcterms:modified xsi:type="dcterms:W3CDTF">2024-11-14T13:34:58Z</dcterms:modified>
</cp:coreProperties>
</file>