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ectPr>
          <w:pgSz w:w="11900" w:h="16838" w:orient="portrait"/>
          <w:cols w:equalWidth="0" w:num="3">
            <w:col w:w="6680" w:space="720"/>
            <w:col w:w="240" w:space="720"/>
            <w:col w:w="3060"/>
          </w:cols>
          <w:pgMar w:left="240" w:top="233" w:right="239" w:bottom="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EchoStar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26-1232727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100 Inverness Terrace East, Englewood, Colorado</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80112-5308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7"/>
          <w:szCs w:val="17"/>
          <w:color w:val="auto"/>
        </w:rPr>
        <w:t>(Zip Code)</w:t>
      </w:r>
    </w:p>
    <w:p>
      <w:pPr>
        <w:spacing w:after="0" w:line="211" w:lineRule="exact"/>
        <w:rPr>
          <w:sz w:val="24"/>
          <w:szCs w:val="24"/>
          <w:color w:val="auto"/>
        </w:rPr>
      </w:pPr>
    </w:p>
    <w:p>
      <w:pPr>
        <w:sectPr>
          <w:pgSz w:w="11900" w:h="16838" w:orient="portrait"/>
          <w:cols w:equalWidth="0" w:num="2">
            <w:col w:w="7480" w:space="720"/>
            <w:col w:w="3220"/>
          </w:cols>
          <w:pgMar w:left="240" w:top="233"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Large accelerated filer 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company o</w:t>
      </w:r>
    </w:p>
    <w:p>
      <w:pPr>
        <w:spacing w:after="0" w:line="416" w:lineRule="exact"/>
        <w:rPr>
          <w:sz w:val="24"/>
          <w:szCs w:val="24"/>
          <w:color w:val="auto"/>
        </w:rPr>
      </w:pPr>
    </w:p>
    <w:p>
      <w:pPr>
        <w:sectPr>
          <w:pgSz w:w="11900" w:h="16838" w:orient="portrait"/>
          <w:cols w:equalWidth="0" w:num="4">
            <w:col w:w="2360" w:space="720"/>
            <w:col w:w="1980" w:space="720"/>
            <w:col w:w="2720" w:space="720"/>
            <w:col w:w="2200"/>
          </w:cols>
          <w:pgMar w:left="240" w:top="233"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As of October 28, 2015, the registrant’s outstanding common stock consisted of 44,906,535 shares of Class A common stock and 47,687,039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4"/>
          <w:szCs w:val="24"/>
          <w:color w:val="auto"/>
        </w:rPr>
      </w:pPr>
    </w:p>
    <w:p>
      <w:pPr>
        <w:spacing w:after="0"/>
        <w:tabs>
          <w:tab w:leader="none" w:pos="11360" w:val="left"/>
        </w:tabs>
        <w:rPr>
          <w:rFonts w:ascii="Arial" w:cs="Arial" w:eastAsia="Arial" w:hAnsi="Arial"/>
          <w:sz w:val="18"/>
          <w:szCs w:val="18"/>
          <w:color w:val="0000EE"/>
        </w:rPr>
      </w:pPr>
      <w:hyperlink w:anchor="page2">
        <w:r>
          <w:rPr>
            <w:rFonts w:ascii="Arial" w:cs="Arial" w:eastAsia="Arial" w:hAnsi="Arial"/>
            <w:sz w:val="18"/>
            <w:szCs w:val="18"/>
            <w:u w:val="single" w:color="auto"/>
            <w:color w:val="0000EE"/>
          </w:rPr>
          <w:t>Disclosure Regarding Forward-Looking Statements</w:t>
        </w:r>
      </w:hyperlink>
      <w:r>
        <w:rPr>
          <w:rFonts w:ascii="Arial" w:cs="Arial" w:eastAsia="Arial" w:hAnsi="Arial"/>
          <w:sz w:val="18"/>
          <w:szCs w:val="18"/>
          <w:color w:val="0000EE"/>
        </w:rPr>
        <w:tab/>
        <w:t>i</w:t>
      </w:r>
    </w:p>
    <w:p>
      <w:pPr>
        <w:spacing w:after="0" w:line="221" w:lineRule="exact"/>
        <w:rPr>
          <w:sz w:val="24"/>
          <w:szCs w:val="24"/>
          <w:color w:val="auto"/>
        </w:rPr>
      </w:pPr>
    </w:p>
    <w:p>
      <w:pPr>
        <w:jc w:val="center"/>
        <w:ind w:right="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 FINANCIAL INFORMATION</w:t>
        </w:r>
      </w:hyperlink>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40" w:type="dxa"/>
            <w:vAlign w:val="bottom"/>
            <w:gridSpan w:val="2"/>
          </w:tcPr>
          <w:p>
            <w:pPr>
              <w:spacing w:after="0"/>
              <w:rPr>
                <w:sz w:val="17"/>
                <w:szCs w:val="17"/>
                <w:color w:val="auto"/>
              </w:rPr>
            </w:pPr>
          </w:p>
        </w:tc>
        <w:tc>
          <w:tcPr>
            <w:tcW w:w="960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as of September 30, 2015 (Unaudited) and December 31, 2014</w:t>
              </w:r>
            </w:hyperlink>
          </w:p>
        </w:tc>
        <w:tc>
          <w:tcPr>
            <w:tcW w:w="210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for the Three and Nine Months Ended</w:t>
              </w:r>
            </w:hyperlink>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September 30, 2015 and 2014 (Unaudited)</w:t>
              </w:r>
            </w:hyperlink>
          </w:p>
        </w:tc>
        <w:tc>
          <w:tcPr>
            <w:tcW w:w="634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Cash Flows for the Nine Months Ended September 30, 2015 and 2014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Condensed Consolidated Financial Statements (Unaudited)</w:t>
              </w:r>
            </w:hyperlink>
          </w:p>
        </w:tc>
        <w:tc>
          <w:tcPr>
            <w:tcW w:w="3920" w:type="dxa"/>
            <w:vAlign w:val="bottom"/>
            <w:tcBorders>
              <w:top w:val="single" w:sz="8" w:color="0000EE"/>
            </w:tcBorders>
            <w:gridSpan w:val="4"/>
          </w:tcPr>
          <w:p>
            <w:pPr>
              <w:spacing w:after="0"/>
              <w:rPr>
                <w:sz w:val="17"/>
                <w:szCs w:val="17"/>
                <w:color w:val="auto"/>
              </w:rPr>
            </w:pPr>
          </w:p>
        </w:tc>
        <w:tc>
          <w:tcPr>
            <w:tcW w:w="7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540" w:type="dxa"/>
            <w:vAlign w:val="bottom"/>
            <w:gridSpan w:val="2"/>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540" w:type="dxa"/>
            <w:vAlign w:val="bottom"/>
            <w:gridSpan w:val="2"/>
          </w:tcPr>
          <w:p>
            <w:pPr>
              <w:spacing w:after="0"/>
              <w:rPr>
                <w:sz w:val="17"/>
                <w:szCs w:val="17"/>
                <w:color w:val="auto"/>
              </w:rPr>
            </w:pPr>
          </w:p>
        </w:tc>
        <w:tc>
          <w:tcPr>
            <w:tcW w:w="4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14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60" w:type="dxa"/>
            <w:vAlign w:val="bottom"/>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6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0" w:type="dxa"/>
            <w:vAlign w:val="bottom"/>
            <w:gridSpan w:val="1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1.</w:t>
              </w:r>
            </w:hyperlink>
          </w:p>
        </w:tc>
        <w:tc>
          <w:tcPr>
            <w:tcW w:w="54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Legal Proceedings</w:t>
              </w:r>
            </w:hyperlink>
          </w:p>
        </w:tc>
        <w:tc>
          <w:tcPr>
            <w:tcW w:w="1860" w:type="dxa"/>
            <w:vAlign w:val="bottom"/>
            <w:gridSpan w:val="4"/>
          </w:tcPr>
          <w:p>
            <w:pPr>
              <w:spacing w:after="0"/>
              <w:rPr>
                <w:sz w:val="24"/>
                <w:szCs w:val="24"/>
                <w:color w:val="auto"/>
              </w:rPr>
            </w:pPr>
          </w:p>
        </w:tc>
        <w:tc>
          <w:tcPr>
            <w:tcW w:w="2820" w:type="dxa"/>
            <w:vAlign w:val="bottom"/>
            <w:tcBorders>
              <w:top w:val="single" w:sz="8" w:color="0000EE"/>
            </w:tcBorders>
            <w:gridSpan w:val="5"/>
          </w:tcPr>
          <w:p>
            <w:pPr>
              <w:spacing w:after="0"/>
              <w:rPr>
                <w:sz w:val="24"/>
                <w:szCs w:val="24"/>
                <w:color w:val="auto"/>
              </w:rPr>
            </w:pPr>
          </w:p>
        </w:tc>
        <w:tc>
          <w:tcPr>
            <w:tcW w:w="358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1060" w:type="dxa"/>
            <w:vAlign w:val="bottom"/>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96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524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540" w:type="dxa"/>
            <w:vAlign w:val="bottom"/>
            <w:gridSpan w:val="2"/>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540" w:type="dxa"/>
            <w:vAlign w:val="bottom"/>
            <w:tcBorders>
              <w:bottom w:val="single" w:sz="8" w:color="0000EE"/>
            </w:tcBorders>
            <w:gridSpan w:val="2"/>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540" w:type="dxa"/>
            <w:vAlign w:val="bottom"/>
            <w:gridSpan w:val="2"/>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828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540" w:type="dxa"/>
            <w:vAlign w:val="bottom"/>
            <w:gridSpan w:val="2"/>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68"/>
        </w:trPr>
        <w:tc>
          <w:tcPr>
            <w:tcW w:w="5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our primary customer, DISH Network Corporation and its subsidiaries (“DISH Network”), for a significant portion of our revenue;</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variable demand and the adverse pricing environment for digital set-top boxes;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our ability to successfully manufacture and sell our digital set-top boxes in increasing volumes on a cost-effective basis and with acceptable quality;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competitors;</w:t>
      </w:r>
    </w:p>
    <w:p>
      <w:pPr>
        <w:spacing w:after="0" w:line="225" w:lineRule="exact"/>
        <w:rPr>
          <w:rFonts w:ascii="Arial" w:cs="Arial" w:eastAsia="Arial" w:hAnsi="Arial"/>
          <w:sz w:val="18"/>
          <w:szCs w:val="18"/>
          <w:color w:val="auto"/>
        </w:rPr>
      </w:pPr>
    </w:p>
    <w:p>
      <w:pPr>
        <w:jc w:val="both"/>
        <w:ind w:left="660" w:right="46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 and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herein and in our Form 10-K, and those discussed in other documents we file with the SEC.</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ectPr>
          <w:pgSz w:w="11900" w:h="16838" w:orient="portrait"/>
          <w:cols w:equalWidth="0" w:num="1">
            <w:col w:w="11460"/>
          </w:cols>
          <w:pgMar w:left="240" w:top="108" w:right="199" w:bottom="0" w:gutter="0" w:footer="0" w:header="0"/>
        </w:sectPr>
      </w:pPr>
    </w:p>
    <w:bookmarkStart w:id="2" w:name="page3"/>
    <w:bookmarkEnd w:id="2"/>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7"/>
              </w:rPr>
              <w:t>(Audited)</w:t>
            </w:r>
          </w:p>
        </w:tc>
        <w:tc>
          <w:tcPr>
            <w:tcW w:w="100" w:type="dxa"/>
            <w:vAlign w:val="bottom"/>
          </w:tcPr>
          <w:p>
            <w:pPr>
              <w:spacing w:after="0"/>
              <w:rPr>
                <w:sz w:val="12"/>
                <w:szCs w:val="12"/>
                <w:color w:val="auto"/>
              </w:rPr>
            </w:pPr>
          </w:p>
        </w:tc>
      </w:tr>
      <w:tr>
        <w:trPr>
          <w:trHeight w:val="216"/>
        </w:trPr>
        <w:tc>
          <w:tcPr>
            <w:tcW w:w="880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779,105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549,053</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Marketable investment securities, at fair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1,139,103</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 net of allowance for doubtful accounts of $13,543 and $14,188, respectively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163,232</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Trade accounts receivable - DISH Network, net of allowance for doubtful accounts of zero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251,669</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62,963</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67,164</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87,208</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7,699</w:t>
            </w: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2,328,091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8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marketable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 of $2,910,823 and $2,899,353,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3,194,793</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authorizations,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568,378</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510,630</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195,662</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159,962</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 - DISH Network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90,241</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Other noncurrent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187,296</w:t>
            </w: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5,031,490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4,925,907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88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7,289,143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7,253,998</w:t>
            </w:r>
          </w:p>
        </w:tc>
        <w:tc>
          <w:tcPr>
            <w:tcW w:w="100" w:type="dxa"/>
            <w:vAlign w:val="bottom"/>
            <w:tcBorders>
              <w:bottom w:val="single" w:sz="8" w:color="CCEEFF"/>
            </w:tcBorders>
          </w:tcPr>
          <w:p>
            <w:pPr>
              <w:spacing w:after="0"/>
              <w:rPr>
                <w:sz w:val="21"/>
                <w:szCs w:val="21"/>
                <w:color w:val="auto"/>
              </w:rPr>
            </w:pPr>
          </w:p>
        </w:tc>
      </w:tr>
      <w:tr>
        <w:trPr>
          <w:trHeight w:val="170"/>
        </w:trPr>
        <w:tc>
          <w:tcPr>
            <w:tcW w:w="8800" w:type="dxa"/>
            <w:vAlign w:val="bottom"/>
            <w:shd w:val="clear" w:color="auto" w:fill="CCEEFF"/>
          </w:tcPr>
          <w:p>
            <w:pPr>
              <w:ind w:left="2960"/>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211,905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188,282</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Trade accounts payable - DISH Network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32,474</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41,912</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Deferred revenue and prepayments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71,708</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32,117</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Accrued royalties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27,590</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114,745</w:t>
            </w: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517,733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8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2,325,775</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679,524</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107,328</w:t>
            </w:r>
          </w:p>
        </w:tc>
      </w:tr>
      <w:tr>
        <w:trPr>
          <w:trHeight w:val="210"/>
        </w:trPr>
        <w:tc>
          <w:tcPr>
            <w:tcW w:w="8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3,042,711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3,112,627</w:t>
            </w:r>
          </w:p>
        </w:tc>
        <w:tc>
          <w:tcPr>
            <w:tcW w:w="100" w:type="dxa"/>
            <w:vAlign w:val="bottom"/>
            <w:tcBorders>
              <w:bottom w:val="single" w:sz="8" w:color="CCEEFF"/>
            </w:tcBorders>
          </w:tcPr>
          <w:p>
            <w:pPr>
              <w:spacing w:after="0"/>
              <w:rPr>
                <w:sz w:val="18"/>
                <w:szCs w:val="18"/>
                <w:color w:val="auto"/>
              </w:rPr>
            </w:pPr>
          </w:p>
        </w:tc>
      </w:tr>
      <w:tr>
        <w:trPr>
          <w:trHeight w:val="210"/>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3,630,360</w:t>
            </w:r>
          </w:p>
        </w:tc>
        <w:tc>
          <w:tcPr>
            <w:tcW w:w="100" w:type="dxa"/>
            <w:vAlign w:val="bottom"/>
            <w:shd w:val="clear" w:color="auto" w:fill="CCEEFF"/>
          </w:tcPr>
          <w:p>
            <w:pPr>
              <w:spacing w:after="0"/>
              <w:rPr>
                <w:sz w:val="18"/>
                <w:szCs w:val="18"/>
                <w:color w:val="auto"/>
              </w:rPr>
            </w:pPr>
          </w:p>
        </w:tc>
      </w:tr>
      <w:tr>
        <w:trPr>
          <w:trHeight w:val="196"/>
        </w:trPr>
        <w:tc>
          <w:tcPr>
            <w:tcW w:w="880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Preferred Stock, $.001 par value, 20,000,000 shares authorized: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8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5"/>
              </w:rPr>
              <w:t>Hughes Retail Preferred Tracking Stock, $.001 par value, 13,000,000 shares authorized, 6,290,499 issued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outstanding at each of September 30, 2015 and December 31, 2014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Common stock, $.001 par value, 4,000,000,000 shares authorized: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8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9"/>
              </w:rPr>
              <w:t>Class A common stock, $.001 par value, 1,600,000,000 shares authorized, 50,432,666 shares issued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44,900,348 shares outstanding at September 30, 2015 and 49,576,247 shares issued and 44,043,929 shares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outstanding at December 31, 2014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02"/>
        </w:trPr>
        <w:tc>
          <w:tcPr>
            <w:tcW w:w="8800" w:type="dxa"/>
            <w:vAlign w:val="bottom"/>
          </w:tcPr>
          <w:p>
            <w:pPr>
              <w:ind w:left="380"/>
              <w:spacing w:after="0" w:line="201" w:lineRule="exact"/>
              <w:rPr>
                <w:sz w:val="20"/>
                <w:szCs w:val="20"/>
                <w:color w:val="auto"/>
              </w:rPr>
            </w:pPr>
            <w:r>
              <w:rPr>
                <w:rFonts w:ascii="Arial" w:cs="Arial" w:eastAsia="Arial" w:hAnsi="Arial"/>
                <w:sz w:val="18"/>
                <w:szCs w:val="18"/>
                <w:color w:val="auto"/>
                <w:w w:val="90"/>
              </w:rPr>
              <w:t>Class B common stock, $.001 par value, 800,000,000 shares authorized, 47,687,039 shares issued and outstanding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800" w:type="dxa"/>
            <w:vAlign w:val="bottom"/>
          </w:tcPr>
          <w:p>
            <w:pPr>
              <w:ind w:left="560"/>
              <w:spacing w:after="0"/>
              <w:rPr>
                <w:sz w:val="20"/>
                <w:szCs w:val="20"/>
                <w:color w:val="auto"/>
              </w:rPr>
            </w:pPr>
            <w:r>
              <w:rPr>
                <w:rFonts w:ascii="Arial" w:cs="Arial" w:eastAsia="Arial" w:hAnsi="Arial"/>
                <w:sz w:val="18"/>
                <w:szCs w:val="18"/>
                <w:color w:val="auto"/>
              </w:rPr>
              <w:t>at each of September 30, 2015 and December 31, 2014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2"/>
        </w:trPr>
        <w:tc>
          <w:tcPr>
            <w:tcW w:w="88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3"/>
              </w:rPr>
              <w:t>Class C common stock, $.001 par value, 800,000,000 shares authorized, none issued and outstanding at each of</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September 30, 2015 and December 31, 2014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800" w:type="dxa"/>
            <w:vAlign w:val="bottom"/>
          </w:tcPr>
          <w:p>
            <w:pPr>
              <w:ind w:left="380"/>
              <w:spacing w:after="0" w:line="201" w:lineRule="exact"/>
              <w:rPr>
                <w:sz w:val="20"/>
                <w:szCs w:val="20"/>
                <w:color w:val="auto"/>
              </w:rPr>
            </w:pPr>
            <w:r>
              <w:rPr>
                <w:rFonts w:ascii="Arial" w:cs="Arial" w:eastAsia="Arial" w:hAnsi="Arial"/>
                <w:sz w:val="18"/>
                <w:szCs w:val="18"/>
                <w:color w:val="auto"/>
                <w:w w:val="93"/>
              </w:rPr>
              <w:t>Class D common stock, $.001 par value, 800,000,000 shares authorized, none issued and outstanding at each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800" w:type="dxa"/>
            <w:vAlign w:val="bottom"/>
          </w:tcPr>
          <w:p>
            <w:pPr>
              <w:ind w:left="560"/>
              <w:spacing w:after="0"/>
              <w:rPr>
                <w:sz w:val="20"/>
                <w:szCs w:val="20"/>
                <w:color w:val="auto"/>
              </w:rPr>
            </w:pPr>
            <w:r>
              <w:rPr>
                <w:rFonts w:ascii="Arial" w:cs="Arial" w:eastAsia="Arial" w:hAnsi="Arial"/>
                <w:sz w:val="18"/>
                <w:szCs w:val="18"/>
                <w:color w:val="auto"/>
              </w:rPr>
              <w:t>September 30, 2015 and December 31, 2014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3,706,122</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(55,856)</w:t>
            </w:r>
          </w:p>
        </w:tc>
      </w:tr>
      <w:tr>
        <w:trPr>
          <w:trHeight w:val="216"/>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(19,040)</w:t>
            </w: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(98,162)</w:t>
            </w: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EchoStar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3,616,431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Noncontrolling interest in HSS Tracking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76,437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80,457</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noncontrolling interests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w:t>
            </w:r>
          </w:p>
        </w:tc>
      </w:tr>
      <w:tr>
        <w:trPr>
          <w:trHeight w:val="210"/>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3,703,567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3,623,638</w:t>
            </w:r>
          </w:p>
        </w:tc>
        <w:tc>
          <w:tcPr>
            <w:tcW w:w="100" w:type="dxa"/>
            <w:vAlign w:val="bottom"/>
            <w:tcBorders>
              <w:bottom w:val="single" w:sz="8" w:color="CCEEFF"/>
            </w:tcBorders>
          </w:tcPr>
          <w:p>
            <w:pPr>
              <w:spacing w:after="0"/>
              <w:rPr>
                <w:sz w:val="18"/>
                <w:szCs w:val="18"/>
                <w:color w:val="auto"/>
              </w:rPr>
            </w:pPr>
          </w:p>
        </w:tc>
      </w:tr>
      <w:tr>
        <w:trPr>
          <w:trHeight w:val="210"/>
        </w:trPr>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7,289,143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7,253,998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ectPr>
          <w:pgSz w:w="11900" w:h="16902"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Equipment revenue - DISH Network</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157,184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299,050</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577,277</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907,466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89,454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236,601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695,358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609,552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277,640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824,130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760,879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2,353,127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2,601,691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w w:val="99"/>
              </w:rPr>
              <w:t>Cost of sales - equipment (exclusive of depreciation and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207,989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706,835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998,205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sales - services and other (exclusive of depreciation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219,686</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645,691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626,660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91,830</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93,127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280,462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271,251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132,892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398,547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416,167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672,272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2,088,967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88,607</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264,160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(28,870)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(41,688)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(96,136)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Gains (losses) on marketable investment securities,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(3,912)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Other-than-temporary impairment loss on available-for-sale securities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(111,350)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Income tax provision,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(28,577)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(65,841)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Less: Net loss attributable to noncontrolling interest in HSS Tracking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other noncontrolling interests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EchoStar</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28,835</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Net loss attributable to Hughes Retail Preferred Tracking Stock (Note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EchoStar common stock</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30,102</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64,055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97,404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110,501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4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Weighted-average common shares outstanding - Class A and B common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92,253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93,493</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92,971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93,480</w:t>
            </w:r>
          </w:p>
        </w:tc>
        <w:tc>
          <w:tcPr>
            <w:tcW w:w="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92,723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Earnings per share - Class A and B common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58,437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86,969</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Recognition of foreign currency translation loss in net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losses on available-for-sale securities and other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80"/>
              <w:spacing w:after="0" w:line="201" w:lineRule="exact"/>
              <w:rPr>
                <w:sz w:val="20"/>
                <w:szCs w:val="20"/>
                <w:color w:val="auto"/>
              </w:rPr>
            </w:pPr>
            <w:r>
              <w:rPr>
                <w:rFonts w:ascii="Arial" w:cs="Arial" w:eastAsia="Arial" w:hAnsi="Arial"/>
                <w:sz w:val="18"/>
                <w:szCs w:val="18"/>
                <w:color w:val="auto"/>
                <w:w w:val="93"/>
              </w:rPr>
              <w:t>Recognition of other-than-temporary loss on available-for-sale securities in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1,243</w:t>
            </w: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Recognition of realized (gains) losses on available-for-sale securities in net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 net of tax</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(56,465)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80"/>
              <w:spacing w:after="0" w:line="201" w:lineRule="exact"/>
              <w:rPr>
                <w:sz w:val="20"/>
                <w:szCs w:val="20"/>
                <w:color w:val="auto"/>
              </w:rPr>
            </w:pPr>
            <w:r>
              <w:rPr>
                <w:rFonts w:ascii="Arial" w:cs="Arial" w:eastAsia="Arial" w:hAnsi="Arial"/>
                <w:sz w:val="18"/>
                <w:szCs w:val="18"/>
                <w:color w:val="auto"/>
                <w:w w:val="97"/>
              </w:rPr>
              <w:t>Less: Comprehensive loss attributable to noncontrolling interest in HSS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60"/>
              <w:spacing w:after="0"/>
              <w:rPr>
                <w:sz w:val="20"/>
                <w:szCs w:val="20"/>
                <w:color w:val="auto"/>
              </w:rPr>
            </w:pPr>
            <w:r>
              <w:rPr>
                <w:rFonts w:ascii="Arial" w:cs="Arial" w:eastAsia="Arial" w:hAnsi="Arial"/>
                <w:sz w:val="18"/>
                <w:szCs w:val="18"/>
                <w:color w:val="auto"/>
              </w:rPr>
              <w:t>Tracking Stock</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Less: Comprehensive income (loss) attributable to other noncontrolling</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Comprehensive income (loss) attributable to EchoStar</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ectPr>
          <w:pgSz w:w="11900" w:h="16838" w:orient="portrait"/>
          <w:cols w:equalWidth="0" w:num="1">
            <w:col w:w="11420"/>
          </w:cols>
          <w:pgMar w:left="240" w:top="121"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For the Nine Months</w:t>
      </w:r>
    </w:p>
    <w:p>
      <w:pPr>
        <w:ind w:left="9260"/>
        <w:spacing w:after="0" w:line="236" w:lineRule="auto"/>
        <w:rPr>
          <w:sz w:val="20"/>
          <w:szCs w:val="20"/>
          <w:color w:val="auto"/>
        </w:rPr>
      </w:pPr>
      <w:r>
        <w:rPr>
          <w:rFonts w:ascii="Arial" w:cs="Arial" w:eastAsia="Arial" w:hAnsi="Arial"/>
          <w:sz w:val="14"/>
          <w:szCs w:val="14"/>
          <w:b w:val="1"/>
          <w:bCs w:val="1"/>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86,969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 (earnings) of unconsolidated affiliates,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Loss from partial redemption of debt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and other-than-temporary impairment on marketable investment securities,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provision</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Changes in current assets and current liabilities,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noncurrent assets and noncurrent liabilities,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operating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Sales and maturities of marketable investment securities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(585,902)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Refunds and other receipts related to capital expenditures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marketable investment securities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Investments in unconsolidated entities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(64,655)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regulatory authorization</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Capital contribution to Sling TV Holding</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investing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6 1/2% Senior Notes Due 2019 and related premium</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Repayment of other long-term debt and capital lease obligations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(52,763)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Net proceeds from Class A common stock options exercised and stock issued under the Employee Stock</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Plan</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Net proceeds from issuance of Tracking Stock (Note 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flows from financing activities</w:t>
            </w:r>
          </w:p>
        </w:tc>
        <w:tc>
          <w:tcPr>
            <w:tcW w:w="4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779,105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760,391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 (including capitalized interest)</w:t>
            </w: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102,335</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Capitalized interest</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44,335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80"/>
              <w:spacing w:after="0"/>
              <w:rPr>
                <w:sz w:val="20"/>
                <w:szCs w:val="20"/>
                <w:color w:val="auto"/>
              </w:rPr>
            </w:pPr>
            <w:r>
              <w:rPr>
                <w:rFonts w:ascii="Arial" w:cs="Arial" w:eastAsia="Arial" w:hAnsi="Arial"/>
                <w:sz w:val="18"/>
                <w:szCs w:val="18"/>
                <w:color w:val="auto"/>
              </w:rPr>
              <w:t>Employee benefits paid in Class A common stock</w:t>
            </w:r>
          </w:p>
        </w:tc>
        <w:tc>
          <w:tcPr>
            <w:tcW w:w="4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10,310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Satellites and other assets financed under capital lease obligations</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80"/>
              <w:spacing w:after="0"/>
              <w:rPr>
                <w:sz w:val="20"/>
                <w:szCs w:val="20"/>
                <w:color w:val="auto"/>
              </w:rPr>
            </w:pPr>
            <w:r>
              <w:rPr>
                <w:rFonts w:ascii="Arial" w:cs="Arial" w:eastAsia="Arial" w:hAnsi="Arial"/>
                <w:sz w:val="18"/>
                <w:szCs w:val="18"/>
                <w:color w:val="auto"/>
              </w:rPr>
              <w:t>Increase in capital expenditures included in accounts payable, net</w:t>
            </w:r>
          </w:p>
        </w:tc>
        <w:tc>
          <w:tcPr>
            <w:tcW w:w="4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10,297</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Net noncash assets transferred from DISH Network in exchange for Tracking Stock (Note 2)</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398,095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80"/>
              <w:spacing w:after="0"/>
              <w:rPr>
                <w:sz w:val="20"/>
                <w:szCs w:val="20"/>
                <w:color w:val="auto"/>
              </w:rPr>
            </w:pPr>
            <w:r>
              <w:rPr>
                <w:rFonts w:ascii="Arial" w:cs="Arial" w:eastAsia="Arial" w:hAnsi="Arial"/>
                <w:sz w:val="18"/>
                <w:szCs w:val="18"/>
                <w:color w:val="auto"/>
              </w:rPr>
              <w:t>Assets received from Sling TV Holding (Note 6)</w:t>
            </w:r>
          </w:p>
        </w:tc>
        <w:tc>
          <w:tcPr>
            <w:tcW w:w="4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34,075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Reduction of capital lease obligation for AMC-15 and AMC-16 satellites</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operations, video delivery solutions, digital set-top boxes, and broadband satellite technologies and services for home and office, delivering innovative network technologies, managed</w:t>
      </w:r>
    </w:p>
    <w:p>
      <w:pPr>
        <w:sectPr>
          <w:pgSz w:w="11900" w:h="16838" w:orient="portrait"/>
          <w:cols w:equalWidth="0" w:num="1">
            <w:col w:w="11420"/>
          </w:cols>
          <w:pgMar w:left="240" w:top="121" w:right="239" w:bottom="0" w:gutter="0" w:footer="0" w:header="0"/>
        </w:sectPr>
      </w:pPr>
    </w:p>
    <w:bookmarkStart w:id="5" w:name="page6"/>
    <w:bookmarkEnd w:id="5"/>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services, and solutions for enterprises and governments. Our Class A common stock is publicly traded on the Nasdaq Global Select Market (“Nasdaq”) under the symbol “SATS.”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three business segments:</w:t>
      </w:r>
    </w:p>
    <w:p>
      <w:pPr>
        <w:spacing w:after="0" w:line="225" w:lineRule="exact"/>
        <w:rPr>
          <w:sz w:val="20"/>
          <w:szCs w:val="20"/>
          <w:color w:val="auto"/>
        </w:rPr>
      </w:pPr>
    </w:p>
    <w:p>
      <w:pPr>
        <w:ind w:left="660" w:right="20" w:hanging="328"/>
        <w:spacing w:after="0" w:line="255"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Technologies (“ETC”) </w:t>
      </w:r>
      <w:r>
        <w:rPr>
          <w:rFonts w:ascii="Arial" w:cs="Arial" w:eastAsia="Arial" w:hAnsi="Arial"/>
          <w:sz w:val="18"/>
          <w:szCs w:val="18"/>
          <w:color w:val="auto"/>
        </w:rPr>
        <w:t>— which designs, develops and distributes digital set-top boxes and related products and technology, primarily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In addition, we provide our TVEverywhere technology through Slingboxes directly to consumers via retail outlets and online, as well as to the pay-TV operator market. Beginning in 2015, this segment also includes Move Network, our live linear over-the-top platform business, which includes assets acquired from Sling TV Holding L.L.C. (formerly DISH Digital Holding L.L.C.), and primarily provides support services to DISH Network’s Sling TV operations.</w:t>
      </w:r>
    </w:p>
    <w:p>
      <w:pPr>
        <w:spacing w:after="0" w:line="189"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full-time and occasional-use basis primarily to DISH Network, Dish Mexico, S. de R.L. de C.V. (“Dish Mexico”), a joint venture we entered into in 2008, United States (“U.S.”) government service providers, internet service providers, broadcast news organizations, programmers, and private enterprise customers.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operations also include real estate and other activities that have not been assigned to our operating segments, including,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Note 15.</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However, as a result of the Satellite and Tracking Stock Transaction described in Note 2 below, DISH Network owns shares of our and our subsidiary’s preferred tracking stock representing an aggregate 80.0% economic interest in the residential retail satellite broadband business of our Hughes segment. In addition, a substantial majority of the voting power of the shares of DISH Network and EchoStar is owned beneficially by Charles W. Ergen, our Chairman, and by certain trusts established by Mr. Ergen for the benefit of his family.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Hughes Retail Preferred Tracking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February 20, 2014, EchoStar entered into agreements with certain subsidiaries of DISH Network pursuant to which, effective March 1, 2014, (i)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The Tracking Stock tracks the residential retail satellite broadband business of our Hughes segment, including certain operations, assets and liabilities attributed to such business (collectively, the “Hughes Retail Group” or “HRG”). The Satellite and Tracking Stock Transaction is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EchoStar has been able to increase short-term cash flow that it believes will better position it to achieve its strategic objectives.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EchoStar and HSS have adopted policy statements (the “Policy Statements”) setting forth management and allocation policies for purposes of attributing all of the business and operations of EchoStar to either the Hughes Retail Group or the “EchoStar Group,” which is defined as all other operations of EchoStar, including all existing and future businesses, other than the Hughes Retail Group. Among other things, the Policy Statements govern how assets, liabilities, revenue and expenses are attributed or allocated between HRG and the EchoStar Group. Such attributions and allocations generally do not affect the amounts reported in our consolidated financial statements, except for the attribution of stockholders’ equity and net income or loss between the holders of Tracking Stock and common stock. The Policy Statements also do not significantly affect the way that management assesses operating performance and allocates resources within our Hughes segment.</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provide unaudited attributed financial information for HRG and the EchoStar Group in an exhibit to our periodic reports on Form 10-Q and Form 10-K. Set forth below is information about certain terms of the Tracking Stock and the initial recording of the Satellite and Tracking Stock Transaction in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Tracking Stock</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Tracking stock is a type of capital stock that the issuing company intends to reflect or “track” the economic performance of a particular business component within the company, rather than reflect the economic performance of the company as a whole. The Tracking Stock is intended to track the economic performance of the Hughes Retail Group. The shares of the Tracking Stock issued to DISH Network represent an aggregate 80.0% economic interest in the</w:t>
      </w:r>
    </w:p>
    <w:p>
      <w:pPr>
        <w:sectPr>
          <w:pgSz w:w="11900" w:h="16885" w:orient="portrait"/>
          <w:cols w:equalWidth="0" w:num="1">
            <w:col w:w="11420"/>
          </w:cols>
          <w:pgMar w:left="240" w:top="125" w:right="239" w:bottom="0" w:gutter="0" w:footer="0" w:header="0"/>
        </w:sectPr>
      </w:pPr>
    </w:p>
    <w:bookmarkStart w:id="6" w:name="page7"/>
    <w:bookmarkEnd w:id="6"/>
    <w:p>
      <w:pPr>
        <w:spacing w:after="0" w:line="1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Hughes Retail Group (the shares issued as EchoStar Tracking Stock represent a 51.89% economic interest in the Hughes Retail Group and the shares issued as HSS Tracking Stock represent a 28.11% economic interest in the Hughes Retail Group). In addition to the remaining 20.0% economic interest in the Hughes Retail Group, EchoStar retains all economic interest in the wholesale satellite broadband business and other businesses of EchoStar. The 80.0% economic interest was determined at the time of issuance based on the estimated fair value of the consideration received from DISH Network in exchange for the Tracking Stock, consisting of the five satellites and $11.4 million in cash, relative to the estimated fair value of the Hughes Retail Group. The allocation of economic interest represented by the Tracking Stock of 51.89% issued as EchoStar Tracking Stock and 28.11% issued as HSS Tracking Stock reflected the relative assignment to HSS Tracking Stock and EchoStar Tracking Stock of the aggregate increase in equity resulting from DISH Network’s contribution of the satellites and cash. The tracking stock structure and the allocation of the tracking stock economic interest between EchoStar and HSS was advantageous to EchoStar from an economic and tax perspective by allowing the Company to increase cash flow by using the value of the Hughes Retail Group to purchase the satellites from DISH Network.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While DISH Network, as the holder of the Tracking Stock, holds an aggregate 80.0% economic interest in the Hughes Retail Group, the </w:t>
      </w:r>
      <w:r>
        <w:rPr>
          <w:rFonts w:ascii="Arial" w:cs="Arial" w:eastAsia="Arial" w:hAnsi="Arial"/>
          <w:sz w:val="17"/>
          <w:szCs w:val="17"/>
          <w:color w:val="auto"/>
        </w:rPr>
        <w:t>Hughes Retail Group</w:t>
      </w:r>
      <w:r>
        <w:rPr>
          <w:rFonts w:ascii="Arial" w:cs="Arial" w:eastAsia="Arial" w:hAnsi="Arial"/>
          <w:sz w:val="18"/>
          <w:szCs w:val="18"/>
          <w:color w:val="auto"/>
        </w:rPr>
        <w:t xml:space="preserve"> </w:t>
      </w:r>
      <w:r>
        <w:rPr>
          <w:rFonts w:ascii="Arial" w:cs="Arial" w:eastAsia="Arial" w:hAnsi="Arial"/>
          <w:sz w:val="17"/>
          <w:szCs w:val="17"/>
          <w:color w:val="auto"/>
        </w:rPr>
        <w:t>is not a separate legal entity and therefore cannot own assets, issue securities or enter into legally binding agreements. Holders of the Tracking Stock have no direct claim to the assets of the Hughes Retail Group; rather, holders of the Tracking Stock are stockholders of its respective issuer (EchoStar or HSS) and are subject to all risks and liabilities of the issuer.</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EchoStar Tracking Stock is a series of preferred stock consisting of 13,000,000 authorized shares with a par value of $0.001 per share, of which 6,290,499 shares were issued to DISH Network on March 1, 2014. The HSS Tracking Stock is a series of HSS preferred stock consisting of 300 authorized shares with a par value of $0.001 per share, of which 81.128 shares were issued to DISH Network on March 1, 2014. Following the issuance of the shares of the EchoStar Tracking Stock and the HSS Tracking Stock, DISH Network held 6.5% and 7.5% of the aggregate number of outstanding shares of EchoStar and HSS capital stock, respectively.</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Holders of shares of the Tracking Stock vote with holders of the outstanding shares of common stock of its respective issuer, as a single class, with respect to any and all matters presented to stockholders for their action or consideration. Each share of the Tracking Stock is entitled to one-tenth (1/10th) of one vote, which resulted in a relative loss of voting power for our Class A and Class B common stockholders. In the event of a liquidation of EchoStar, holders of shares of EchoStar Class A common stock, EchoStar Class B common stock and the EchoStar Tracking Stock are entitled to receive their respective proportionate interests in the net assets of EchoStar, if any, remaining for distribution upon liquidation, pro rata based upon the aggregate market value of outstanding shares of the EchoStar Tracking Stock (determined by an independent appraisal to the extent such shares are not then listed or quoted on any U.S. national or regional securities exchange or quotation system) as compared to the aggregate market value of outstanding shares of EchoStar Class A common stock and EchoStar Class B common stock. Similarly, in the event of a liquidation of HSS, holders of shares of HSS common stock and HSS Tracking Stock are entitled to receive their respective proportionate interests in the net assets of HSS, if any, remaining for distribution upon liquidation, pro rata based upon the aggregate market value of outstanding shares of HSS Tracking Stock as compared to the aggregate market value of outstanding shares of HSS common stock. Market values of HSS Tracking Stock and HSS common stock are to be determined by an independent appraisal to the extent such shares are not then listed or quoted on any U.S. national or regional securities exchange or quotation system.</w:t>
      </w:r>
    </w:p>
    <w:p>
      <w:pPr>
        <w:spacing w:after="0" w:line="16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Should our board of directors, or the board of directors of HSS, make a future determination to pay a dividend on any shares of capital stock, the respective board of directors may, in its sole discretion, declare dividends only on shares of common stock, only on shares of the Tracking Stock or on shares of both the common stock and the Tracking Stock of the respective company. No dividend or other distribution may be paid on any shares of EchoStar Tracking Stock unless a dividend or distribution in an equivalent amount is paid on shares of HSS Tracking Stock and no dividend or other distribution may be paid on any shares of HSS Tracking Stock unless a dividend or distribution in an equivalent amount is paid on shares of EchoStar Tracking Stock.</w:t>
      </w:r>
    </w:p>
    <w:p>
      <w:pPr>
        <w:spacing w:after="0" w:line="15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EchoStar and HSS may each, at its option, redeem all of the outstanding shares of its Tracking Stock in exchange for shares of common stock in an HRG Holding Company (as defined below), which EchoStar is required to establish pursuant to the Investor Rights Agreement discussed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Satellite and Tracking Stock Transaction, EchoStar, HSS and DISH Network entered into an agreement (the “Investor Rights Agreement”) setting forth certain rights and obligations of the parties with respect to the Tracking Stock. Among other provisions, the Investor Rights Agreement provides: (i) certain information and consultation rights for DISH Network; (ii) certain transfer restrictions on the Tracking Stock and certain rights and obligations to offer and sell under certain circumstances (including a prohibition on transfer of the Tracking Stock until March 1, 2015), with continuing transfer restrictions (including a right of first offer in favor of EchoStar) thereafter, an obligation to sell the Tracking Stock to us in connection with a change of control of DISH Network and a right to require us to repurchase the Tracking Stock in connection with a change of control of EchoStar, in each case subject to certain terms and conditions; (iii) certain protective covenants afforded to holders of the Tracking Stock; and (iv) a requirement for EchoStar to establish a holding company subsidiary (an “HRG Holding Company”) that is directly or indirectly wholly-owned by EchoStar and that will hold the Hughes Retail Group.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addition, the Investor Rights Agreement provides that DISH Network may, on or after September 1, 2016, require EchoStar to use its commercially reasonable efforts to register some or all of the outstanding shares of the Tracking Stock under the Securities Act of 1933, as amended, subject to certain</w:t>
      </w:r>
    </w:p>
    <w:p>
      <w:pPr>
        <w:sectPr>
          <w:pgSz w:w="11900" w:h="16975" w:orient="portrait"/>
          <w:cols w:equalWidth="0" w:num="1">
            <w:col w:w="11380"/>
          </w:cols>
          <w:pgMar w:left="240" w:top="125" w:right="279" w:bottom="0" w:gutter="0" w:footer="0" w:header="0"/>
        </w:sectPr>
      </w:pPr>
    </w:p>
    <w:bookmarkStart w:id="7" w:name="page8"/>
    <w:bookmarkEnd w:id="7"/>
    <w:p>
      <w:pPr>
        <w:spacing w:after="0" w:line="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terms and conditions (including our right, upon the receipt of a demand for registration, to offer to repurchase all of the Tracking Stock). In connection with any demand for registration, DISH Network may require any outstanding shares of the HSS Tracking Stock to be exchanged for shares of the EchoStar Tracking Stock with an equivalent economic interest in the Hughes Retail Group. In the event that a registration of shares of Tracking Stock is effected, EchoStar is required to use its reasonable best efforts to amend the terms of the Tracking Stock so that the Tracking Stock will be convertible or exchangeable for shares of EchoStar Class A common stock with equivalent market value.</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accordance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consolidate all majority owned subsidiaries, investments in entities in which we have controlling interest and variable interest entities where we are the primary beneficiary. For entities we control but do not wholly own, we record a noncontrolling interest within stockholders’ equity for the portion of the entity’s equity attributed to the noncontrolling ownership interests. For the noncontrolling interest in the HSS Tracking Stock (see Note 2), we attribute a portion of HSS net income or loss to the noncontrolling interest in HSS Tracking Stock with such portion equal to 28.11% (the HSS portion of the 80.0% economic interest) of the Hughes Retail Group attributed net income or loss represented by the HSS Tracking Stock, as determined in accordance with the Policy Statements and other documents governing the Tracking Stock. We use the equity method to account for investments in entities that we do not control but have the ability to significantly influence the operating decisions of the investee. We use the cost method when we do not have the ability to significantly influence the operating decisions of the investee. All significant intercompany balances and transactions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revenue and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awards granted under our stock-based compensation plans, fair value of assets and liabilities acquired in business combinations, lease classifications, asset impairments, useful lives and methods for depreciation and amortization of long-lived assets, goodwill impairment testing, royalty obligations, and allocations that affect the net income or loss attributable to the Tracking Stock.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Weakened economic conditions may increase the inherent uncertainty in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estimates and assumptions indicated above. We review our estimates and assumptions periodically and the effects of revisions are reflected in the period they occur or prospectively if the revised estimate affects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nine months ended September 30, 2015 or 2014.</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of September 30, 2015 and December 31, 2014,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ectPr>
          <w:pgSz w:w="11900" w:h="16850" w:orient="portrait"/>
          <w:cols w:equalWidth="0" w:num="1">
            <w:col w:w="11380"/>
          </w:cols>
          <w:pgMar w:left="240" w:top="125" w:right="279" w:bottom="0" w:gutter="0" w:footer="0" w:header="0"/>
        </w:sectPr>
      </w:pPr>
    </w:p>
    <w:bookmarkStart w:id="8" w:name="page9"/>
    <w:bookmarkEnd w:id="8"/>
    <w:p>
      <w:pPr>
        <w:ind w:right="80"/>
        <w:spacing w:after="0" w:line="255" w:lineRule="auto"/>
        <w:rPr>
          <w:sz w:val="20"/>
          <w:szCs w:val="20"/>
          <w:color w:val="auto"/>
        </w:rPr>
      </w:pPr>
      <w:r>
        <w:rPr>
          <w:rFonts w:ascii="Arial" w:cs="Arial" w:eastAsia="Arial" w:hAnsi="Arial"/>
          <w:sz w:val="18"/>
          <w:szCs w:val="18"/>
          <w:color w:val="auto"/>
        </w:rPr>
        <w:t>Fair values of our current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values for our publicly traded long-term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As of September 30, 2015 and December 31, 2014, the fair values of our in-orbit incentive obligations, based on measurements categorized within Level 2 of the fair value hierarchy, approximated their carrying amounts of $80.3 million and $85.8 million, respectively. We use fair value measurements from time-to-time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to research and development expenses reported in our condensed consolidated statements of operations and comprehensive income (loss), our cost of sales includes research and development costs funded by customers of approximately $15.2 million and $18.0 million for the three months ended September 30, 2015 and 2014, respectively, and $45.7 million and $52.4 million for the nine months ended September 30, 2015 and 2014,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Development costs related to software for internal-use and externally marketed software are capitalized and amortized using the straight-line method over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life of the software, not in excess of five years. Capitalized costs of internal-use software are included in “Property and equipment, net”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costs of externally marketed software are included in “Other noncurrent assets, net” in our condensed consolidated balance sheets. Externally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marketed software is generally installed in the equipment we sell to customers. We conduct software program reviews for externally marketed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costs at least annually, or as events and circumstances warrant such a review, to determine if capitalized software development costs are recoverable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ensure that costs associated with programs that are no longer generating revenue are expensed. As of September 30, 2015 and December 31,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carrying amount of externally marketed software was $59.7 million and $48.9 million, respectively. We capitalized costs of $5.3 million and $5.1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2015 and 2014, respectively, and costs of $17.0 million and $17.6 million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2014, respectively, related to the development of externally marketed software. We recorded amortization expense relating to the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externally marketed software of $2.2 million and $1.9 million for the three months ended September 30, 2015 and 2014, respectively, and $6.1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 million for the nine months ended September 30, 2015 and 2014, respectively. The weighted average useful life of our externally marketed software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four years as of September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Accounting Standards Update No. 2015-14, which deferred by one year the mandatory effective date of ASU 2014-09.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We have not determined when we will adopt the new revenue standard or selected the transition method that we will apply upon adoption. We are assessing the impact of adopting this new accounting standard on our consolidated financial statements and related disclosures.</w:t>
      </w:r>
    </w:p>
    <w:p>
      <w:pPr>
        <w:spacing w:after="0" w:line="16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February 2015, the FASB issued Accounting Standards Update No. 2015-02, Consolidation (Topic 810): Amendments to the Consolidation Analysis (“ASU 2015-02”). This standard amends the consolidation guidance for variable interest entities (“VIEs”) and general partners’ investments in limited partnerships and similar entities. ASU 2015-02 is effective for annual periods beginning after December 15, 2015 and interim periods within those annual periods, and requires either a retrospective or a modified retrospective approach as of the beginning of the fiscal year of adoption. Early adoption is permitted. We do not expect the adoption of this standard to have a material impact on our consolidated financial statements or related disclosures. We do not expect to adopt this standard prior to the effective date.</w:t>
      </w:r>
    </w:p>
    <w:p>
      <w:pPr>
        <w:spacing w:after="0" w:line="193"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is effective for annual periods beginning after December 15, 2015 and interim periods within those annual periods, and requires a retrospective approach to adoption. Early adoption is permitted. Based on our preliminary assessment, upon adoption of this standard, we expect to present unamortized deferred costs in other noncurrent assets with a carrying amount of</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$32.8 million and $39.1 million as of September 30, 2015 and December 31, 2014, respectively, as a reduction of our long-term debt balances. We do not expect to adopt this standard prior to the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9" w:name="page10"/>
    <w:bookmarkEnd w:id="9"/>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present basic earnings per share (“EPS”) and diluted EPS for our Class A and Class B common stock. The EchoStar Tracking Stock is a participating security that shares in our consolidated earnings and therefore, effective March 1, 2014, the issuance date of the EchoStar Tracking Stock, we apply the two-class method to calculate EPS. Under the two-class method, we allocate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outstanding as the EchoStar Tracking Stock, we allocate undistributed earnings to the EchoStar Tracking Stock based on 51.89% of the attributed net income or loss of the Hughes Retail Group. We allocated a net loss of $1.3 million and $3.9 million for the three months ended September 30, 2015 and 2014, respectively, and a net loss of $7.4 million and $7.5 million for the nine months ended September 30, 2015 and 2014, respectively, to the EchoStar Tracking Stock reflecting DISH Network’s 51.89% economic interest (represented by the EchoStar Tracking Stock) in the net loss of the Hughes Retail Group. Moreover, because the reported amount of “Net income attributable to EchoStar” in our condensed consolidated statements of operations and comprehensive income (loss) excludes DISH Network’s 28.11% economic interest (represented by the HSS Tracking Stock) in the net loss of the Hughes Retail Group (reported as a noncontrolling interest), the amount of consolidated net income or loss allocated to holders of Class A and Class B common stock effectively excludes an aggregate 80.0% of the attributed net loss of the Hughes Retail Group.</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our common stock awards were exercised.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3.1 million shares and 2.0 million shares for the three and nine months ended September 30, 2015, respectively, and 0.8 million shares for each of the three and nine months ended September 30, 2014, respectively. For the three and nine months ended September 30, 2014, the calculation also excluded 0.7 million shares of our Class A common stock that were issuable pursuant to our performance based stock incentive plan contingent upon meeting a company-specific performance measure by March 31, 2015, that was not achieved and which resulted in the expiration of such shares as of March 31, 2015.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For the Three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Ended 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(In thousands, except per share amounts)</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EchoStar</w:t>
            </w:r>
          </w:p>
        </w:tc>
        <w:tc>
          <w:tcPr>
            <w:tcW w:w="138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28,835</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60,168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89,983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Net loss attributable to EchoStar Tracking Stock</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(1,267)</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(7,421)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EchoStar common stock</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30,102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 :</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92,500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1,227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Diluted</w:t>
            </w:r>
          </w:p>
        </w:tc>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93,493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9"/>
              </w:rPr>
              <w:t>Diluted</w:t>
            </w:r>
          </w:p>
        </w:tc>
        <w:tc>
          <w:tcPr>
            <w:tcW w:w="3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300" w:type="dxa"/>
            <w:vAlign w:val="bottom"/>
            <w:vMerge w:val="continue"/>
          </w:tcPr>
          <w:p>
            <w:pPr>
              <w:spacing w:after="0"/>
              <w:rPr>
                <w:sz w:val="17"/>
                <w:szCs w:val="17"/>
                <w:color w:val="auto"/>
              </w:rPr>
            </w:pPr>
          </w:p>
        </w:tc>
        <w:tc>
          <w:tcPr>
            <w:tcW w:w="5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8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5060" w:type="dxa"/>
            <w:vAlign w:val="bottom"/>
            <w:gridSpan w:val="3"/>
          </w:tcPr>
          <w:p>
            <w:pPr>
              <w:jc w:val="right"/>
              <w:ind w:right="226"/>
              <w:spacing w:after="0"/>
              <w:rPr>
                <w:sz w:val="20"/>
                <w:szCs w:val="20"/>
                <w:color w:val="auto"/>
              </w:rPr>
            </w:pPr>
            <w:r>
              <w:rPr>
                <w:rFonts w:ascii="Arial" w:cs="Arial" w:eastAsia="Arial" w:hAnsi="Arial"/>
                <w:sz w:val="18"/>
                <w:szCs w:val="18"/>
                <w:b w:val="1"/>
                <w:bCs w:val="1"/>
                <w:color w:val="auto"/>
                <w:w w:val="90"/>
              </w:rPr>
              <w:t>Other Comprehensive Income (Loss) and Related Tax Effects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$117.6 million and $63.8 million as of September 30, 2015 and December 31,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for the three and nine months ended September 30, 2015 and 2014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Affected Line Item in our</w:t>
            </w:r>
          </w:p>
        </w:tc>
        <w:tc>
          <w:tcPr>
            <w:tcW w:w="2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For the Three Months</w:t>
            </w:r>
          </w:p>
        </w:tc>
        <w:tc>
          <w:tcPr>
            <w:tcW w:w="210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Condensed Consolidated</w:t>
            </w:r>
          </w:p>
        </w:tc>
        <w:tc>
          <w:tcPr>
            <w:tcW w:w="2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Ended September 30,</w:t>
            </w:r>
          </w:p>
        </w:tc>
        <w:tc>
          <w:tcPr>
            <w:tcW w:w="2100" w:type="dxa"/>
            <w:vAlign w:val="bottom"/>
            <w:gridSpan w:val="2"/>
          </w:tcPr>
          <w:p>
            <w:pPr>
              <w:ind w:left="3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4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Accumulated Other Comprehensive Loss Components</w:t>
            </w:r>
          </w:p>
        </w:tc>
        <w:tc>
          <w:tcPr>
            <w:tcW w:w="300" w:type="dxa"/>
            <w:vAlign w:val="bottom"/>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Statement of Operations</w:t>
            </w:r>
          </w:p>
        </w:tc>
        <w:tc>
          <w:tcPr>
            <w:tcW w:w="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r>
    </w:tbl>
    <w:p>
      <w:pPr>
        <w:sectPr>
          <w:pgSz w:w="11900" w:h="16843" w:orient="portrait"/>
          <w:cols w:equalWidth="0" w:num="1">
            <w:col w:w="11420"/>
          </w:cols>
          <w:pgMar w:left="240" w:top="36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Recognition of realized (gains) losses on available-for-</w:t>
            </w: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Gains (losses) on</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securities in net income (1)</w:t>
            </w:r>
          </w:p>
        </w:tc>
        <w:tc>
          <w:tcPr>
            <w:tcW w:w="2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marketable investment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p>
        </w:tc>
        <w:tc>
          <w:tcPr>
            <w:tcW w:w="2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5"/>
              </w:rPr>
              <w:t>Recognition of other-than-temporary impairment loss on</w:t>
            </w: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Other-than-temporary</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available-for-sale securities in net income (2)</w:t>
            </w:r>
          </w:p>
        </w:tc>
        <w:tc>
          <w:tcPr>
            <w:tcW w:w="2280" w:type="dxa"/>
            <w:vAlign w:val="bottom"/>
          </w:tcPr>
          <w:p>
            <w:pPr>
              <w:ind w:left="380"/>
              <w:spacing w:after="0"/>
              <w:rPr>
                <w:sz w:val="20"/>
                <w:szCs w:val="20"/>
                <w:color w:val="auto"/>
              </w:rPr>
            </w:pPr>
            <w:r>
              <w:rPr>
                <w:rFonts w:ascii="Arial" w:cs="Arial" w:eastAsia="Arial" w:hAnsi="Arial"/>
                <w:sz w:val="18"/>
                <w:szCs w:val="18"/>
                <w:color w:val="auto"/>
              </w:rPr>
              <w:t>impairment loss 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280" w:type="dxa"/>
            <w:vAlign w:val="bottom"/>
          </w:tcPr>
          <w:p>
            <w:pPr>
              <w:ind w:left="380"/>
              <w:spacing w:after="0"/>
              <w:rPr>
                <w:sz w:val="20"/>
                <w:szCs w:val="20"/>
                <w:color w:val="auto"/>
              </w:rPr>
            </w:pPr>
            <w:r>
              <w:rPr>
                <w:rFonts w:ascii="Arial" w:cs="Arial" w:eastAsia="Arial" w:hAnsi="Arial"/>
                <w:sz w:val="18"/>
                <w:szCs w:val="18"/>
                <w:color w:val="auto"/>
              </w:rPr>
              <w:t>available-for sale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1,243</w:t>
            </w:r>
          </w:p>
        </w:tc>
        <w:tc>
          <w:tcPr>
            <w:tcW w:w="3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5,892</w:t>
            </w:r>
          </w:p>
        </w:tc>
        <w:tc>
          <w:tcPr>
            <w:tcW w:w="4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Recognition of foreign currency translation losses in net</w:t>
            </w: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(3)</w:t>
            </w: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1,889</w:t>
            </w:r>
          </w:p>
        </w:tc>
        <w:tc>
          <w:tcPr>
            <w:tcW w:w="4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line="201" w:lineRule="exact"/>
              <w:rPr>
                <w:sz w:val="20"/>
                <w:szCs w:val="20"/>
                <w:color w:val="auto"/>
              </w:rPr>
            </w:pPr>
            <w:r>
              <w:rPr>
                <w:rFonts w:ascii="Arial" w:cs="Arial" w:eastAsia="Arial" w:hAnsi="Arial"/>
                <w:sz w:val="18"/>
                <w:szCs w:val="18"/>
                <w:color w:val="auto"/>
              </w:rPr>
              <w:t>Total reclassifications, net of tax and noncontrolling</w:t>
            </w: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1,234</w:t>
            </w:r>
          </w:p>
        </w:tc>
        <w:tc>
          <w:tcPr>
            <w:tcW w:w="340" w:type="dxa"/>
            <w:vAlign w:val="bottom"/>
            <w:vMerge w:val="restart"/>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w:t>
            </w:r>
          </w:p>
        </w:tc>
        <w:tc>
          <w:tcPr>
            <w:tcW w:w="5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7,752</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42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56" w:lineRule="auto"/>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available-for-sale securities are sold, the related unrealized gains and losses that were previously recognized in other comprehensive income (loss) are reclassified and recognized as realized gains (losses) on available-for-sale securities on the condensed consolidated statement of operations and comprehensive income (loss).</w:t>
      </w:r>
    </w:p>
    <w:p>
      <w:pPr>
        <w:ind w:left="340" w:right="380" w:hanging="332"/>
        <w:spacing w:after="0" w:line="250" w:lineRule="auto"/>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2015 and September 2015, we recorded other-than-temporary impairment losses on shares of certain common stock included in our strategic equity securities. See Note 6 for further discussion.</w:t>
      </w:r>
    </w:p>
    <w:p>
      <w:pPr>
        <w:ind w:left="340" w:right="240" w:hanging="332"/>
        <w:spacing w:after="0" w:line="254" w:lineRule="auto"/>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deconsolidation of several of our European subsidiaries in connection with our investment in SmarDTV SA in May 2015, the related cumulative translation adjustments that were previously recognized in other comprehensive income (loss) were reclassified and recognized as a loss within “Other income (expense)” in our condensed consolidated statement of operations and comprehensive income (loss). See Note 6 for further discussion.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marketable investment securities, restricted cash and cash equivalents, and investments in unconsolidated entities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1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right"/>
              <w:ind w:right="9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Corporate bonds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731,893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1,049,139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Strategic equity securities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32,268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807,662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Restricted marketable investment securities (1)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11,806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819,468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method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81,174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investments in unconsolidated entities—noncurrent</w:t>
            </w:r>
          </w:p>
        </w:tc>
        <w:tc>
          <w:tcPr>
            <w:tcW w:w="7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214,431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Total marketable investment securities, restricted cash and cash equivalents, and investments in</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1,041,351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1,318,010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unconsolidated entities</w:t>
            </w:r>
          </w:p>
        </w:tc>
        <w:tc>
          <w:tcPr>
            <w:tcW w:w="90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00" w:hanging="332"/>
        <w:spacing w:after="0" w:line="277"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and marketable investment securities” in our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marketable investment securities portfolio consists of various debt and equity instruments, which generally are classified as available-for-sale. As of September 30, 2015, certain of our equity securities were classified as trading securities in order to reflect our investment strategy for those securities. The value of our investment portfolio depends on the value of such securities and other instruments comprising the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strategic investment portfolio consists of investments in shares of common stock of public companies, which are highly speculative and have experienced and continue to experience volatility.</w:t>
      </w:r>
    </w:p>
    <w:p>
      <w:pPr>
        <w:sectPr>
          <w:pgSz w:w="11900" w:h="16838" w:orient="portrait"/>
          <w:cols w:equalWidth="0" w:num="1">
            <w:col w:w="11420"/>
          </w:cols>
          <w:pgMar w:left="240" w:top="118" w:right="239" w:bottom="0" w:gutter="0" w:footer="0" w:header="0"/>
        </w:sectPr>
      </w:pPr>
    </w:p>
    <w:bookmarkStart w:id="11" w:name="page12"/>
    <w:bookmarkEnd w:id="11"/>
    <w:p>
      <w:pPr>
        <w:spacing w:after="0" w:line="1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September 30, 2015 and December 31, 2014, our strategic equity securities included shares of common stock of one of our customers that we received in satisfaction of certain milestone payments that were required to be paid to us under an existing long-term contract. For the three and nine months ended September 30, 2015, “Other-than-temporary impairment loss on available-for-sale securities” included a $1.2 million and $5.9 million other-than-temporary impairment of such common stock in our available-for-sale portfolio, respectively. For the three and nine months ended September 30, 2015, “Gains (losses) on marketable investment securities, net” includes $3.9 million and $5.5 million in losses on such common stock in our trading securities portfolio, respectively, which had a fair value of $11.3 million as of September 30, 2015.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and variable rate demand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2015 and December 31, 2014, our restricted marketable investment securities, together with our restricted cash, included amounts required as collateral for our letters of credit or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 - Noncurrent</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June 2015, we purchased a noncontrolling equity investment in WorldVu Satellites Limited (“WorldVu”), a low-earth orbit satellite company. WorldVu plans to develop and operate a global network of low-earth orbit Ku-band satellites to provide internet access to fixed and mobile terminals. We do not exercise significant influence over the management of WorldVu; accordingly, we account for the investment using the cost method. Our Hughes segment entered into an agreement to sell certain equipment and services to WorldVu for the ground systems for WorldVu’s low-earth orbit satellites in connection with our investment based on then existing market terms.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2015, we acquired a 22.5% interest in the equity and subordinated debt of SmarDTV SA (“SmarDTV”), a Swiss subsidiary of Kudelski SA that offers set-top boxes and conditional access modules, in exchange for cash of $13.9 million and the contribution of several of our European subsidiaries to SmarDTV. We recorded our initial investment in SmarDTV at $20.0 million, representing our estimate of the investment’s fair value using discounted cash flow techniques. Our estimate included significant unobservable inputs related to SmarDTV’s future operations and is categorized within Level 3 of the fair value hierarchy. As of the acquisition date, we deconsolidated the contributed entities and recognized a $2.6 million loss within “Other income (expense)” in our condensed consolidated statement of operations and comprehensive income (loss), consisting of: (i) a $0.7 million loss resulting from our initial investment (at fair value) being less than our $13.9 million cash payment and the carrying amount of the net assets of the deconsolidated entities and (ii) the reclassification from accumulated other comprehensive loss of $1.9 million in foreign currency translation adjustments related to the deconsolidated entities. The net assets of the deconsolidated entities included net property and equipment of $6.7 million and cash of $0.8 million. We have the ability to exercise significant influence over SmarDTV and therefore account for our investment using the equity method. We and SmarDTV also entered into a services agreement pursuant to which our EchoStar Technologies segment purchases certain engineering services from SmarDTV. See Note 16 for information about our related party transactions with SmarDTV subsequent to the date of our initial investment.</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August 8, 2014, an option providing for an unrelated party to acquire a 51.0% equity interest in Dish Mexico was terminated. Although we have owned 49.0% of the equity of Dish Mexico since its inception in 2008, we accounted for our investment as a 24.0% equity interest using the equity method based on assumed dilution that would occur upon the exercise of the option. Upon termination of the option, we recorded a $10.3 million adjustment to increase “Equity in earnings (losses) of unconsolidated affiliates” to reflect an increase from 24.0% to 49.0% in our interest in Dish Mexico’s inception-to-date net income. For periods subsequent to the date of the termination of the option, we account for our investment in Dish Mexico as a 49.0% equity interest using the equity method.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August 1, 2014, we and DISH Digital Holding, L.L.C. (now known as Sling TV Holding L.L.C., “Sling TV Holding”) entered into an exchange agreement (the “Exchange Agreement”) pursuant to which we exchanged our one-third voting interest in Sling TV Holding, which we accounted for using the equity method, for a 10.0%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non-voting interest in Sling TV Holding, which we account for using the cost method. As part of this transaction, we received a distribution of certain noncurrent assets associated with an internet protocol television technology business, including property and equipment, technology-related intangible assets and goodwill. Because we and Sling TV Holding are entities under common control, we recorded the distributed assets at their carrying amounts in Sling TV Holding’s accounts, which totaled $34.1 million at the date of distribution, and we recorded our non-voting interest at $1.1 million, which represents 10.0% of</w:t>
      </w:r>
    </w:p>
    <w:p>
      <w:pPr>
        <w:sectPr>
          <w:pgSz w:w="11900" w:h="16945" w:orient="portrait"/>
          <w:cols w:equalWidth="0" w:num="1">
            <w:col w:w="11420"/>
          </w:cols>
          <w:pgMar w:left="240" w:top="125" w:right="239" w:bottom="0" w:gutter="0" w:footer="0" w:header="0"/>
        </w:sectPr>
      </w:pPr>
    </w:p>
    <w:bookmarkStart w:id="12" w:name="page13"/>
    <w:bookmarkEnd w:id="12"/>
    <w:p>
      <w:pPr>
        <w:ind w:right="80"/>
        <w:spacing w:after="0" w:line="257" w:lineRule="auto"/>
        <w:rPr>
          <w:sz w:val="20"/>
          <w:szCs w:val="20"/>
          <w:color w:val="auto"/>
        </w:rPr>
      </w:pPr>
      <w:r>
        <w:rPr>
          <w:rFonts w:ascii="Arial" w:cs="Arial" w:eastAsia="Arial" w:hAnsi="Arial"/>
          <w:sz w:val="18"/>
          <w:szCs w:val="18"/>
          <w:color w:val="auto"/>
        </w:rPr>
        <w:t>the carrying amount of the remaining equity in Sling TV Holding. These amounts exceeded the carrying amount of our existing equity method investment by $8.8 million, which was credited to additional paid-in capital because gain recognition generally is precluded by GAAP in exchanges between entities under common control. In connection with our obligations associated with our interest prior to the Exchange Agreement, we contributed $18.6 million in cash to Sling TV Holding during the third quarter of 2014. We have no obligation to contribute additional capital to Sling TV Holding. See Note 16 for more information regarding the Exchange Agreement with Sling TV Holding.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Unrealized</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Estimated</w:t>
            </w:r>
          </w:p>
        </w:tc>
      </w:t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6"/>
              </w:rPr>
              <w:t>Losses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42"/>
        </w:trPr>
        <w:tc>
          <w:tcPr>
            <w:tcW w:w="4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Debt securities: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731,893</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44,069</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44,074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strategic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32,225</w:t>
            </w:r>
          </w:p>
        </w:tc>
      </w:tr>
      <w:tr>
        <w:trPr>
          <w:trHeight w:val="250"/>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802,611</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808,192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70"/>
        </w:trPr>
        <w:tc>
          <w:tcPr>
            <w:tcW w:w="41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December 31, 2014</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Debt securities: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1,049,139</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59,977</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59,971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strategic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41,705</w:t>
            </w: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1,142,861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30, 2015, restricted and non-restricted marketable investment securities included debt securities of $754.2 million with contractual maturities of one year or less and $21.8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 in a Loss Position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 as of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6"/>
          </w:tcPr>
          <w:p>
            <w:pPr>
              <w:jc w:val="right"/>
              <w:ind w:right="1080"/>
              <w:spacing w:after="0" w:line="142" w:lineRule="exact"/>
              <w:rPr>
                <w:sz w:val="20"/>
                <w:szCs w:val="20"/>
                <w:color w:val="auto"/>
              </w:rPr>
            </w:pPr>
            <w:r>
              <w:rPr>
                <w:rFonts w:ascii="Arial" w:cs="Arial" w:eastAsia="Arial" w:hAnsi="Arial"/>
                <w:sz w:val="14"/>
                <w:szCs w:val="14"/>
                <w:b w:val="1"/>
                <w:bCs w:val="1"/>
                <w:color w:val="auto"/>
              </w:rPr>
              <w:t>September 30, 2015</w:t>
            </w:r>
          </w:p>
        </w:tc>
        <w:tc>
          <w:tcPr>
            <w:tcW w:w="420" w:type="dxa"/>
            <w:vAlign w:val="bottom"/>
          </w:tcPr>
          <w:p>
            <w:pPr>
              <w:spacing w:after="0"/>
              <w:rPr>
                <w:sz w:val="12"/>
                <w:szCs w:val="12"/>
                <w:color w:val="auto"/>
              </w:rPr>
            </w:pPr>
          </w:p>
        </w:tc>
        <w:tc>
          <w:tcPr>
            <w:tcW w:w="2600" w:type="dxa"/>
            <w:vAlign w:val="bottom"/>
            <w:gridSpan w:val="4"/>
          </w:tcPr>
          <w:p>
            <w:pPr>
              <w:jc w:val="right"/>
              <w:ind w:right="858"/>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19"/>
        </w:trPr>
        <w:tc>
          <w:tcPr>
            <w:tcW w:w="6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81"/>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71"/>
        </w:trPr>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0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Less than 12 months</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485,186</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12 months or more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Marketable Investment Securities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minimal gains and losses from the sales of our available-for-sale marketable investment securities for each of the three and nine months ended September 30, 2015 and 2014.</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Proceeds from sales of our available-for-sale marketable investment securities totaled $4.0 million and $36.9 million for the three months ended September 30, 2015 and 2014, respectively, and $94.2 million and $42.3 million for the nine months ended September 30, 2015 and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September 30, 2015 and December 31, 2014, we did not have investments that were categorized within Level 3 of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5"/>
              </w:rPr>
              <w:t>December 31, 2014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Level 1</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(including restricted)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701,706</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691,166</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437,886</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58,108</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Debt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731,893</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731,893</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1,049,139</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Other (including restricted)</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44,074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39,551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59,971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strategic</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43,501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ind w:left="200"/>
              <w:spacing w:after="0"/>
              <w:rPr>
                <w:sz w:val="20"/>
                <w:szCs w:val="20"/>
                <w:color w:val="auto"/>
              </w:rPr>
            </w:pPr>
            <w:r>
              <w:rPr>
                <w:rFonts w:ascii="Arial" w:cs="Arial" w:eastAsia="Arial" w:hAnsi="Arial"/>
                <w:sz w:val="18"/>
                <w:szCs w:val="18"/>
                <w:color w:val="auto"/>
              </w:rPr>
              <w:t>Total marketable investment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1,150,815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1,103,480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Trade Accounts Receivable</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6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18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r>
      <w:tr>
        <w:trPr>
          <w:trHeight w:val="171"/>
        </w:trPr>
        <w:tc>
          <w:tcPr>
            <w:tcW w:w="6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4"/>
          </w:tcPr>
          <w:p>
            <w:pPr>
              <w:jc w:val="right"/>
              <w:ind w:right="97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160,886</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Contracts in process, net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34,451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16,534</w:t>
            </w:r>
          </w:p>
        </w:tc>
        <w:tc>
          <w:tcPr>
            <w:tcW w:w="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(13,543)</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(14,188)</w:t>
            </w: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251,669</w:t>
            </w:r>
          </w:p>
        </w:tc>
        <w:tc>
          <w:tcPr>
            <w:tcW w:w="80" w:type="dxa"/>
            <w:vAlign w:val="bottom"/>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16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425,006</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September 30, 2015 and December 31, 2014, progress billings offset against contracts in process amounted to $0.8 million and $2.5 million,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Note 8.</w:t>
            </w:r>
          </w:p>
        </w:tc>
        <w:tc>
          <w:tcPr>
            <w:tcW w:w="47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3"/>
              </w:rPr>
              <w:t>Inventory</w:t>
            </w: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5320" w:type="dxa"/>
            <w:vAlign w:val="bottom"/>
            <w:gridSpan w:val="3"/>
          </w:tcPr>
          <w:p>
            <w:pPr>
              <w:spacing w:after="0"/>
              <w:rPr>
                <w:sz w:val="20"/>
                <w:szCs w:val="20"/>
                <w:color w:val="auto"/>
              </w:rPr>
            </w:pPr>
            <w:r>
              <w:rPr>
                <w:rFonts w:ascii="Arial" w:cs="Arial" w:eastAsia="Arial" w:hAnsi="Arial"/>
                <w:sz w:val="18"/>
                <w:szCs w:val="18"/>
                <w:color w:val="auto"/>
              </w:rPr>
              <w:t>Our inventory consisted of the following:</w:t>
            </w: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9"/>
        </w:trPr>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r>
      <w:tr>
        <w:trPr>
          <w:trHeight w:val="171"/>
        </w:trPr>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tcPr>
          <w:p>
            <w:pPr>
              <w:jc w:val="right"/>
              <w:ind w:right="937"/>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56,641</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49,038</w:t>
            </w: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6,192</w:t>
            </w:r>
          </w:p>
        </w:tc>
        <w:tc>
          <w:tcPr>
            <w:tcW w:w="1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40" w:type="dxa"/>
            <w:vAlign w:val="bottom"/>
            <w:shd w:val="clear" w:color="auto" w:fill="CCEEFF"/>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Pr>
          <w:p>
            <w:pPr>
              <w:jc w:val="center"/>
              <w:ind w:right="3450"/>
              <w:spacing w:after="0"/>
              <w:rPr>
                <w:sz w:val="20"/>
                <w:szCs w:val="20"/>
                <w:color w:val="auto"/>
              </w:rPr>
            </w:pPr>
            <w:r>
              <w:rPr>
                <w:rFonts w:ascii="Arial" w:cs="Arial" w:eastAsia="Arial" w:hAnsi="Arial"/>
                <w:sz w:val="18"/>
                <w:szCs w:val="18"/>
                <w:color w:val="auto"/>
                <w:w w:val="93"/>
              </w:rPr>
              <w:t>Total inventory</w:t>
            </w:r>
          </w:p>
        </w:tc>
        <w:tc>
          <w:tcPr>
            <w:tcW w:w="2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62,963</w:t>
            </w:r>
          </w:p>
        </w:tc>
        <w:tc>
          <w:tcPr>
            <w:tcW w:w="1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w w:val="96"/>
              </w:rPr>
              <w:t>Note 9.</w:t>
            </w:r>
          </w:p>
        </w:tc>
        <w:tc>
          <w:tcPr>
            <w:tcW w:w="4080" w:type="dxa"/>
            <w:vAlign w:val="bottom"/>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4"/>
          </w:tcPr>
          <w:p>
            <w:pPr>
              <w:spacing w:after="0"/>
              <w:rPr>
                <w:sz w:val="20"/>
                <w:szCs w:val="20"/>
                <w:color w:val="auto"/>
              </w:rPr>
            </w:pPr>
            <w:r>
              <w:rPr>
                <w:rFonts w:ascii="Arial" w:cs="Arial" w:eastAsia="Arial" w:hAnsi="Arial"/>
                <w:sz w:val="18"/>
                <w:szCs w:val="18"/>
                <w:color w:val="auto"/>
              </w:rPr>
              <w:t>Property and equipment consisted of the following:</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Depreciable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 Years)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7"/>
          </w:tcPr>
          <w:p>
            <w:pPr>
              <w:jc w:val="right"/>
              <w:ind w:right="9"/>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6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680" w:type="dxa"/>
            <w:vAlign w:val="bottom"/>
            <w:gridSpan w:val="2"/>
          </w:tcPr>
          <w:p>
            <w:pPr>
              <w:jc w:val="center"/>
              <w:ind w:left="1210"/>
              <w:spacing w:after="0"/>
              <w:rPr>
                <w:sz w:val="20"/>
                <w:szCs w:val="20"/>
                <w:color w:val="auto"/>
              </w:rPr>
            </w:pPr>
            <w:r>
              <w:rPr>
                <w:rFonts w:ascii="Arial" w:cs="Arial" w:eastAsia="Arial" w:hAnsi="Arial"/>
                <w:sz w:val="18"/>
                <w:szCs w:val="18"/>
                <w:color w:val="auto"/>
                <w:w w:val="94"/>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375,920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26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4"/>
              </w:rPr>
              <w:t>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1,223,807</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Customer rental equipment</w:t>
            </w:r>
          </w:p>
        </w:tc>
        <w:tc>
          <w:tcPr>
            <w:tcW w:w="2680" w:type="dxa"/>
            <w:vAlign w:val="bottom"/>
            <w:gridSpan w:val="2"/>
          </w:tcPr>
          <w:p>
            <w:pPr>
              <w:jc w:val="center"/>
              <w:ind w:left="1190"/>
              <w:spacing w:after="0"/>
              <w:rPr>
                <w:sz w:val="20"/>
                <w:szCs w:val="20"/>
                <w:color w:val="auto"/>
              </w:rPr>
            </w:pPr>
            <w:r>
              <w:rPr>
                <w:rFonts w:ascii="Arial" w:cs="Arial" w:eastAsia="Arial" w:hAnsi="Arial"/>
                <w:sz w:val="18"/>
                <w:szCs w:val="18"/>
                <w:color w:val="auto"/>
                <w:w w:val="92"/>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581,394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498,180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Satellites - owned</w:t>
            </w:r>
          </w:p>
        </w:tc>
        <w:tc>
          <w:tcPr>
            <w:tcW w:w="26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4"/>
              </w:rPr>
              <w:t>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2,381,120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Satellites acquired under capital leases</w:t>
            </w:r>
          </w:p>
        </w:tc>
        <w:tc>
          <w:tcPr>
            <w:tcW w:w="268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665,518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935,104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8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960,199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637,189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Total property and equipment</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6,231,045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6,094,146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(2,910,823)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(2,899,353)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3,320,222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3,194,793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10"/>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0"/>
              </w:rPr>
              <w:t>Progress amounts for satellite construction, including prepayments under capital leases and launch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services costs</w:t>
            </w:r>
          </w:p>
        </w:tc>
        <w:tc>
          <w:tcPr>
            <w:tcW w:w="1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836,827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583,877</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Uplinking equipment</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97,852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34,270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19,042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Construction in progress</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960,199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637,189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60"/>
          </w:cols>
          <w:pgMar w:left="240" w:top="121" w:right="19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3"/>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Satellites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51,436</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55,643</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149,677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158,782</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Furniture, fixtures, equipment and other</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29,104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30,595</w:t>
            </w:r>
          </w:p>
        </w:tc>
        <w:tc>
          <w:tcPr>
            <w:tcW w:w="4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89,504</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89,647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29,892</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91,550</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3,325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3,401</w:t>
            </w:r>
          </w:p>
        </w:tc>
        <w:tc>
          <w:tcPr>
            <w:tcW w:w="4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10,183</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10,344</w:t>
            </w:r>
          </w:p>
        </w:tc>
      </w:tr>
      <w:tr>
        <w:trPr>
          <w:trHeight w:val="210"/>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2015, we utilized 19 of our owned and leased satellites in geosynchronous orbit, approximately 22,300 miles above the equator. We depreciate our owned satellites on a straight-line basis over the estimated useful life of each satellite. Two of our satellites are accounted for as capital leases and are depreciated on a straight-line basis over the terms of the satellite service agreements. Three of our satellites are accounted for as operating leases and are not included in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Satellite Construction-Launch Services Costs. </w:t>
      </w:r>
      <w:r>
        <w:rPr>
          <w:rFonts w:ascii="Arial" w:cs="Arial" w:eastAsia="Arial" w:hAnsi="Arial"/>
          <w:sz w:val="18"/>
          <w:szCs w:val="18"/>
          <w:color w:val="auto"/>
        </w:rPr>
        <w:t>In the third quarter of 2015, we mutually agreed with a vendor to cancel an existing launch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the cancellation, we received a refund of prior payments related to the launch services, and credited the refund amount to construction in progress in the third quarter of 2015. Also in the third quarter of 2015, we entered into an agreement with a different vendor to provide for the launch services of the satellite, which is expected to be launched in the fourth quarter of 2016.</w:t>
      </w:r>
    </w:p>
    <w:p>
      <w:pPr>
        <w:spacing w:after="0" w:line="18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AMC-15 and AMC-16. </w:t>
      </w:r>
      <w:r>
        <w:rPr>
          <w:rFonts w:ascii="Arial" w:cs="Arial" w:eastAsia="Arial" w:hAnsi="Arial"/>
          <w:sz w:val="17"/>
          <w:szCs w:val="17"/>
          <w:color w:val="auto"/>
        </w:rPr>
        <w:t>In August 2014, in connection with the execution of agreements related to the EchoStar 105/SES-11 satellite, we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amendments that extend the terms of our existing agreements with SES Americom Colorado, Inc. for satellite services on the AMC-15 and AMC-16 satellites. As amended, the term of our agreement for satellite services on certain transponders on the AMC-15 satellite was extended from December 2014 through the in-service date of the EchoStar 105/SES-11 satellite. The amended agreement for the AMC-16 satellite services extends the term for the satellite’s entire communications capacity, subject to available power, for one year following expiration of the initial term in February 2015. The extended terms of these agreements are being accounted for as operating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of our satellites have experienced anomalies, some of which have had a significant adverse impact on their remaining useful lives and/or the commercial operation of the satellites. There can be no assurance that existing and future anomalies will not further impact the remaining useful life and/or the commercial operation of any of the satellites in our fleet. In addition, there can be no assurance that we can recover critical transmission capacity in the event one or more of our in-orbit satellites were to fail. We generally do not carry in-orbit insurance on our satellites; therefore, we generally bear the risk of any uninsured in-orbit failures. Pursuant to the terms of the agreements governing certain portions of our indebtedness, we are required, subject to certain limitations on coverage, to maintain launch and in-orbit insurance for our SPACEWAY 3, EchoStar XVI, and EchoStar XVII satellites. In addition, although we are not required to maintain in-orbit insurance pursuant to our service agreement with DISH Network for the EchoStar XV satellite, we are liable for any damage caused by our use of the satellite and therefore we carry third-party insurance on the EchoStar XV satellite.</w:t>
      </w:r>
    </w:p>
    <w:p>
      <w:pPr>
        <w:spacing w:after="0" w:line="16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have previously disclosed in our financial statements as of and for the year ended December 31, 2014 anomalies in prior years that affect our in-service owned and leased satellites, including the EchoStar III, EchoStar VI, EchoStar VIII, EchoStar XII, and AMC-16 satellites. In August 2015, SPACEWAY 3 experienced an anomaly causing one of the two on-board computers used to control the satellite payload to temporarily go offline, causing 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interruption of service. The issue has since been resolved and the satellite is functioning normally. This anomaly did not affect the long-term commercial operations of the satellite or its estimated useful life. We are not aware of any additional anomalies that have occurred with respect to any of our owned or leased satellites in 2015 as of the date of this report that have materially affected the commercial operation of these satellites or their useful life. The EchoStar III and EchoStar VI satellites are fully depreciated and the EchoStar III satellite is being used as an in-orbit spare; accordingly, the prior anomalies affecting these satellites have not had a significant effect on our operating results and cash flows. The EchoStar XII satellite, as previously disclosed in our Form 10-K, has experienced several anomalies, which have resulted in a loss of electrical power. Those anomalies have not had a significant adverse impact on service under the related satellite services agreement with DISH Network for the EchoStar XII satellite; however, the anomalies have increased the risk of future transponder failures that could result in reductions in our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Impairments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ectPr>
          <w:pgSz w:w="11900" w:h="16838" w:orient="portrait"/>
          <w:cols w:equalWidth="0" w:num="1">
            <w:col w:w="11400"/>
          </w:cols>
          <w:pgMar w:left="240" w:top="341" w:right="259" w:bottom="0" w:gutter="0" w:footer="0" w:header="0"/>
        </w:sectPr>
      </w:pPr>
    </w:p>
    <w:bookmarkStart w:id="15" w:name="page16"/>
    <w:bookmarkEnd w:id="15"/>
    <w:p>
      <w:pPr>
        <w:ind w:right="8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our reporting units of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2015 and December 31, 2014, approximately $504.2 million of our goodwill was assigned to reporting units of our Hughes segment. We test this goodwill for impairment annually in the second quarter. Based on our qualitative assessment of impairment of such goodwill in the second quarter of 2015, we determined that it was not more likely than not that the fair values of the Hughes segment reporting units were less than the corresponding carrying amounts.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August 2014, we and Sling TV Holding entered into the Exchange Agreement pursuant to which, among other things, Sling TV Holding distributed certain assets to us at their carrying amounts, including our Move Network business with associated goodwill of $6.5 million. See Note 16 for a description of the Exchange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Finite useful lives: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Cost</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103,499</w:t>
            </w:r>
          </w:p>
        </w:tc>
        <w:tc>
          <w:tcPr>
            <w:tcW w:w="16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(22,078)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81,421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w:t>
            </w: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72,686</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Indefinite lives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471,657</w:t>
            </w:r>
          </w:p>
        </w:tc>
        <w:tc>
          <w:tcPr>
            <w:tcW w:w="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544,343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September 30, 2015</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Useful life</w:t>
            </w:r>
          </w:p>
        </w:tc>
        <w:tc>
          <w:tcPr>
            <w:tcW w:w="24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293,932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87,426</w:t>
            </w: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293,932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(185,393)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Contract-based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255,366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(247,619)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7,747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255,366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(233,009)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29,097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Trademark portfolio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23,265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0"/>
              <w:spacing w:after="0"/>
              <w:rPr>
                <w:sz w:val="20"/>
                <w:szCs w:val="20"/>
                <w:color w:val="auto"/>
              </w:rPr>
            </w:pPr>
            <w:r>
              <w:rPr>
                <w:rFonts w:ascii="Arial" w:cs="Arial" w:eastAsia="Arial" w:hAnsi="Arial"/>
                <w:sz w:val="18"/>
                <w:szCs w:val="18"/>
                <w:color w:val="auto"/>
              </w:rPr>
              <w:t>Total other intangible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147,535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724,542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(528,880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including amortization of regulatory authorizations with finite lives and externally marketed capitalized software, was $18.2 million and $22.8 million for the three months ended September 30, 2015 and 2014, respectively, and $57.6 million and $70.6 million for the nine months ended September 30, 2015 and 2014, respectively.</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5"/>
          </w:tcPr>
          <w:p>
            <w:pPr>
              <w:ind w:left="500"/>
              <w:spacing w:after="0" w:line="142" w:lineRule="exact"/>
              <w:rPr>
                <w:sz w:val="20"/>
                <w:szCs w:val="20"/>
                <w:color w:val="auto"/>
              </w:rPr>
            </w:pPr>
            <w:r>
              <w:rPr>
                <w:rFonts w:ascii="Arial" w:cs="Arial" w:eastAsia="Arial" w:hAnsi="Arial"/>
                <w:sz w:val="14"/>
                <w:szCs w:val="14"/>
                <w:b w:val="1"/>
                <w:bCs w:val="1"/>
                <w:color w:val="auto"/>
              </w:rPr>
              <w:t>September 30, 2015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5"/>
          </w:tcPr>
          <w:p>
            <w:pPr>
              <w:jc w:val="right"/>
              <w:ind w:right="617"/>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r>
      <w:tr>
        <w:trPr>
          <w:trHeight w:val="119"/>
        </w:trPr>
        <w:tc>
          <w:tcPr>
            <w:tcW w:w="5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60"/>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5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5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right"/>
              <w:ind w:right="10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6 1/2% Senior Secured Notes due 2019</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1,069,200</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7 5/8% Senior Notes due 2021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900,000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969,192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994,500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r>
      <w:tr>
        <w:trPr>
          <w:trHeight w:val="250"/>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Subtotal</w:t>
            </w:r>
          </w:p>
        </w:tc>
        <w:tc>
          <w:tcPr>
            <w:tcW w:w="8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1,890,885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2,039,277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2,001,240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2,172,740</w:t>
            </w:r>
          </w:p>
        </w:tc>
        <w:tc>
          <w:tcPr>
            <w:tcW w:w="100" w:type="dxa"/>
            <w:vAlign w:val="bottom"/>
            <w:tcBorders>
              <w:bottom w:val="single" w:sz="8" w:color="CCEEFF"/>
            </w:tcBorders>
          </w:tcPr>
          <w:p>
            <w:pPr>
              <w:spacing w:after="0"/>
              <w:rPr>
                <w:sz w:val="21"/>
                <w:szCs w:val="21"/>
                <w:color w:val="auto"/>
              </w:rPr>
            </w:pPr>
          </w:p>
        </w:tc>
      </w:tr>
      <w:tr>
        <w:trPr>
          <w:trHeight w:val="170"/>
        </w:trPr>
        <w:tc>
          <w:tcPr>
            <w:tcW w:w="5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Capital lease obligations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8"/>
                <w:szCs w:val="18"/>
                <w:color w:val="auto"/>
              </w:rPr>
              <w:t>337,328</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8"/>
                <w:szCs w:val="18"/>
                <w:color w:val="auto"/>
              </w:rPr>
              <w:t>366,447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0"/>
        </w:trPr>
        <w:tc>
          <w:tcPr>
            <w:tcW w:w="5040" w:type="dxa"/>
            <w:vAlign w:val="bottom"/>
          </w:tcPr>
          <w:p>
            <w:pPr>
              <w:ind w:left="200"/>
              <w:spacing w:after="0"/>
              <w:rPr>
                <w:sz w:val="20"/>
                <w:szCs w:val="20"/>
                <w:color w:val="auto"/>
              </w:rPr>
            </w:pPr>
            <w:r>
              <w:rPr>
                <w:rFonts w:ascii="Arial" w:cs="Arial" w:eastAsia="Arial" w:hAnsi="Arial"/>
                <w:sz w:val="18"/>
                <w:szCs w:val="18"/>
                <w:color w:val="auto"/>
              </w:rPr>
              <w:t>Total debt and capital lease obligations</w:t>
            </w: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2,228,213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040" w:type="dxa"/>
            <w:vAlign w:val="bottom"/>
          </w:tcPr>
          <w:p>
            <w:pPr>
              <w:ind w:left="200"/>
              <w:spacing w:after="0"/>
              <w:rPr>
                <w:sz w:val="20"/>
                <w:szCs w:val="20"/>
                <w:color w:val="auto"/>
              </w:rPr>
            </w:pPr>
            <w:r>
              <w:rPr>
                <w:rFonts w:ascii="Arial" w:cs="Arial" w:eastAsia="Arial" w:hAnsi="Arial"/>
                <w:sz w:val="18"/>
                <w:szCs w:val="18"/>
                <w:color w:val="auto"/>
              </w:rPr>
              <w:t>Long-term portion of debt and capital lease obligations</w:t>
            </w:r>
          </w:p>
        </w:tc>
        <w:tc>
          <w:tcPr>
            <w:tcW w:w="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2,195,985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341" w:right="199" w:bottom="36" w:gutter="0" w:footer="0" w:header="0"/>
        </w:sectPr>
      </w:pPr>
    </w:p>
    <w:bookmarkStart w:id="16" w:name="page17"/>
    <w:bookmarkEnd w:id="16"/>
    <w:p>
      <w:pPr>
        <w:jc w:val="both"/>
        <w:ind w:right="80"/>
        <w:spacing w:after="0" w:line="264" w:lineRule="auto"/>
        <w:rPr>
          <w:sz w:val="20"/>
          <w:szCs w:val="20"/>
          <w:color w:val="auto"/>
        </w:rPr>
      </w:pPr>
      <w:r>
        <w:rPr>
          <w:rFonts w:ascii="Arial" w:cs="Arial" w:eastAsia="Arial" w:hAnsi="Arial"/>
          <w:sz w:val="18"/>
          <w:szCs w:val="18"/>
          <w:color w:val="auto"/>
        </w:rPr>
        <w:t>On June 12, 2015, we redeemed $110.0 million of HSS’ 6 1/2% Senior Secured Notes due 2019 (the “Senior Secured Notes”) at a redemption price equal to 103.0% of the principal amount plus related accrued interest. As a result, we recorded a $5.0 million loss consisting of the $3.3 million redemption premium and $1.7 million representing the write-off of related deferred financing costs.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Our quarterly tax provision, and our quarterly estimate of our annual effective tax rate, is subject to significant volatility due to several factors, including variability in accurately predicting our pre-tax and taxable income and loss and the mix of jurisdictions to which they relate, income and losses from investments, changes in tax laws and relative changes of expenses or losses for which tax benefits are not recognized. Additionally, our effective tax rate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can be more or less volatile based on the amount of pre-tax income. For example, the impact of discrete items and non-deductible expenses on our effective tax rate is greater when our pre-tax income is lower.</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Income tax expense was approximately $65.8 million and $28.2 million for the nine months ended September 30, 2015 and 2014, respectively. Our effective income tax rate was 43.1% and 22.0% for the nine months ended September 30, 2015 and 2014, respectively. The variation in our current year effective tax rate from the U.S. federal statutory rate for the nine months ended September 30, 2015 was primarily due to the increase in our valuation allowance associated with certain foreign losses as well as realized and unrealized losses that are capital in nature for tax purposes, partially offset by research and experimentation tax credits. For the nine months ended September 30, 2014, the variation in our effective tax rate from the U.S. federal statutory rate was primarily due to research and experimentation tax credits and a lower state effective tax rate, partially offset by the increase in our valuation allowance associated with realized and unrealized losses that are capital in nature for tax purposes.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stock incentive plans to attract and retain officers, directors and key employees. Stock awards under these plans include both performance based and non-performance based stock incentives. We granted stock options to our employees and nonemployee directors to acquire 27,000 and 909,000 shares of our Class A common stock for the three and nine months ended September 30, 2015, respectively. We granted stock options to our employees and nonemployee directors to acquire 100,000 and 315,000 shares of our Class A common stock for the three and nine months ended September 30, 2014, respectively.</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granted zero and 100,000 restricted stock units (“RSU”) for the three and nine months ended September 30, 2015, respectively. The RSUs vest based on the attainment of certain quarterly company performance criteria for the second, third and fourth quarters of 2015 and will expire on March 31, 2016. During the three and nine months ended September 30, 2015, 33,333 of the RSUs vested.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stock-based compensation expense was recorded in our condensed consolidated statements of operations and comprehensive income (loss) as follows: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16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4320" w:type="dxa"/>
            <w:vAlign w:val="bottom"/>
          </w:tcPr>
          <w:p>
            <w:pPr>
              <w:spacing w:after="0"/>
              <w:rPr>
                <w:sz w:val="14"/>
                <w:szCs w:val="14"/>
                <w:color w:val="auto"/>
              </w:rPr>
            </w:pPr>
          </w:p>
        </w:tc>
        <w:tc>
          <w:tcPr>
            <w:tcW w:w="21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Ended September 30,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4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1,270</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4,646</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2,885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8,888</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720" w:type="dxa"/>
            <w:vAlign w:val="bottom"/>
            <w:tcBorders>
              <w:top w:val="single" w:sz="8" w:color="auto"/>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September 30, 2015, total unrecognized stock-based compensation cost, net of estimated forfeitures, related to our unvested stock awards was $38.4 million.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September 30, 2015, our satellite-related obligations were approximately $1.27 billion. Our satellite-related obligations primarily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00"/>
          </w:cols>
          <w:pgMar w:left="240" w:top="125"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have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 We record an accrual for litigation and other loss contingencies when we determine that a loss is probable and the amount of the loss can be reasonably estimated. Legal fees and other costs of defending litigation are charged to expense as incurred.</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certain cases described below, management is unable to provide a meaningful estimate of the possible loss or range of possible loss because, among other reasons, (i) the proceedings are in various stages; (ii) damages have not been sought; (iii) damages are unsupported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Institute of Technology</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 Hopper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set-top box that we design and sell to DISH Network, as well as certain of our Hughes segment’s satellite broadband products and services, infringe the asserted patents by implementing the DVB-S2 standard. On September 26, 2014, Caltech requested leave to amend its Amended Complaint to add EchoStar Corporation and our subsidiary, EchoStar Technologies L.L.C. as defendants, as well as to allege that a number of additional set-top boxes infringe the asserted patents. On November 7, 2014, the Court rejected that request. Additionally, on November 4, 2014, the Court ruled that the patent claims at issue in the suit are directed to patentable subject matter. On February 17, 2015, Caltech filed a second complaint in the same district against the same defendants alleging that HNS’ Gen4 HT1000 and HT1100 products infringe the same patents asserted in the first case. We answered that second complaint on March 24, 2015. The trial for the first case which was scheduled to commence on April 20, 2015, was vacated by the Court on March 16, 2015 and a new trial date has yet to be set. On May 5, 2015, the Court granted summary judgment for us on a number of issues, finding that Caltech’s damages theory improperly apportioned alleged damages, that allegations of infringement against DISH Network, DISH Network L.L.C., and dishNET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Satellite Broadband L.L.C. should be dismissed from the case, and affirming that Caltech could not assert infringement under the doctrine of equivalents. The Court also granted motions by Caltech seeking findings that certain of its patents were not indefinite or subject to equitable estoppel. The Court otherwise denied motions for summary judgment, including a motion by Caltech seeking summary judgment of infringement. On May 14, 2015, the judge assigned to the case passed away. A new judge has not yet been formally assigned.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parties are discussing resolving these cases without further litigation. There can be no assurance that a settlement agreement will be reached. If a settlement agreement is not reached, we cannot predict with any degree of certainty the outcome of the suit or determine the extent of any potential liability or damages and 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our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ClearPlay, Inc.</w:t>
      </w:r>
    </w:p>
    <w:p>
      <w:pPr>
        <w:spacing w:after="0" w:line="225"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On March 13, 2014, ClearPlay, Inc. (“ClearPlay”) filed a complaint against EchoStar Corporation and our subsidiary, EchoStar Technologies L.L.C., as well as against DISH Network and DISH Network L.L.C. in the United States District Court for the District of Utah. The complaint alleges infringement of United States Patent Nos. 6,898,799, entitled “Multimedia Content Navigation and Playback”; 7,526,784, entitled “Delivery of Navigation Data for Playback of Audio and Video Content”; 7,543,318, entitled “Delivery of Navigation Data for Playback of Audio and Video Content”; 7,577,970, entitled “Multimedia Content Navigation and Playback”; and 8,117,282, entitled “Media Player Configured to Receive Playback Filters From Alternative Storage Mediums.” ClearPlay alleges that the AutoHop™ feature of the Hopper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set-top box infringes the asserted patents. On February 11, 2015, the Court stayed the case</w:t>
      </w:r>
    </w:p>
    <w:p>
      <w:pPr>
        <w:sectPr>
          <w:pgSz w:w="11900" w:h="16838" w:orient="portrait"/>
          <w:cols w:equalWidth="0" w:num="1">
            <w:col w:w="11420"/>
          </w:cols>
          <w:pgMar w:left="240" w:top="337" w:right="23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pending various third-party challenges before the United States Patent and Trademark Office regarding the validity of certain of the patents ClearPlay asserted in the case.</w:t>
      </w:r>
    </w:p>
    <w:p>
      <w:pPr>
        <w:spacing w:after="0" w:line="17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CRFD Research, Inc. (a subsidiary of Marathon Patent Group, Inc.)</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January 17, 2014, CRFD Research, Inc. (“CRFD”) filed a complaint against EchoStar Corporation and our subsidiary, EchoStar Technologies L.L.C., as well as against DISH Network, DISH DBS Corporation and DISH Network L.L.C., in United States District Court for the District of Delaware, alleging infringement of United States Patent No. 7,191,233 (the “233 patent”). The 233 patent is entitled “System for Automated, Mid-Session, User-Directed, Device-to-Device Session Transfer System,” and relates to transferring an ongoing software session from one device to another. CRFD alleges that certain of our set-top boxes infringe the 233 patent. On the same day, CRFD filed patent infringement complaints against AT&amp;T Inc.; Comcast Corp.; DirecTV; Time Warner Cable Inc.; Cox Communications, Inc.; Level 3 Communications, Inc.; Akamai Technologies, Inc.; Cablevision Systems Corp. and Limelight Networks, Inc. On January 26, 2015, we and DISH Network filed a petition before the United States Patent and Trademark Office challenging the validity of the 233 patent. The United States Patent and Trademark Office has agreed to institute a proceeding on our petition, as well as on two third-party petitions challenging the validity of the 233 patent. On June 4, 2015, the litigation in the District Court was ordered stayed pending resolution of the proceeding before the United States Patent and Trademark Office. CRFD is an entity that seeks to license an acquired patent portfolio without itself practicing any of the claims recited therein.</w:t>
      </w:r>
    </w:p>
    <w:p>
      <w:pPr>
        <w:spacing w:after="0" w:line="1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March 16, 2015, the defendants filed motions to dismiss portions of Elbit’s complaint. On April 2, 2015, Elbit responded to those motions to dismiss and further filed an amended complaint removing Helm Hotels Group as a defendant, but making similar allegations against a new defendant, Country Home Investments, Inc. On April 20, 2015, the defendants filed motions to dismiss portions of Elbit’s amended complaint.</w:t>
      </w:r>
    </w:p>
    <w:p>
      <w:pPr>
        <w:spacing w:after="0" w:line="19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Hopper Litigation</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24, 2012, DISH Network L.L.C., filed suit in the United States District Court for the Southern District of New York against American Broadcasting Companies, Inc. (“ABC”), CBS Corporation (“CBS”), Fox Entertainment Group, Inc., Fox Television Holdings, Inc., Fox Cable Network Services, L.L.C. (collectively, “Fox”) and NBCUniversal Media, LLC (“NBC”). The lawsuit seeks a declaratory judgment that DISH Network L.L.C is not infringing any defendant’s copyright, or breaching any defendant’s retransmission consent agreement, by virtue of the PrimeTime Anytime™ and AutoHop features of the Hopper™ set-top boxes we design and sell to DISH Network. A consumer can use the PrimeTime Anytime feature at his or her option, to record certain primetime programs airing on ABC, CBS, Fox, and/or NBC up to every night, and to store those recordings for up to eight days. A consumer can use the AutoHop feature at his or her option, to watch certain recordings the subscriber made with our PrimeTime Anytime feature, commercial-free, if played back at a certain point after the show’s original airing.</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Later on May 24, 2012, (i) Fox Broadcasting Company, Twentieth Century Fox Film Corp. and Fox Television Holdings, Inc. filed a lawsuit against DISH Network and DISH Network L.L.C. (collectively, “DISH”) in the United States District Court for the Central District of California, alleging that the PrimeTime Anytime feature, the AutoHop feature, as well as DISH’s use of Slingbox placeshifting functionality infringe their copyrights and breach their retransmission consent agreements, (ii) NBC Studios LLC, Universal Network Television, LLC, Open 4 Business Productions LLC and NBCUniversal Media, LLC filed a lawsuit against DISH in the United States District Court for the Central District of California, alleging that the PrimeTime Anytime feature and the AutoHop feature infringe their copyrights, and (iii) CBS Broadcasting Inc., CBS Studios Inc. and Survivor Productions LLC filed a lawsuit against DISH in the United States District Court for the Central District of California, alleging that the PrimeTime Anytime feature and the AutoHop feature infringe their copyrights.</w:t>
      </w:r>
    </w:p>
    <w:p>
      <w:pPr>
        <w:spacing w:after="0" w:line="19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a result of certain parties’ competing counterclaims and venue-related motions brought in both the New York and California actions, as described below, and certain networks filing various amended complaints, the claims have proceeded in the following venues: (1) the copyright and contract claims regarding the ABC and CBS parties in New York; and (2) the copyright and contract claims regarding the Fox and NBC parties in California.</w:t>
      </w:r>
    </w:p>
    <w:p>
      <w:pPr>
        <w:sectPr>
          <w:pgSz w:w="11900" w:h="16838" w:orient="portrait"/>
          <w:cols w:equalWidth="0" w:num="1">
            <w:col w:w="11400"/>
          </w:cols>
          <w:pgMar w:left="240" w:top="125" w:right="259" w:bottom="40" w:gutter="0" w:footer="0" w:header="0"/>
        </w:sectPr>
      </w:pPr>
    </w:p>
    <w:bookmarkStart w:id="19" w:name="page20"/>
    <w:bookmarkEnd w:id="19"/>
    <w:p>
      <w:pPr>
        <w:ind w:right="200"/>
        <w:spacing w:after="0" w:line="264" w:lineRule="auto"/>
        <w:rPr>
          <w:sz w:val="20"/>
          <w:szCs w:val="20"/>
          <w:color w:val="auto"/>
        </w:rPr>
      </w:pPr>
      <w:r>
        <w:rPr>
          <w:rFonts w:ascii="Arial" w:cs="Arial" w:eastAsia="Arial" w:hAnsi="Arial"/>
          <w:sz w:val="18"/>
          <w:szCs w:val="18"/>
          <w:i w:val="1"/>
          <w:iCs w:val="1"/>
          <w:color w:val="auto"/>
        </w:rPr>
        <w:t>California Actions</w:t>
      </w:r>
      <w:r>
        <w:rPr>
          <w:rFonts w:ascii="Arial" w:cs="Arial" w:eastAsia="Arial" w:hAnsi="Arial"/>
          <w:sz w:val="18"/>
          <w:szCs w:val="18"/>
          <w:color w:val="auto"/>
        </w:rPr>
        <w:t>. On August 17, 2012, the NBC plaintiffs filed a first amended complaint in their California action adding EchoStar Corporation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EchoStar Technologies L.L.C. to the NBC litigation, alleging various claims of copyright infringement. We and our subsidiary answered on September 18,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November 7, 2012, the California court denied the Fox plaintiffs’ motion for a preliminary injunction to enjoin the Hopper set-top box’s PrimeTime Anytime and AutoHop features, and the Fox plaintiffs appealed. On March 27, 2013, at the request of the parties, the Central District of California granted a stay of all proceedings in the action brought by the NBC plaintiffs, pending resolution of the appeal by the Fox plaintiffs. On July 24, 2013, the United States Court of Appeals for the Ninth Circuit affirmed the denial of the Fox plaintiffs’ motion for a preliminary injunction as to the PrimeTime Anytime and AutoHop features. On August 7, 2013, the Fox plaintiffs filed a petition for rehearing and rehearing en banc, which was denied on January 24, 2014. The United States Supreme Court granted the Fox plaintiffs an extension until May 23, 2014 to file a petition for writ of certiorari, but they did not file. As a result, the stay of the NBC plaintiffs’ action expired. On August 6, 2014, at the request of the parties, the Central District of California granted a further stay of all proceedings in the action brought by the NBC plaintiffs, pending a final judgment on all claims in the Fox plaintiffs’ action. No trial date is currently set on the NBC claims.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on February 21, 2013, the Fox plaintiffs filed a second motion for preliminary injunction against: (i) DISH Network, seeking to enjoin the Hopper Transfers™ feature in the second-generation Hopper set-top box, alleging breach of a retransmission consent agreement; and (ii) EchoStar Technologies L.L.C. and DISH Network, seeking to enjoin the Slingbox placeshifting functionality in the second-generation Hopper set-top box, alleging copyright infringement by both defendants, and breach of the earlier-mentioned retransmission consent agreement by DISH Network. The Fox plaintiffs’ motion was denied on September 23, 2013. The Fox plaintiffs appealed, and on July 14, 2014, the United States Court of Appeals for the Ninth Circuit affirmed the denial of the Fox plaintiffs’ motion. On October 17, 2014, the California court heard oral argument on the Fox plaintiffs’ and our respective motions for summary judgment. On January 12, 2015, the Court entered an order ruling on the parties’ respective summary judgment motions, holding that: (a) the Slingbox placeshifting functionality and the PrimeTime Anytime, AutoHop and Hopper Transfers features do not violate copyright law; (b) certain quality assurance copies (which were discontinued in November 2012) did violate copyright law; and (c) the Slingbox placeshifting functionality, the Hopper Transfers feature and certain quality assurance copies breach DISH’s retransmission consent agreement with Fox. The only issue remaining for trial is to the amount of damages, if any, on the claims upon which the Fox plaintiffs prevailed on summary judgement, but the Court ruled that the Fox plaintiffs could not pursue disgorgement as a remedy. At the parties’ joint request, the Court has stayed the case until January 15, 2016 and no trial date has been set.</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New York Actions</w:t>
      </w:r>
      <w:r>
        <w:rPr>
          <w:rFonts w:ascii="Arial" w:cs="Arial" w:eastAsia="Arial" w:hAnsi="Arial"/>
          <w:sz w:val="18"/>
          <w:szCs w:val="18"/>
          <w:color w:val="auto"/>
        </w:rPr>
        <w:t>. On October 9, 2012, the ABC plaintiffs filed copyright counterclaims in the New York action against EchoStar Technologies, L.L.C.,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CBS plaintiffs filing similar copyright counterclaims in the New York action against EchoStar Technologies L.L.C. on October 12, 2012. Additionally, the CBS plaintiffs filed a counterclaim alleging that DISH Network fraudulently concealed the AutoHop feature when negotiating the renewal of its CBS retransmission consent agreement.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23, 2012, the ABC plaintiffs filed a motion for a preliminary injunction to enjoin the Hopper set-top box’s PrimeTime Anytime and AutoHop features. On September 18, 2013, the New York court denied that motion. The ABC plaintiffs appealed, and oral argument on the appeal was heard on February 20, 2014 before the United States Court of Appeals for the Second Circuit. Pursuant to a settlement between us and the ABC parties, on March 4, 2014, the ABC parties withdrew their appeal to the United States Court of Appeals for the Second Circuit, and, on March 6, 2014, we and the ABC parties dismissed without prejudice all of our respective claims pending in the United States District Court for the Southern District of New York. The CBS claims in the New York action were scheduled for trial on May 29, 2015. However, on December 6, 2014 the parties to the CBS case reached a settlement agreement and all claims pending in New York Court were dismissed with prejudice on December 10, 2014.</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intend to vigorously prosecute and defend our position in these cases. In the event that a court ultimately determines that we infringe the asserted copyrights, we may be subject to substantial damages, and/or an injunction that could require us to materially modify certain features that we currently offer to DISH Network. An adverse decision against DISH Network could decrease the number of Sling enabled set-top boxes we sell to DISH Network, which could have an adverse impact on the business operations of our EchoStar Technologies segment. In addition, to the extent that DISH Network experiences fewer gross new subscriber additions, sales of our digital set-top boxes and related components to DISH Network may further decline, which in turn could have a material adverse effect 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financial position and results of operations. We cannot predict with any degree of certainty the outcome of these suits or determine the extent of any potential liability or damages.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Kappa Digital, LLC</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June 1, 2015, Kappa Digital LLC (“Kappa”) filed suit against our subsidiary HNS in the United States District Court for the Eastern District of Texas alleging infringement of United States Patent No. 6,349,135, entitled “Method and System for a Wireless Digital Message Service.” Kappa generally alleges that HNS’ “HughesNet Gen 4 residential internet service/systems” and “HughesNet Business Broadband service/systems” infringe its asserted patent. Kappa is an entity that seeks to license an acquired patent portfolio without itself practicing any of the claims recited therein.</w:t>
      </w:r>
    </w:p>
    <w:p>
      <w:pPr>
        <w:sectPr>
          <w:pgSz w:w="11900" w:h="16838" w:orient="portrait"/>
          <w:cols w:equalWidth="0" w:num="1">
            <w:col w:w="11420"/>
          </w:cols>
          <w:pgMar w:left="240" w:top="125" w:right="239" w:bottom="0" w:gutter="0" w:footer="0" w:header="0"/>
        </w:sectPr>
      </w:pPr>
    </w:p>
    <w:bookmarkStart w:id="20" w:name="page21"/>
    <w:bookmarkEnd w:id="20"/>
    <w:p>
      <w:pPr>
        <w:spacing w:after="0" w:line="3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 we may be subject to substantial damages, which may include treble damages, and/or an injunction that could cause us to materially modify certain features that we currently offer to consumers. We cannot predict with any degree of certainty the outcome of this suit or determine the extent of any potential liability or damages.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LightSquared/Harbinger Capital Partners LLC (LightSquared Bankruptcy)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August 6, 2013, Harbinger Capital Partners LLC and other affiliates of Harbinger (collectively, “Harbinger”), a shareholder of LightSquared Inc. (“LightSquared”), filed an adversary proceeding against EchoStar Corporation, DISH Network, L-Band Acquisition, LLC (“LBAC”), Charles W. Ergen (our Chairman), SP Special Opportunities, LLC (“SPSO”) (an entity controlled by Mr. Ergen), and certain other parties, in the LightSquared bankruptcy cases pending in the United States Bankruptcy Court for the Southern District of New York (the “Bankruptcy Court”), which cases are jointly administered under the caption In re LightSquared Inc., et. al., Case No. 12 12080 (SCC). Harbinger alleged, among other things, claims based on fraud, unfair competition, civil conspiracy and tortious interference with prospective economic advantage related to certain purchases of LightSquared secured debt by SPSO. Subsequently, LightSquared intervened to join in certain claims alleged against certain defendants other than us, DISH Network and LBAC.</w:t>
      </w:r>
    </w:p>
    <w:p>
      <w:pPr>
        <w:spacing w:after="0" w:line="16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On October 29, 2013, the Bankruptcy Court dismissed all of the claims against us in Harbinger’s complaint in their entirety, but granted leave for LightSquared to file its own complaint in intervention. On November 15, 2013, LightSquared filed its complaint, which included various claims against us, DISH Network, Mr. Ergen and SPSO. On December 2, 2013, Harbinger filed an amended complaint, asserting various claims against SPSO. On December 12, 2013, the Bankruptcy Court dismissed several of the claims asserted by LightSquared and Harbinger. The surviving claims included, among others, LightSquared’s claims against SPSO for declaratory relief, breach of contract and statutory disallowance; LightSquared’s tortious interference claim against us, DISH Network and Mr. Ergen; and Harbinger’s claim against SPSO for statutory disallowance. These claims proceeded to a non-jury trial on January 9, 2014, which concluded on January 17, 2014. The parties submitted post-trial briefs and a hearing for closing arguments occurred on March 17, 2014. In its Post-Trial Findings of Fact and Conclusions of Law entered on June 10, 2014, the Bankruptcy Court rejected all claims against us and DISH Network, and it rejected some but not all claims against the other defendants. On July 7, 2015, the United States District Court for the Southern District of New York denied Harbinger’s motion for an appeal of certain Bankruptcy Court orders in the adversary proceeding.</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intend to vigorously defend any claims against us in this proceeding and cannot predict with any degree of certainty the outcome of this proceeding or determine the extent of any potential liability or damages.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On July 10, 2015, Messrs. Michael Heskiaoff and Marc Langenohl, purportedly on behalf of themselves and all others similarly situated, filed suit against our subsidiary Sling Media, Inc. in the United Stated District Court for the Southern District of New York. The complaint alleges that Sling Media Inc.’s display of advertising to its customers violates a number of state statutes dealing with consumer deception. On September 25, 2015, the plaintiffs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filed an amended complaint, and Mr. Rafael Mann, purportedly on behalf of himself and all others similarly situated, filed an additional complaint alleging similar causes of action.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Personalized Media Communications, Inc.</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During 2008, Personalized Media Communications, Inc. (“PMC”) filed suit against EchoStar Corporation, DISH Network and Motorola Inc. in the United States District Court for the Eastern District of Texas alleging infringement of United States Patent Nos. 5,109,414; 4,965,825; 5,233,654; 5,335,277; and 5,887,243, which relate to satellite signal processing. PMC is an entity that seeks to license an acquired patent portfolio without itself practicing any of the claims recited therein. Subsequently, Motorola Inc. settled with PMC, leaving DISH Network and us as defendants. On July 18, 2012, pursuant to a Court order, PMC filed a Second Amended Complaint that added Rovi Guides, Inc. (f/k/a/ Gemstar-TV Guide International, Inc.) and TVG-PMC, Inc. (collectively, “Gemstar”) as a party, and added a new claim against all defendants seeking a declaratory judgment as to the scope of Gemstar’s license to the patents in suit, under which DISH Network and we are sublicensees. On August 12, 2014, in response to the parties’ respective summary judgment motions related to the Gemstar license issues, the Court ruled in favor of PMC and dismissed all claims by or against Gemstar and entered partial final judgment in PMC’s favor as to those claims. On September 16, 2014, we and DISH Network filed a notice of appeal of that partial final judgment, which is pending. On November 5, 2014, PMC supplemented its expert report on damages, dropping a higher value damages theory and disclosing that it seeks damages ranging from</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$167 million to $447 million as of September 30, 2014, excluding pre-judgment interest and possible treble damages under Federal law. On May 7, 2015, we, DISH Network and PMC entered into a settlement and release agreement that provided, among other things, for a license by PMC to us and DISH Network for certain patents and patent applications and the dismissal of all of PMC’s claims in the action against us and DISH Network with prejudice. In June 2015, we and DISH Network agreed that we would contribute a one-time payment of $5.0 million towards the settlement under the agreements entered into in connection with the Spin-off and the 2012 Receiver Agreement. On June 4, 2015, the Court dismissed all of PMC’s claims in the action against us and DISH Network with prejudice. We have recorded a loss related to the settlement within “Selling, general and administrative expenses” in our condensed consolidated statement of operations and comprehensive income (loss) of zero and $5.0 million for the three and nine months ended September 30, 2015,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Phoenix Licensing, L.L.C./LPL Licensing, L.L.C.</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July 30, 2015, Phoenix Licensing, L.L.C. and LPL Licensing, L.L.C. (together referred to as “Phoenix”) filed a complaint against our subsidiary HNS in the United States District Court for the Eastern District of Texas, alleging infringement of United States Patent Nos. 5,987,434, entitled “Apparatus and Method for Transacting Marketing and Sales of Financial Products”; 7,890,366, entitled “Personalized Communication Documents, System and Method for Preparing Same”; 8,352,317, entitled “System for Facilitating Production of Variable Offer Communications”; 8,234,184, entitled “Automated Reply</w:t>
      </w:r>
    </w:p>
    <w:p>
      <w:pPr>
        <w:sectPr>
          <w:pgSz w:w="11900" w:h="16877" w:orient="portrait"/>
          <w:cols w:equalWidth="0" w:num="1">
            <w:col w:w="11420"/>
          </w:cols>
          <w:pgMar w:left="240" w:top="125" w:right="239" w:bottom="0" w:gutter="0" w:footer="0" w:header="0"/>
        </w:sectPr>
      </w:pPr>
    </w:p>
    <w:bookmarkStart w:id="21" w:name="page22"/>
    <w:bookmarkEnd w:id="21"/>
    <w:p>
      <w:pPr>
        <w:ind w:right="20"/>
        <w:spacing w:after="0" w:line="273" w:lineRule="auto"/>
        <w:rPr>
          <w:sz w:val="20"/>
          <w:szCs w:val="20"/>
          <w:color w:val="auto"/>
        </w:rPr>
      </w:pPr>
      <w:r>
        <w:rPr>
          <w:rFonts w:ascii="Arial" w:cs="Arial" w:eastAsia="Arial" w:hAnsi="Arial"/>
          <w:sz w:val="17"/>
          <w:szCs w:val="17"/>
          <w:color w:val="auto"/>
        </w:rPr>
        <w:t>Generation Direct Marketing System”; 6,999,938, entitled “Automated Reply Generation Direct Marketing System”; 8,738,435, entitled “Method and Apparatus for Presenting Personalized Content Relating to Offered Products and Services”; and 7,860,744, entitled “System and Method for Automatically Providing Personalized Notices Concerning Financial Products and/or Services.” Phoenix alleged that HNS infringes the asserted patents by making and using products and services that generate customized marketing materials. Phoenix is an entity that seeks to license a patent portfolio without itself practicing any of the claims recited therein against us. On October 16, 2015, Phoenix moved to dismiss the litigation against us without prejudice pursuant to a settlement agreement, and on November 3, 2015, the action was dismissed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Methods for Accelerated Data Storage and Retrieval”; and 8,643,513, entitled “Data Compression System and Methods.” Realtime generally alleges that the asserted patents are infringed by certain HNS data compression products and services. Realtime is an entity that seeks to license an acquired patent portfolio without itself practicing any of the claims recited therein.</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supplemental damages, and/or an injunction that could cause us to materially modify certain features that we currently offer to consumers. We cannot predict with any degree of certainty the outcome of the suit or determine the extent of any potential liability or damages.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April 11, 2014, the Chester County litigation was stayed pending resolution of the motion to dismiss. On March 30, 2015, the Court dismissed the Jacobi litigation, with leave for Jacobi to amend his complaint by April 20, 2015. On April 20, 2015, Jacobi filed an amended complaint, which on June 12, 2015, we moved to dismiss.</w:t>
      </w:r>
    </w:p>
    <w:p>
      <w:pPr>
        <w:spacing w:after="0" w:line="15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Of the attempted grant of 1.5 million options to Mr. Ergen in 2011, only 800,000 were validly granted and remain outstanding. We intend to vigorously defend these cases. We cannot predict with any degree of certainty the outcome of the suit or determine the extent of any potential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and Licensing, LLC</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22, 2009, Technology Development and Licensing, LLC (“TDL”) filed suit against EchoStar Corporation and DISH Network in the United States District Court for the Northern District of Illinois alleging infringement of United States Patent No. Re. 35,952, which relates to certain favorite channel features. TDL is an entity that seeks to license an acquired patent portfolio without itself practicing any of the claims recited therein. The case has been stayed since July 2009, pending two reexamination petitions before the United States Patent and Trademark Office, which concluded in August 2015 resulting in 42 out of the 53 claims of the 952 patent being cancelled. As a result, the case resumed in August 2015. A trial date has not been set.</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 we may be subject to substantial damages, which may include treble damages, and/or an injunction that could cause us to materially modify certain features that we currently offer to consumers. We are being indemnified by DISH Network for any potential liability or damages resulting from this suit relating to the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prior to the effective date of the Spin-off. We cannot predict with any degree of certainty the outcome of the suit or determine the extent of any potential liability or damages.</w:t>
      </w:r>
    </w:p>
    <w:p>
      <w:pPr>
        <w:sectPr>
          <w:pgSz w:w="11900" w:h="16838" w:orient="portrait"/>
          <w:cols w:equalWidth="0" w:num="1">
            <w:col w:w="11420"/>
          </w:cols>
          <w:pgMar w:left="240" w:top="125"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TQ Beta LLC</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30, 2014, TQ Beta LLC (“TQ Beta”) filed suit against DISH Network, DISH DBS Corporation, DISH Network L.L.C., as well as EchoStar Corporation and our subsidiaries, EchoStar Technologies, L.L.C, HSS, and Sling Media, Inc.,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the 456 patent. Trial is scheduled to commence on December 12, 2016.</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our business. In our opinion, the amount of ultimate liability with respect to any of these actions is unlikely to materially affect our financial position, results of operations or liquidity, though the outcomes could be material to our operating results for any particular period, depending, in part, upon the operating results for such period.</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the chief operating decision maker (“CODM”), who for EchoStar is the Company’s Chief Executive Officer. Under this definition, we operate the following three primary business segments:</w:t>
      </w:r>
    </w:p>
    <w:p>
      <w:pPr>
        <w:spacing w:after="0" w:line="181" w:lineRule="exact"/>
        <w:rPr>
          <w:sz w:val="20"/>
          <w:szCs w:val="20"/>
          <w:color w:val="auto"/>
        </w:rPr>
      </w:pPr>
    </w:p>
    <w:p>
      <w:pPr>
        <w:ind w:left="660" w:right="20" w:hanging="328"/>
        <w:spacing w:after="0" w:line="255"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Technologies — </w:t>
      </w:r>
      <w:r>
        <w:rPr>
          <w:rFonts w:ascii="Arial" w:cs="Arial" w:eastAsia="Arial" w:hAnsi="Arial"/>
          <w:sz w:val="18"/>
          <w:szCs w:val="18"/>
          <w:color w:val="auto"/>
        </w:rPr>
        <w:t>which designs, develops and distributes digital set-top boxes and related products and technology, primarily for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TV service providers and telecommunication companies. Our EchoStar Technologies segment also provides digital broadcast operations, including satellite uplinking/downlinking, transmission services, signal processing, conditional access management, and other services primarily to DISH Network. In addition, we provide our TVEverywhere technology through Slingboxes directly to consumers via retail outlets and online, as well as to the pay-TV operator market. Beginning in 2015, this segment also includes our Move Network business, which primarily provides support services to DISH Network’s Sling TV operations.</w:t>
      </w:r>
    </w:p>
    <w:p>
      <w:pPr>
        <w:spacing w:after="0" w:line="193"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 </w:t>
      </w:r>
      <w:r>
        <w:rPr>
          <w:rFonts w:ascii="Arial" w:cs="Arial" w:eastAsia="Arial" w:hAnsi="Arial"/>
          <w:sz w:val="18"/>
          <w:szCs w:val="18"/>
          <w:color w:val="auto"/>
        </w:rPr>
        <w:t>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right="32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 </w:t>
      </w:r>
      <w:r>
        <w:rPr>
          <w:rFonts w:ascii="Arial" w:cs="Arial" w:eastAsia="Arial" w:hAnsi="Arial"/>
          <w:sz w:val="18"/>
          <w:szCs w:val="18"/>
          <w:color w:val="auto"/>
        </w:rPr>
        <w:t>which uses certain of our owned and leased in-orbit satellites and related licenses to provide satellite services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full-time and occasional-use basis primarily to DISH Network, Dish Mexico, U.S. government service providers, internet service providers, broadcast news organizations, programmers, and private enterprise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Prior to 2015, our Move Network business, including certain assets distributed to us in August 2014 in connection with the Exchange Agreement with Sling TV Holding (see Notes 6, 10 and 16), was managed separately from our existing operating segments and was reported within “All Other and Eliminations.” In the first quarter of 2015, we assigned management responsibility for our Move Network business to our EchoStar Technologies segment, where it continues to be managed and reported as a separate reporting unit. All prior period amounts have been retrospectively adjusted to present operations of our Move Network business in our EchoStar Technologies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three and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EchoStar</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EchoStar</w:t>
            </w:r>
          </w:p>
        </w:tc>
        <w:tc>
          <w:tcPr>
            <w:tcW w:w="260" w:type="dxa"/>
            <w:vAlign w:val="bottom"/>
          </w:tcPr>
          <w:p>
            <w:pPr>
              <w:spacing w:after="0"/>
              <w:rPr>
                <w:sz w:val="14"/>
                <w:szCs w:val="14"/>
                <w:color w:val="auto"/>
              </w:rPr>
            </w:pPr>
          </w:p>
        </w:tc>
        <w:tc>
          <w:tcPr>
            <w:tcW w:w="1160" w:type="dxa"/>
            <w:vAlign w:val="bottom"/>
          </w:tcPr>
          <w:p>
            <w:pPr>
              <w:jc w:val="center"/>
              <w:ind w:right="221"/>
              <w:spacing w:after="0"/>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Hughes</w:t>
            </w:r>
          </w:p>
        </w:tc>
        <w:tc>
          <w:tcPr>
            <w:tcW w:w="260" w:type="dxa"/>
            <w:vAlign w:val="bottom"/>
          </w:tcPr>
          <w:p>
            <w:pPr>
              <w:spacing w:after="0"/>
              <w:rPr>
                <w:sz w:val="12"/>
                <w:szCs w:val="12"/>
                <w:color w:val="auto"/>
              </w:rPr>
            </w:pPr>
          </w:p>
        </w:tc>
        <w:tc>
          <w:tcPr>
            <w:tcW w:w="106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2"/>
                <w:szCs w:val="12"/>
                <w:color w:val="auto"/>
              </w:rPr>
            </w:pPr>
          </w:p>
        </w:tc>
        <w:tc>
          <w:tcPr>
            <w:tcW w:w="11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Other and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59"/>
              <w:spacing w:after="0"/>
              <w:rPr>
                <w:sz w:val="20"/>
                <w:szCs w:val="20"/>
                <w:color w:val="auto"/>
              </w:rPr>
            </w:pPr>
            <w:r>
              <w:rPr>
                <w:rFonts w:ascii="Arial" w:cs="Arial" w:eastAsia="Arial" w:hAnsi="Arial"/>
                <w:sz w:val="14"/>
                <w:szCs w:val="14"/>
                <w:b w:val="1"/>
                <w:bCs w:val="1"/>
                <w:color w:val="auto"/>
                <w:w w:val="88"/>
              </w:rPr>
              <w:t>Technologies</w:t>
            </w: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42"/>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4"/>
                <w:szCs w:val="14"/>
                <w:color w:val="auto"/>
              </w:rPr>
            </w:pPr>
          </w:p>
        </w:tc>
        <w:tc>
          <w:tcPr>
            <w:tcW w:w="116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External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294,792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339,060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2"/>
              <w:spacing w:after="0"/>
              <w:rPr>
                <w:sz w:val="20"/>
                <w:szCs w:val="20"/>
                <w:color w:val="auto"/>
              </w:rPr>
            </w:pPr>
            <w:r>
              <w:rPr>
                <w:rFonts w:ascii="Arial" w:cs="Arial" w:eastAsia="Arial" w:hAnsi="Arial"/>
                <w:sz w:val="18"/>
                <w:szCs w:val="18"/>
                <w:color w:val="auto"/>
              </w:rPr>
              <w:t>124,126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2,901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760,879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294,925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339,729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124,300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1,925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760,879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25,946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101,582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104,200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72,626</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32,416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9,672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2014</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427,076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338,617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126,944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Intersegment revenue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660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427,218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339,068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127,604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EBITDA</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38,193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94,955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111,563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3,277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247,988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56,724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85,730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2015</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External revenue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972,591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998,564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373,726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8,246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2,353,127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973,097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1,000,194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374,287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2,353,127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296,269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314,177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32,783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207,680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84,667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155,022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480,152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2014</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1,255,597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982,783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354,558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Intersegment revenue</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1,314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2,406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1,255,977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984,097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356,964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EBITDA</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119,733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267,210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308,573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(22,742)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672,774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154,201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11,801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230,503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condensed consolidated statements of operations and comprehensive income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Three Months</w:t>
            </w:r>
          </w:p>
        </w:tc>
        <w:tc>
          <w:tcPr>
            <w:tcW w:w="380" w:type="dxa"/>
            <w:vAlign w:val="bottom"/>
          </w:tcPr>
          <w:p>
            <w:pPr>
              <w:spacing w:after="0"/>
              <w:rPr>
                <w:sz w:val="14"/>
                <w:szCs w:val="14"/>
                <w:color w:val="auto"/>
              </w:rPr>
            </w:pPr>
          </w:p>
        </w:tc>
        <w:tc>
          <w:tcPr>
            <w:tcW w:w="25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4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Ended September 30,</w:t>
            </w:r>
          </w:p>
        </w:tc>
        <w:tc>
          <w:tcPr>
            <w:tcW w:w="380" w:type="dxa"/>
            <w:vAlign w:val="bottom"/>
          </w:tcPr>
          <w:p>
            <w:pPr>
              <w:spacing w:after="0"/>
              <w:rPr>
                <w:sz w:val="14"/>
                <w:szCs w:val="14"/>
                <w:color w:val="auto"/>
              </w:rPr>
            </w:pPr>
          </w:p>
        </w:tc>
        <w:tc>
          <w:tcPr>
            <w:tcW w:w="25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4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216,612</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247,988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642,611</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672,774</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income and expense, net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(26,308)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(39,418)</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(88,240)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(125,404)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(142,294)</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(398,547)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(416,167)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loss attributable to noncontrolling interest in HSS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Tracking Stock and other noncontrolling interests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(2,946)</w:t>
            </w: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64,545</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152,810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Following the Spin-off, we and DISH Network have operated as separate publicly-traded companies. However, pursuant to the Satellite and Tracking Stock Transaction, described in Note 2 and below,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both companies is owned beneficially by Charles W. Ergen, our Chairman, and by certain trusts established by Mr. Ergen for the benefit of his family.</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connection with and following the Spin-off, we and DISH Network have entered into certain agreements pursuant to which we obtain certain products, services and rights from DISH Network; DISH Network obtains certain products, services and rights from us; and we and DISH Network have indemnified each other against certain liabilities arising from our respective businesses. We also may enter into additional agreements with DISH Network in the future. 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Receiver Agreement</w:t>
      </w:r>
      <w:r>
        <w:rPr>
          <w:rFonts w:ascii="Arial" w:cs="Arial" w:eastAsia="Arial" w:hAnsi="Arial"/>
          <w:sz w:val="16"/>
          <w:szCs w:val="16"/>
          <w:color w:val="auto"/>
        </w:rPr>
        <w:t>. Effective January 1, 2012, we and DISH Network entered into a receiver agreement (the “2012 Receiver Agreement”),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has the right, but not the obligation, to purchase digital set-top boxes, related accessories, and other equipment from us for the period from January 1, 2012 to December 31, 2014. The 2012 Receiver Agreement replaced the receiver agreement we entered into with DISH Network in connection with the Spin-off. The 2012 Receiver Agreement allows DISH Network to purchase digital set-top boxes, related accessories, and other equipment from us either: (i) at cost (decreasing as we reduce costs and increasing as costs increase) plus a dollar mark-up which will depend upon the cost of the product subject to a collar on our mark-up; or (ii) at cost plus a fixed margin, which will depend on the nature of the equipment purchased. Under the 2012 Receiver Agreement, our margins will be increased if we are able to reduce the costs of our digital set-top boxes and our margins will be reduced if these costs increase. We provide DISH Network with standard manufacturer warranties for the goods sold under the 2012 Receiver Agreement. Additionally,</w:t>
      </w:r>
    </w:p>
    <w:p>
      <w:pPr>
        <w:sectPr>
          <w:pgSz w:w="11900" w:h="16892" w:orient="portrait"/>
          <w:cols w:equalWidth="0" w:num="1">
            <w:col w:w="11460"/>
          </w:cols>
          <w:pgMar w:left="240" w:top="125" w:right="199" w:bottom="0" w:gutter="0" w:footer="0" w:header="0"/>
        </w:sectPr>
      </w:pPr>
    </w:p>
    <w:bookmarkStart w:id="24" w:name="page25"/>
    <w:bookmarkEnd w:id="24"/>
    <w:p>
      <w:pPr>
        <w:spacing w:after="0" w:line="9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2012 Receiver Agreement includes an indemnification provision, whereby the parties indemnify each other for certain intellectual property matters. DISH Network is able to terminate the 2012 Receiver Agreement for any reason upon at least 60 days’ notice to us. We are able to terminate the 2012 Receiver Agreement if certain entities acquire DISH Network. DISH Network has an option, but not the obligation, to extend the 2012 Receiver Agreement for one additional year upon 180 days’ notice prior to the end of the term. On May 5, 2014, we received DISH Network’s notice to extend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2012 Receiver Agreement for one year to December 31, 2015, and on November 4, 2015, we amended the 2012 Receiver Agreement with DISH Network to extend the term of the 2012 Receiver Agreement for one year to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Broadcast Agreement</w:t>
      </w:r>
      <w:r>
        <w:rPr>
          <w:rFonts w:ascii="Arial" w:cs="Arial" w:eastAsia="Arial" w:hAnsi="Arial"/>
          <w:sz w:val="16"/>
          <w:szCs w:val="16"/>
          <w:color w:val="auto"/>
        </w:rPr>
        <w:t>. Effective January 1, 2012, we and DISH Network entered into a new broadcast agreement (the “2012 Broadcast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we provide certain broadcast services to DISH Network, including teleport services such as transmission and downlinking, channel origination services, and channel management services, for the period from January 1, 2012 to December 31, 2016. The 2012 Broadcast Agreement replaced the broadcast agreement that we entered into with DISH Network in connection with the Spin-off. The fees for the services provided under the 2012 Broadcast Agreement are calculated at either: (a) our cost of providing the relevant service plus a fixed dollar fee, which is subject to certain adjustments; or</w:t>
      </w:r>
    </w:p>
    <w:p>
      <w:pPr>
        <w:spacing w:after="0" w:line="2" w:lineRule="exact"/>
        <w:rPr>
          <w:sz w:val="20"/>
          <w:szCs w:val="20"/>
          <w:color w:val="auto"/>
        </w:rPr>
      </w:pPr>
    </w:p>
    <w:p>
      <w:pPr>
        <w:jc w:val="both"/>
        <w:ind w:right="40" w:firstLine="8"/>
        <w:spacing w:after="0" w:line="273"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cost of providing the relevant service plus a fixed margin, which will depend on the nature of the services provided. DISH Network has the ability to terminate channel origination services and channel management services for any reason and without any liability upon at least 60 days’ notice to us. If DISH Network terminates the teleport services provided under the 2012 Broadcast Agreement for a reason other than our breach, DISH Network generally is obligated to reimburse us for any direct costs we incur related to any such termination that we cannot reasonably mitigate.</w:t>
      </w:r>
    </w:p>
    <w:p>
      <w:pPr>
        <w:spacing w:after="0" w:line="17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Broadcast Agreement for Certain Sports Related Programming</w:t>
      </w:r>
      <w:r>
        <w:rPr>
          <w:rFonts w:ascii="Arial" w:cs="Arial" w:eastAsia="Arial" w:hAnsi="Arial"/>
          <w:sz w:val="17"/>
          <w:szCs w:val="17"/>
          <w:color w:val="auto"/>
        </w:rPr>
        <w:t>. During May 2010, we and DISH Network entered into a broadcast agreement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we provide certain broadcast services to DISH Network in connection with its carriage of certain sports related programming. The term of this agreement is ten years. If DISH Network terminates this agreement for a reason other than our breach, DISH Network generally is obligated to reimburse us for any direct costs we incur related to any such termination that we cannot reasonably mitigate. The fees for the broadcast services provided under this agreement depend, among other things, upon the cost to develop and provide such services.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i w:val="1"/>
          <w:iCs w:val="1"/>
          <w:color w:val="auto"/>
        </w:rPr>
        <w:t xml:space="preserve">EchoStar I, EchoStar VII, EchoStar X, EchoStar XI and EchoStar XIV. </w:t>
      </w:r>
      <w:r>
        <w:rPr>
          <w:rFonts w:ascii="Arial" w:cs="Arial" w:eastAsia="Arial" w:hAnsi="Arial"/>
          <w:sz w:val="16"/>
          <w:szCs w:val="16"/>
          <w:color w:val="auto"/>
        </w:rPr>
        <w:t>As part of the Satellite and Tracking Stock Transaction discussed in Note 2,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DISH Network has elected not to renew the satellite services agreement relative to the EchoStar I satellite. The agreement for the EchoStar I satellite will expire pursuant to its terms effective November 30, 2015.</w:t>
      </w:r>
    </w:p>
    <w:p>
      <w:pPr>
        <w:spacing w:after="0" w:line="167" w:lineRule="exact"/>
        <w:rPr>
          <w:sz w:val="20"/>
          <w:szCs w:val="20"/>
          <w:color w:val="auto"/>
        </w:rPr>
      </w:pPr>
    </w:p>
    <w:p>
      <w:pPr>
        <w:ind w:left="340" w:right="400"/>
        <w:spacing w:after="0" w:line="286" w:lineRule="auto"/>
        <w:rPr>
          <w:sz w:val="20"/>
          <w:szCs w:val="20"/>
          <w:color w:val="auto"/>
        </w:rPr>
      </w:pPr>
      <w:r>
        <w:rPr>
          <w:rFonts w:ascii="Arial" w:cs="Arial" w:eastAsia="Arial" w:hAnsi="Arial"/>
          <w:sz w:val="17"/>
          <w:szCs w:val="17"/>
          <w:i w:val="1"/>
          <w:iCs w:val="1"/>
          <w:color w:val="auto"/>
        </w:rPr>
        <w:t xml:space="preserve">EchoStar VIII. </w:t>
      </w:r>
      <w:r>
        <w:rPr>
          <w:rFonts w:ascii="Arial" w:cs="Arial" w:eastAsia="Arial" w:hAnsi="Arial"/>
          <w:sz w:val="17"/>
          <w:szCs w:val="17"/>
          <w:color w:val="auto"/>
        </w:rPr>
        <w:t>In May 2013, DISH Network began receiving satellite services from us on the EchoStar VIII satellite as an in-orbit spare.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March 1, 2014, this satellite services arrangement converted to a month-to-month service agreement. Both parties have the right to terminate this agreement upon 30 days’ notice. The agreement will terminate in accordance with its terms effective in November 2015.</w:t>
      </w:r>
    </w:p>
    <w:p>
      <w:pPr>
        <w:spacing w:after="0" w:line="166" w:lineRule="exact"/>
        <w:rPr>
          <w:sz w:val="20"/>
          <w:szCs w:val="20"/>
          <w:color w:val="auto"/>
        </w:rPr>
      </w:pPr>
    </w:p>
    <w:p>
      <w:pPr>
        <w:ind w:left="340" w:right="380"/>
        <w:spacing w:after="0" w:line="342" w:lineRule="auto"/>
        <w:rPr>
          <w:sz w:val="20"/>
          <w:szCs w:val="20"/>
          <w:color w:val="auto"/>
        </w:rPr>
      </w:pPr>
      <w:r>
        <w:rPr>
          <w:rFonts w:ascii="Arial" w:cs="Arial" w:eastAsia="Arial" w:hAnsi="Arial"/>
          <w:sz w:val="16"/>
          <w:szCs w:val="16"/>
          <w:i w:val="1"/>
          <w:iCs w:val="1"/>
          <w:color w:val="auto"/>
        </w:rPr>
        <w:t>EchoStar IX</w:t>
      </w:r>
      <w:r>
        <w:rPr>
          <w:rFonts w:ascii="Arial" w:cs="Arial" w:eastAsia="Arial" w:hAnsi="Arial"/>
          <w:sz w:val="16"/>
          <w:szCs w:val="16"/>
          <w:color w:val="auto"/>
        </w:rPr>
        <w:t>. Effective January 2008, DISH Network began receiving satellite services from us on the EchoStar IX satellite. Subject to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DISH Network generally has the right to continue to receive satellite services from us on the EchoStar IX satellite on a month-to-month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receives satellite services from us on the EchoStar XII satellite. The term of the satellite services agreement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earlier of: (i) the end of life of the satellite; (ii) the date the satellite fails or the date the transponder(s) on which the service was being provided under the agreement fails; or (iii) a certain date, which depends upon, among other things, the estimated useful life of the satellite. DISH Network generally has the option to renew the agreement on a year-to-year basis through the end of the satellite’s life. There can be no assurance that any options to renew this agreement will be exercised.</w:t>
      </w:r>
    </w:p>
    <w:p>
      <w:pPr>
        <w:spacing w:after="0" w:line="188" w:lineRule="exact"/>
        <w:rPr>
          <w:sz w:val="20"/>
          <w:szCs w:val="20"/>
          <w:color w:val="auto"/>
        </w:rPr>
      </w:pPr>
    </w:p>
    <w:p>
      <w:pPr>
        <w:ind w:left="340" w:right="60"/>
        <w:spacing w:after="0" w:line="293" w:lineRule="auto"/>
        <w:rPr>
          <w:sz w:val="20"/>
          <w:szCs w:val="20"/>
          <w:color w:val="auto"/>
        </w:rPr>
      </w:pPr>
      <w:r>
        <w:rPr>
          <w:rFonts w:ascii="Arial" w:cs="Arial" w:eastAsia="Arial" w:hAnsi="Arial"/>
          <w:sz w:val="16"/>
          <w:szCs w:val="16"/>
          <w:i w:val="1"/>
          <w:iCs w:val="1"/>
          <w:color w:val="auto"/>
        </w:rPr>
        <w:t>EchoStar XVI</w:t>
      </w:r>
      <w:r>
        <w:rPr>
          <w:rFonts w:ascii="Arial" w:cs="Arial" w:eastAsia="Arial" w:hAnsi="Arial"/>
          <w:sz w:val="16"/>
          <w:szCs w:val="16"/>
          <w:color w:val="auto"/>
        </w:rPr>
        <w:t>. During December 2009, we entered into an initial ten-year transponder service agreement with DISH Network, pursuant to which DISH</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has received satellite services from us on the EchoStar XVI satellite since January 2013. Effective December 21,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Prior to expiration of the initial term, we, upon certain conditions, and DISH Network have the option to renew for an additional six-year period. If either we or DISH Network exercise our respective six-year renewal options,</w:t>
      </w:r>
    </w:p>
    <w:p>
      <w:pPr>
        <w:sectPr>
          <w:pgSz w:w="11900" w:h="16934" w:orient="portrait"/>
          <w:cols w:equalWidth="0" w:num="1">
            <w:col w:w="11380"/>
          </w:cols>
          <w:pgMar w:left="240" w:top="125" w:right="279" w:bottom="0" w:gutter="0" w:footer="0" w:header="0"/>
        </w:sectPr>
      </w:pPr>
    </w:p>
    <w:bookmarkStart w:id="25" w:name="page26"/>
    <w:bookmarkEnd w:id="25"/>
    <w:p>
      <w:pPr>
        <w:ind w:left="340" w:right="60"/>
        <w:spacing w:after="0" w:line="277" w:lineRule="auto"/>
        <w:rPr>
          <w:sz w:val="20"/>
          <w:szCs w:val="20"/>
          <w:color w:val="auto"/>
        </w:rPr>
      </w:pPr>
      <w:r>
        <w:rPr>
          <w:rFonts w:ascii="Arial" w:cs="Arial" w:eastAsia="Arial" w:hAnsi="Arial"/>
          <w:sz w:val="18"/>
          <w:szCs w:val="18"/>
          <w:color w:val="auto"/>
        </w:rPr>
        <w:t>DISH Network has the option to renew for an additional five-year period prior to expiration of the then-current term. There can be no assurance that any option to renew this agreement will be exercised.</w:t>
      </w:r>
    </w:p>
    <w:p>
      <w:pPr>
        <w:spacing w:after="0" w:line="170"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b w:val="1"/>
          <w:bCs w:val="1"/>
          <w:i w:val="1"/>
          <w:iCs w:val="1"/>
          <w:color w:val="auto"/>
        </w:rPr>
        <w:t>Nimiq 5 Agreement</w:t>
      </w:r>
      <w:r>
        <w:rPr>
          <w:rFonts w:ascii="Arial" w:cs="Arial" w:eastAsia="Arial" w:hAnsi="Arial"/>
          <w:sz w:val="17"/>
          <w:szCs w:val="17"/>
          <w:color w:val="auto"/>
        </w:rPr>
        <w:t>. During 2009, we entered into a fifteen-year satellite service agreement with Telesat Canada (“Telesat”) to receive service on all 32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 transponders on the Nimiq 5 satellite at the 72.7 degree west longitude orbital location (the “Telesat Transponder Agreement”). During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71"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78"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b w:val="1"/>
          <w:bCs w:val="1"/>
          <w:i w:val="1"/>
          <w:iCs w:val="1"/>
          <w:color w:val="auto"/>
        </w:rPr>
        <w:t>QuetzSat-1 Agreement</w:t>
      </w:r>
      <w:r>
        <w:rPr>
          <w:rFonts w:ascii="Arial" w:cs="Arial" w:eastAsia="Arial" w:hAnsi="Arial"/>
          <w:sz w:val="16"/>
          <w:szCs w:val="16"/>
          <w:color w:val="auto"/>
        </w:rPr>
        <w:t>. During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on September 29, 2011 and was placed into service during the fourth quarter of 2011 at the 67.1 degree west longitude orbital location. In the interim, we provided DISH Network with alternate capacity at the 77 degree west longitude orbital location. During the third quarter of 2012,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6"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rights to receive service from us on a replacement satellite. There can be no assurance that any options to renew this agreement will be exercised or that DISH Network will exercise its option to receive service on a replacement satellite.</w:t>
      </w:r>
    </w:p>
    <w:p>
      <w:pPr>
        <w:spacing w:after="0" w:line="170"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During May 2012, we entered into a spectrum development agreement (the “103 Spectrum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Ciel Satellite Holdings Inc. (“Ciel”) to develop certain spectrum rights at the 103 degree west longitude orbital location (the “103 Spectrum Rights”). During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In connection with the 103 Spectrum Development Agreement, during May 2012, we also entered into a ten-year service agreement with Ciel pursuant to which we receive certain satellite services from Ciel on the SES-3 satellite at the 103 degree orbital location. During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ten years following the actual service commencement date.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82"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Satellite and Tracking Stock Transaction</w:t>
      </w:r>
      <w:r>
        <w:rPr>
          <w:rFonts w:ascii="Arial" w:cs="Arial" w:eastAsia="Arial" w:hAnsi="Arial"/>
          <w:sz w:val="17"/>
          <w:szCs w:val="17"/>
          <w:color w:val="auto"/>
        </w:rPr>
        <w:t>. On February 20, 2014, we entered into agreements with DISH Network to implement a transaction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among other things: (i) on March 1, 2014, EchoStar and HSS issued shares of the Tracking Stock to DISH Network in exchange for five satellites owned by DISH Network (EchoStar I, EchoStar VII, EchoStar X, EchoStar XI and EchoStar XIV) (including related in-orbit incentive obligations and interest payments of approximately $58.9 million) and approximately $11.4 million in cash; and (ii) on March 1, 2014, DISH Network began receiving certain satellite services on these five satellites from us. See Note 2 for further information.</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TT&amp;C Agreement</w:t>
      </w:r>
      <w:r>
        <w:rPr>
          <w:rFonts w:ascii="Arial" w:cs="Arial" w:eastAsia="Arial" w:hAnsi="Arial"/>
          <w:sz w:val="17"/>
          <w:szCs w:val="17"/>
          <w:color w:val="auto"/>
        </w:rPr>
        <w:t>. Effective January 1, 2012, we entered into a telemetry, tracking and control (“TT&amp;C”) agreement pursuant to which we provide TT&amp;C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to DISH Network and its subsidiaries for a period ending on December 31,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Satellite and Tracking Stock Transaction, on February 20, 2014, we amended the TT&amp;C Agreement to cease the provision of TT&amp;C services to DISH Network for the EchoStar I, EchoStar VII, EchoStar X, EchoStar XI and EchoStar XIV satellites. Effective March 1, 2014, we provide TT&amp;C services for the D-1 and EchoStar XV satellites; however, for the period that we receive satellite services on the EchoStar XV satellite from DISH Network, we have waived the fees for the TT&amp;C services on the EchoStar XV satellite.</w:t>
      </w:r>
    </w:p>
    <w:p>
      <w:pPr>
        <w:sectPr>
          <w:pgSz w:w="11900" w:h="16838" w:orient="portrait"/>
          <w:cols w:equalWidth="0" w:num="1">
            <w:col w:w="11420"/>
          </w:cols>
          <w:pgMar w:left="240" w:top="125" w:right="239" w:bottom="0" w:gutter="0" w:footer="0" w:header="0"/>
        </w:sectPr>
      </w:pPr>
    </w:p>
    <w:bookmarkStart w:id="26" w:name="page27"/>
    <w:bookmarkEnd w:id="26"/>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Real Estate Lease Agreements</w:t>
      </w:r>
      <w:r>
        <w:rPr>
          <w:rFonts w:ascii="Arial" w:cs="Arial" w:eastAsia="Arial" w:hAnsi="Arial"/>
          <w:sz w:val="18"/>
          <w:szCs w:val="18"/>
          <w:color w:val="auto"/>
        </w:rPr>
        <w:t>. We have entered into lease agreements pursuant to which DISH Network leases certain real estate from us. The rent on a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i w:val="1"/>
          <w:iCs w:val="1"/>
          <w:color w:val="auto"/>
        </w:rPr>
        <w:t>Inverness Lease Agreement</w:t>
      </w:r>
      <w:r>
        <w:rPr>
          <w:rFonts w:ascii="Arial" w:cs="Arial" w:eastAsia="Arial" w:hAnsi="Arial"/>
          <w:sz w:val="18"/>
          <w:szCs w:val="18"/>
          <w:color w:val="auto"/>
        </w:rPr>
        <w:t>. The lease for certain space at 90 Inverness Circle East in Englewood, Colorado is for a period ending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This agreement can be terminated by either party upon six months’ prior notice.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Meridian Lease Agreement</w:t>
      </w:r>
      <w:r>
        <w:rPr>
          <w:rFonts w:ascii="Arial" w:cs="Arial" w:eastAsia="Arial" w:hAnsi="Arial"/>
          <w:sz w:val="17"/>
          <w:szCs w:val="17"/>
          <w:color w:val="auto"/>
        </w:rPr>
        <w:t>. The lease for all of 9601 S. Meridian Blvd. in Englewood, Colorado is for a period ending on December 31, 2016.</w:t>
      </w:r>
    </w:p>
    <w:p>
      <w:pPr>
        <w:spacing w:after="0" w:line="237"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in Littleton, Colorado is for a period ending on December 31, 2016 with a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option for one additional year.</w:t>
      </w:r>
    </w:p>
    <w:p>
      <w:pPr>
        <w:spacing w:after="0" w:line="170"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i w:val="1"/>
          <w:iCs w:val="1"/>
          <w:color w:val="auto"/>
        </w:rPr>
        <w:t>EchoStar Data Networks Sublease Agreement</w:t>
      </w:r>
      <w:r>
        <w:rPr>
          <w:rFonts w:ascii="Arial" w:cs="Arial" w:eastAsia="Arial" w:hAnsi="Arial"/>
          <w:sz w:val="18"/>
          <w:szCs w:val="18"/>
          <w:color w:val="auto"/>
        </w:rPr>
        <w:t>. The sublease for certain space at 211 Perimeter Center in Atlanta, Georgia is for a period ending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2016.</w:t>
      </w:r>
    </w:p>
    <w:p>
      <w:pPr>
        <w:spacing w:after="0" w:line="170" w:lineRule="exact"/>
        <w:rPr>
          <w:sz w:val="20"/>
          <w:szCs w:val="20"/>
          <w:color w:val="auto"/>
        </w:rPr>
      </w:pPr>
    </w:p>
    <w:p>
      <w:pPr>
        <w:ind w:left="340" w:right="160"/>
        <w:spacing w:after="0" w:line="312" w:lineRule="auto"/>
        <w:rPr>
          <w:sz w:val="20"/>
          <w:szCs w:val="20"/>
          <w:color w:val="auto"/>
        </w:rPr>
      </w:pPr>
      <w:r>
        <w:rPr>
          <w:rFonts w:ascii="Arial" w:cs="Arial" w:eastAsia="Arial" w:hAnsi="Arial"/>
          <w:sz w:val="16"/>
          <w:szCs w:val="16"/>
          <w:i w:val="1"/>
          <w:iCs w:val="1"/>
          <w:color w:val="auto"/>
        </w:rPr>
        <w:t>Gilbert Lease Agreement</w:t>
      </w:r>
      <w:r>
        <w:rPr>
          <w:rFonts w:ascii="Arial" w:cs="Arial" w:eastAsia="Arial" w:hAnsi="Arial"/>
          <w:sz w:val="16"/>
          <w:szCs w:val="16"/>
          <w:color w:val="auto"/>
        </w:rPr>
        <w:t>. The original lease for certain space at 801 N. DISH Dr. in Gilbert, Arizona was a month to month lease and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by either party upon 30 days’ prior notice. The original lease was terminated in May 2014. Effective August 1, 2014, we began leasing this space to DISH Network under a new lease for a period ending July 31, 2016. DISH Network has renewal options for three additional one year terms.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Cheyenne Lease Agreement</w:t>
      </w:r>
      <w:r>
        <w:rPr>
          <w:rFonts w:ascii="Arial" w:cs="Arial" w:eastAsia="Arial" w:hAnsi="Arial"/>
          <w:sz w:val="17"/>
          <w:szCs w:val="17"/>
          <w:color w:val="auto"/>
        </w:rPr>
        <w:t>. The lease for certain space at 530 EchoStar Drive in Cheyenne, Wyoming is for a period ending on December 31, 2031.</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Product Support Agreement</w:t>
      </w:r>
      <w:r>
        <w:rPr>
          <w:rFonts w:ascii="Arial" w:cs="Arial" w:eastAsia="Arial" w:hAnsi="Arial"/>
          <w:sz w:val="18"/>
          <w:szCs w:val="18"/>
          <w:color w:val="auto"/>
        </w:rPr>
        <w:t>. In connection with the Spin-off, we entered into a product support agreement pursuant to which DISH Network has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not the obligation, to receive product support from us (including certain engineering and technical support services) for all set-top boxes and related accessories that we have previously sold and in the future may sell to DISH Network. The fees for the services provided under the product support agreement are calculated at cost plus a fixed margin, which varies depending on the nature of the services provided. The term of the product support agreement is the economic life of such set-top boxes and related accessories, unless terminated earlier. DISH Network may terminate the product support agreement for any reason upon at least 60 days’ notice. In the event of an early termination of this agreement, DISH Network is entitled to a refund of any unearned fees paid to us for the services.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DISHOnline.com Services Agreement</w:t>
      </w:r>
      <w:r>
        <w:rPr>
          <w:rFonts w:ascii="Arial" w:cs="Arial" w:eastAsia="Arial" w:hAnsi="Arial"/>
          <w:sz w:val="18"/>
          <w:szCs w:val="18"/>
          <w:color w:val="auto"/>
        </w:rPr>
        <w:t>. Effective January 1, 2010, DISH Network entered into a two-year agreement with us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receives certain services associated with an online video portal. The fees for the services provided under this services agreement depend, among other things, upon the cost to develop and operate such services. DISH Network has the option to renew this agreement for successive one year terms and the agreement may be terminated by DISH Network for any reason upon at least 120 days’ notice to us. In October 2014, DISH Network exercised its right to renew this agreement for a one-year period ending on December 31, 2015, and in November 2015, DISH Network exercised its right to renew this agreement for a one-year period ending on December 31, 2016.</w:t>
      </w:r>
    </w:p>
    <w:p>
      <w:pPr>
        <w:spacing w:after="0" w:line="193"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b w:val="1"/>
          <w:bCs w:val="1"/>
          <w:i w:val="1"/>
          <w:iCs w:val="1"/>
          <w:color w:val="auto"/>
        </w:rPr>
        <w:t>DISH Remote Access Services Agreement</w:t>
      </w:r>
      <w:r>
        <w:rPr>
          <w:rFonts w:ascii="Arial" w:cs="Arial" w:eastAsia="Arial" w:hAnsi="Arial"/>
          <w:sz w:val="16"/>
          <w:szCs w:val="16"/>
          <w:color w:val="auto"/>
        </w:rPr>
        <w:t>. Effective February 23, 2010, we entered into an agreement with DISH Network pursuant to which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receives, among other things, certain remote digital video recorder (“DVR”) management services. The fees for the services provided under this services agreement depend, among other things, upon the cost to develop and operate such services. This agreement had an initial term of five years with automatic renewal for successive one year terms. This agreement will automatically renew on February 23, 2016 for an additional one-year period until February 23, 2017. The agreement may be terminated by DISH Network for any reason upon at least 120 days’ notice to us.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SlingService Services Agreement</w:t>
      </w:r>
      <w:r>
        <w:rPr>
          <w:rFonts w:ascii="Arial" w:cs="Arial" w:eastAsia="Arial" w:hAnsi="Arial"/>
          <w:sz w:val="18"/>
          <w:szCs w:val="18"/>
          <w:color w:val="auto"/>
        </w:rPr>
        <w:t>. Effective February 23, 2010, we entered into an agreement with DISH Network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certain services related to placeshifting. The fees for the services provided under this services agreement depend, among other things, upon the cost to develop and operate such services. This agreement had an initial term of five years with automatic renewal for successive one year terms. This agreement will automatically renew on February 23, 2016 for an additional one-year period until February 23, 2017. The agreement may be terminated by DISH Network for any reason upon at least 120 days’ notice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Blockbuster Agreements</w:t>
      </w:r>
      <w:r>
        <w:rPr>
          <w:rFonts w:ascii="Arial" w:cs="Arial" w:eastAsia="Arial" w:hAnsi="Arial"/>
          <w:sz w:val="18"/>
          <w:szCs w:val="18"/>
          <w:color w:val="auto"/>
        </w:rPr>
        <w:t>. On April 26, 2011, DISH Network acquired substantially all of the assets of Blockbuster, Inc. (the “Blockbuster Acquisition”).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8, 2011, we completed the acquisition of Hughes Communications, Inc. and its subsidiaries (the “Hughes Acquisition”). HNS, a wholly-owned subsidiary of Hughes Communications, Inc., provided certain broadband products and services to Blockbuster, Inc. (with its subsidiaries, “Blockbuster”) pursuant to an agreement that was entered into prior to the Blockbuster Acquisition and the Hughes Acquisition. Subsequent to both the Blockbuster Acquisition and the Hughes Acquisition, Blockbuster entered into a new agreement with HNS pursuant to which Blockbuster could continue to purchase broadband products and services from our Hughes segment.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Effective February 1, 2014, all services to all Blockbuster locations, including Blockbuster franchisee locations, terminated in connection with the closing of all of the Blockbuster retail locations.</w:t>
      </w:r>
    </w:p>
    <w:p>
      <w:pPr>
        <w:sectPr>
          <w:pgSz w:w="11900" w:h="16929" w:orient="portrait"/>
          <w:cols w:equalWidth="0" w:num="1">
            <w:col w:w="11400"/>
          </w:cols>
          <w:pgMar w:left="240" w:top="125" w:right="259" w:bottom="0" w:gutter="0" w:footer="0" w:header="0"/>
        </w:sectPr>
      </w:pPr>
    </w:p>
    <w:bookmarkStart w:id="27" w:name="page28"/>
    <w:bookmarkEnd w:id="27"/>
    <w:p>
      <w:pPr>
        <w:spacing w:after="0" w:line="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Radio Access Network Agreement</w:t>
      </w:r>
      <w:r>
        <w:rPr>
          <w:rFonts w:ascii="Arial" w:cs="Arial" w:eastAsia="Arial" w:hAnsi="Arial"/>
          <w:sz w:val="18"/>
          <w:szCs w:val="18"/>
          <w:color w:val="auto"/>
        </w:rPr>
        <w:t>. On November 29, 2012, HNS entered into an agreement with DISH Network L.L.C. pursuant to which HNS constructed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DISH Network a ground-based satellite radio access network for a fixed fee. The parties mutually agreed to terminate this agreement in the fourth quarter of 2014.</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On March 9, 2012, DISH Network completed its acquisition of substantially all the assets of TerreStar Networks Inc. (“TerreStar”).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DISH Network’s 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1,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beginning January 1, 2014,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On February 20, 2014, HNS and dishNET entered into an amendment to the Distribution Agreement which, among other things, extended the initial term of the Distribution Agreement through March 1,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Set-Top Box Application Development Agreement. </w:t>
      </w:r>
      <w:r>
        <w:rPr>
          <w:rFonts w:ascii="Arial" w:cs="Arial" w:eastAsia="Arial" w:hAnsi="Arial"/>
          <w:sz w:val="18"/>
          <w:szCs w:val="18"/>
          <w:color w:val="auto"/>
        </w:rPr>
        <w:t>During the fourth quarter of 2012, we and DISH Network entered into a set-top box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(the “Application Development Agreement”) pursuant to which we provide DISH Network with certain services relating to the development of web-based applications for set-top boxes for the period ending February 1, 2016. The Application Development Agreement renews automatically for successive one-year periods thereafter, unless terminated earlier by us or DISH Network at any time upon at least 90 days’ notice. The fees for services provided under the Application Development Agreement are calculated at our cost of providing the relevant service plus a fixed margin, which will depend on the nature of the services provided.</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XiP Encryption Agreement</w:t>
      </w:r>
      <w:r>
        <w:rPr>
          <w:rFonts w:ascii="Arial" w:cs="Arial" w:eastAsia="Arial" w:hAnsi="Arial"/>
          <w:sz w:val="18"/>
          <w:szCs w:val="18"/>
          <w:color w:val="auto"/>
        </w:rPr>
        <w:t>. During the third quarter of 2012, we entered into an encryption agreement with DISH Network for our whole-home HD DVR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 set-top boxes (the “XiP Encryption Agreement”) pursuant to which we provide certain security measures on our whole-home HD DVR line of set-top boxes to encrypt the content delivered to the set-top box via a smart card and secure the content between set-top boxes. The XiP Encryption Agreement’s term ends on the same day as the 2012 Receiver Agreement and therefore was automatically extended until December 31, 2016 when we and DISH Network extended the 2012 Receiver Agreement on November 4, 2015. We and DISH Network each have the right to terminate the XiP Encryption Agreement for any reason upon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least 180 days’ notice and 30 days’ notice, respectively. The fees for the services provided under the XiP Encryption Agreement are calculated on a monthly basis based on the number of receivers utilizing such security measures each month.</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DBSD North America Agreement</w:t>
      </w:r>
      <w:r>
        <w:rPr>
          <w:rFonts w:ascii="Arial" w:cs="Arial" w:eastAsia="Arial" w:hAnsi="Arial"/>
          <w:sz w:val="18"/>
          <w:szCs w:val="18"/>
          <w:color w:val="auto"/>
        </w:rPr>
        <w:t>. On March 9,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an agreement pursuant to which our Hughes segment provides, among other things, hosting, operations and maintenance services of DBSD North America’s satellite gateway and associated ground infrastructure. This agreement automatically renewed for a one-year period ending on February 15, 2016, and will renew for one additional one-year period unless terminated by DBSD North America upon at least 30 days’ notice prior to the expiration of any renewal term.</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Sling TV Holding L.L.C. (formerly DISH Digital Holding L.L.C. (“Sling TV Holding”)). </w:t>
      </w:r>
      <w:r>
        <w:rPr>
          <w:rFonts w:ascii="Arial" w:cs="Arial" w:eastAsia="Arial" w:hAnsi="Arial"/>
          <w:sz w:val="16"/>
          <w:szCs w:val="16"/>
          <w:color w:val="auto"/>
        </w:rPr>
        <w:t>Effective July 1, 2012, we and DISH Network formed Sling 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 which was owned two-thirds by 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provides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 us and DISH Network, respectively.</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Effective August 1, 2014, we and DISH Digital entered into the Exchange Agreement pursuant to which, among other things, DISH Digital distributed certain assets to us and we reduced our interest in DISH Digital to a 10.0% non-voting interest. As a result, DISH Network has a 90.0% equity interest and a 100% voting interest in DISH Digital. In addition, we, DISH Network and DISH Digital amended and restated the Operating Agreement, primarily to reflect the changes implemented by the Exchange Agreement. Finally, we, DISH Network and DISH Digital amended and restated the Commercial Agreement, pursuant to which, among other things, DISH Digital: (1) continues to have certain rights and corresponding obligations with respect to its business;</w:t>
      </w:r>
    </w:p>
    <w:p>
      <w:pPr>
        <w:spacing w:after="0" w:line="2" w:lineRule="exact"/>
        <w:rPr>
          <w:sz w:val="20"/>
          <w:szCs w:val="20"/>
          <w:color w:val="auto"/>
        </w:rPr>
      </w:pPr>
    </w:p>
    <w:p>
      <w:pPr>
        <w:ind w:right="26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continues to have the right, but not the obligation, to receive certain services from us and DISH Network; and (3) has a license from us to use certain of the assets distributed to us as part of the Exchange Agreement. DISH Digital changed its name to Sling TV Holding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equipment — DISH Network”</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Remanufactured Receiver Agreement</w:t>
      </w:r>
      <w:r>
        <w:rPr>
          <w:rFonts w:ascii="Arial" w:cs="Arial" w:eastAsia="Arial" w:hAnsi="Arial"/>
          <w:sz w:val="16"/>
          <w:szCs w:val="16"/>
          <w:color w:val="auto"/>
        </w:rPr>
        <w:t>. In connection with the Spin-off, we entered into a remanufactured receiver agreement with DISH Network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which we have the right, but not the obligation, to purchase remanufactured receivers and related components from DISH Network at cost plus a fixed margin, which varies depending on the nature of the equipment purchased. In November 2014, we and DISH Network extended this agreement for a one-year period ending on December 31, 2015, and in November 2015, we and DISH Network extended this agreement for a one-year period ending on</w:t>
      </w:r>
    </w:p>
    <w:p>
      <w:pPr>
        <w:sectPr>
          <w:pgSz w:w="11900" w:h="16877" w:orient="portrait"/>
          <w:cols w:equalWidth="0" w:num="1">
            <w:col w:w="11420"/>
          </w:cols>
          <w:pgMar w:left="240" w:top="341" w:right="239" w:bottom="0" w:gutter="0" w:footer="0" w:header="0"/>
        </w:sectPr>
      </w:pPr>
    </w:p>
    <w:bookmarkStart w:id="28" w:name="page29"/>
    <w:bookmarkEnd w:id="28"/>
    <w:p>
      <w:pPr>
        <w:spacing w:after="0" w:line="1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December 31, 2016. We may terminate the remanufactured receiver agreement for any reason upon at least 60 days’ notice to DISH Network. DISH Network may also terminate this agreement if certain entities acquire DISH Network.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services and other — DISH Network”</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Satellite Services Received from DISH Network</w:t>
      </w:r>
      <w:r>
        <w:rPr>
          <w:rFonts w:ascii="Arial" w:cs="Arial" w:eastAsia="Arial" w:hAnsi="Arial"/>
          <w:sz w:val="17"/>
          <w:szCs w:val="17"/>
          <w:color w:val="auto"/>
        </w:rPr>
        <w:t>. Since the Spin-off, we entered into certain satellite services agreements pursuant to which we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satellite services from DISH Network on certain satellites owned by DISH Network. The fees for the services provided under these satellite services agreements depend, among other things, upon the orbital location of the applicable satellite, the number of transponders that are providing services on the applicable satellite and the length of the service term. The term of each satellite service agreement is set forth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D-1</w:t>
      </w:r>
      <w:r>
        <w:rPr>
          <w:rFonts w:ascii="Arial" w:cs="Arial" w:eastAsia="Arial" w:hAnsi="Arial"/>
          <w:sz w:val="18"/>
          <w:szCs w:val="18"/>
          <w:color w:val="auto"/>
        </w:rPr>
        <w:t>. In November 2012, HNS entered into a satellite service agreement pursuant to which HNS received satellite services from DISH Network on the D-1 satellite for research and development. This agreement terminated on June 30, 2014.</w:t>
      </w:r>
    </w:p>
    <w:p>
      <w:pPr>
        <w:spacing w:after="0" w:line="170"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i w:val="1"/>
          <w:iCs w:val="1"/>
          <w:color w:val="auto"/>
        </w:rPr>
        <w:t xml:space="preserve">EchoStar XV. </w:t>
      </w:r>
      <w:r>
        <w:rPr>
          <w:rFonts w:ascii="Arial" w:cs="Arial" w:eastAsia="Arial" w:hAnsi="Arial"/>
          <w:sz w:val="17"/>
          <w:szCs w:val="17"/>
          <w:color w:val="auto"/>
        </w:rPr>
        <w:t>In May 2013, we began receiving satellite services from DISH Network on the EchoStar XV satellite and relocated the satellite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45 degree west longitude orbital location for testing pursuant to our Brazilian authorization. Effective March 1, 2014, this satellite services agreement converted to a month-to-month service agreement. Both parties have the right to terminate this agreement upon 30 days’ notice. On October 19, 2015, we provided DISH Network a notice to terminate this agreement effective in November 2015, and we are in the process of relocating the satellite during the fourth quarter of 2015 to a new orbital location pursuant to the terms of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Professional Services Agreement</w:t>
      </w:r>
      <w:r>
        <w:rPr>
          <w:rFonts w:ascii="Arial" w:cs="Arial" w:eastAsia="Arial" w:hAnsi="Arial"/>
          <w:sz w:val="16"/>
          <w:szCs w:val="16"/>
          <w:color w:val="auto"/>
        </w:rPr>
        <w:t>. In connection with the Spin-off, we entered into various agreements with DISH Network including the Transition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Satellite Procurement Agreement and Services Agreement, which all expired on January 1, 2010 and were replaced by a Professional Services Agreement. During 2009, we and DISH Network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The Professional Services Agreement automatically renewed on January 1, 2015 for an additional one-year period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Real Estate Lease Agreements</w:t>
      </w:r>
      <w:r>
        <w:rPr>
          <w:rFonts w:ascii="Arial" w:cs="Arial" w:eastAsia="Arial" w:hAnsi="Arial"/>
          <w:sz w:val="18"/>
          <w:szCs w:val="18"/>
          <w:color w:val="auto"/>
        </w:rPr>
        <w:t>. We have entered into lease agreements pursuant to which we lease certain real estate from DISH Network. The rent on a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foot basis for each of the leases is comparable to per square foot rental rates of similar commercial property in the same geographic area at the time of the lease, and we are responsible for our portion of the taxes, insurance, utilities and maintenance of the premises. The term of each of the leases is set forth below:</w:t>
      </w:r>
    </w:p>
    <w:p>
      <w:pPr>
        <w:spacing w:after="0" w:line="187"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i w:val="1"/>
          <w:iCs w:val="1"/>
          <w:color w:val="auto"/>
        </w:rPr>
        <w:t>El Paso Lease Agreement</w:t>
      </w:r>
      <w:r>
        <w:rPr>
          <w:rFonts w:ascii="Arial" w:cs="Arial" w:eastAsia="Arial" w:hAnsi="Arial"/>
          <w:sz w:val="18"/>
          <w:szCs w:val="18"/>
          <w:color w:val="auto"/>
        </w:rPr>
        <w:t>. The lease for certain space at 1285 Joe Battle Blvd., El Paso, Texas is for an initial period ending on August 1,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us with renewal options for four consecutive three year terms. During the second quarter of 2015, we exercised our first renewal option for a period ending on August 1, 2018.</w:t>
      </w:r>
    </w:p>
    <w:p>
      <w:pPr>
        <w:spacing w:after="0" w:line="181" w:lineRule="exact"/>
        <w:rPr>
          <w:sz w:val="20"/>
          <w:szCs w:val="20"/>
          <w:color w:val="auto"/>
        </w:rPr>
      </w:pPr>
    </w:p>
    <w:p>
      <w:pPr>
        <w:ind w:left="340" w:right="520"/>
        <w:spacing w:after="0" w:line="264"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The license for certain space at 796 East Utah Valley Drive in American Fork, Utah is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July 31, 2017, subject to the terms of the underlying lease agreement. In connection with the Exchange Agreement, this license was terminated during the fourth quarter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In connection with the Spin-off, we entered into a tax sharing agreement with DISH Network which governs our respective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us for such taxes. However, DISH Network is not liable for and will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180" w:firstLine="8"/>
        <w:spacing w:after="0" w:line="312"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w:t>
      </w:r>
    </w:p>
    <w:p>
      <w:pPr>
        <w:sectPr>
          <w:pgSz w:w="11900" w:h="16952" w:orient="portrait"/>
          <w:cols w:equalWidth="0" w:num="1">
            <w:col w:w="11420"/>
          </w:cols>
          <w:pgMar w:left="240" w:top="125" w:right="239" w:bottom="0" w:gutter="0" w:footer="0" w:header="0"/>
        </w:sectPr>
      </w:pPr>
    </w:p>
    <w:bookmarkStart w:id="29" w:name="page30"/>
    <w:bookmarkEnd w:id="29"/>
    <w:p>
      <w:pPr>
        <w:ind w:right="640"/>
        <w:spacing w:after="0" w:line="277" w:lineRule="auto"/>
        <w:rPr>
          <w:sz w:val="20"/>
          <w:szCs w:val="20"/>
          <w:color w:val="auto"/>
        </w:rPr>
      </w:pPr>
      <w:r>
        <w:rPr>
          <w:rFonts w:ascii="Arial" w:cs="Arial" w:eastAsia="Arial" w:hAnsi="Arial"/>
          <w:sz w:val="18"/>
          <w:szCs w:val="18"/>
          <w:color w:val="auto"/>
        </w:rPr>
        <w:t>claims and expenses. The tax sharing agreement will only terminate after the later of the full period of all applicable statutes of limitations, including extensions, or once all rights and obligations are fully effectuated or performed.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tax sharing agreement, among other things, and in connection with our consolidated federal income tax returns for certain tax years prior to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year of the Spin-off, during the third quarter of 2013, we and DISH Network agreed upon a supplemental allocation of the tax benefits arising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tax items resolved in the course of the IRS’s examination of our consolidated tax returns. Prior to the agreement with DISH Network, the federal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of $83.2 million were reflected as a deferred tax asset for depreciation and amortization, which was netted in our noncurrent deferred tax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requires DISH Network to pay us $83.2 million of the federal tax benefit it receives at such time as we would have otherwise been 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realize such tax benefit, which we currently estimate would be after 2015. Accordingly, we recorded a noncurrent receivable from DISH Network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$83.2 million in “Other receivable — DISH Network” and a corresponding increase in our net noncurrent deferred tax liabilities to reflect the effects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in the third quarter of 2013. In addition, during the third quarter of 2013, we and DISH Network agreed upon a tax sharing arrangement for filing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combined state income tax returns and a method of allocating the respective tax liabilities between us and DISH Network for such combined returns,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the taxable period ending on December 31, 2017.</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TiVo</w:t>
      </w:r>
      <w:r>
        <w:rPr>
          <w:rFonts w:ascii="Arial" w:cs="Arial" w:eastAsia="Arial" w:hAnsi="Arial"/>
          <w:sz w:val="17"/>
          <w:szCs w:val="17"/>
          <w:color w:val="auto"/>
        </w:rPr>
        <w:t>. On April 29, 2011, we and DISH Network entered into a settlement agreement with TiVo, Inc. (“TiVo”). The settlement resolved all pending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are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are allocated between us and DISH Network based on historical sales of certain licensed products, with EchoStar being responsible for 5% of each annual payment.</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On December 31, 2014, DISH Digital (now known as Sling TV Holding) entered into an agreement with Sling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Inc., our subsidiary, pursuant to which Sling TV Holding has the right, for a fixed fee, to use certain trademarks, domain names and other intellectual property related to the “Sling” trademark through December 31, 2016.</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gTLD Bidding Agreement</w:t>
      </w:r>
      <w:r>
        <w:rPr>
          <w:rFonts w:ascii="Arial" w:cs="Arial" w:eastAsia="Arial" w:hAnsi="Arial"/>
          <w:sz w:val="18"/>
          <w:szCs w:val="18"/>
          <w:color w:val="auto"/>
        </w:rPr>
        <w:t>. In April 2015, we and DISH Network entered into a gTLD Bidding Agreement whereby, among other things: (i)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rights from us to participate in a generic top level domain (“gTLD”) auction, assuming all rights and obligations from us related to our application with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Cross-License Agreements</w:t>
      </w:r>
      <w:r>
        <w:rPr>
          <w:rFonts w:ascii="Arial" w:cs="Arial" w:eastAsia="Arial" w:hAnsi="Arial"/>
          <w:sz w:val="16"/>
          <w:szCs w:val="16"/>
          <w:color w:val="auto"/>
        </w:rPr>
        <w:t>. During December 2011, we and DISH Network entered into separate patent cross-license agreements with the same third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party whereby: (i) we and such third party licensed our respective patents to each other subject to certain conditions; and (ii) DISH Network and such third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licensed their respective patents to each other subject to certain conditions (each, a “Cross-License Agreement”). Each Cross-License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covers patents acquired by the respective party prior to January 1, 2017 and aggregate payments under both Cross-License Agreements total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Each Cross-License Agreement also contains an option to extend each Cross-License Agreement to include patents acquired by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prior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January 1, 2022. If both options are exercised, the aggregate additional payments to such third party would total less than $3.0 million. However, we and DISH Network may elect to extend our respective Cross-License Agreement independently of each other.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PMC</w:t>
      </w:r>
      <w:r>
        <w:rPr>
          <w:rFonts w:ascii="Arial" w:cs="Arial" w:eastAsia="Arial" w:hAnsi="Arial"/>
          <w:sz w:val="17"/>
          <w:szCs w:val="17"/>
          <w:color w:val="auto"/>
        </w:rPr>
        <w:t>. During 2008, PMC filed suit against us, DISH Network and Motorola Inc., in the United States District Court for the Eastern District of Texas,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alleging infringement of United States Patent Nos. 5,109,414; 4,965,825; 5,233,654; 5,335,277 and 5,887,243, which relate to satellite signal processing. On May 7, 2015, we, DISH Network and PMC entered into a settlement and release agreement that provided, among other things, for a license by PMC to us and DISH Network for certain patents and patent applications and the dismissal of all of PMC’s claims in the action against us and DISH Network with prejudice. On June 4, 2015, the Court dismissed all of PMC’s claims in the action against us and DISH Network with prejudice. See Note 14 for further discussion. In June 2015, we and DISH Network agreed that we would contribute a one-time payment of $5.0 million towards the settlement under the agreements entered into in connection with the Spin-off and the 2012 Receiver Agreement.</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TerreStar-2 Development Agreement</w:t>
      </w:r>
      <w:r>
        <w:rPr>
          <w:rFonts w:ascii="Arial" w:cs="Arial" w:eastAsia="Arial" w:hAnsi="Arial"/>
          <w:sz w:val="16"/>
          <w:szCs w:val="16"/>
          <w:color w:val="auto"/>
        </w:rPr>
        <w:t>. In August 2013, we and DISH Network entered into a development agreement (“T2 Development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EchoStar XXI satellite under which we reimburse DISH Network for amounts it pays pursuant to an authorization to proceed (“T2 ATP”) with SS/L in connection with the construction of the EchoStar XXI satellite. In exchange, DISH Network granted us certain rights to purchase the EchoStar XXI satellite during the term of the T2 Development Agreement. The T2 Development Agreement was amended in December 2013 to provide for the ability to purchase DISH Network’s rights and obligations under the T2 ATP and the related agreement for the construction of the EchoStar XXI satellite with SS/L. The purchase rights under the T2 Development Agreement were exercised in December 2014, and the agreement terminated pursuant to its terms.</w:t>
      </w:r>
    </w:p>
    <w:p>
      <w:pPr>
        <w:spacing w:after="0" w:line="16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 xml:space="preserve">Roger J. Lynch. </w:t>
      </w:r>
      <w:r>
        <w:rPr>
          <w:rFonts w:ascii="Arial" w:cs="Arial" w:eastAsia="Arial" w:hAnsi="Arial"/>
          <w:sz w:val="18"/>
          <w:szCs w:val="18"/>
          <w:color w:val="auto"/>
        </w:rPr>
        <w:t>In November 2009, Mr. Roger J. Lynch became employed by both us and DISH Network as Executive Vice President. Mr. Lynch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the development and implementation of advanced technologies that are of potential utility and importance to both us and DISH Network. Mr. Lynch’s compensation consisted of cash and equity compensation and was borne by both DISH Network and us. Mr. Lynch’s employment with us terminated on December 31, 2014.</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Agreements</w:t>
      </w:r>
    </w:p>
    <w:p>
      <w:pPr>
        <w:sectPr>
          <w:pgSz w:w="11900" w:h="16838" w:orient="portrait"/>
          <w:cols w:equalWidth="0" w:num="1">
            <w:col w:w="11420"/>
          </w:cols>
          <w:pgMar w:left="240" w:top="125" w:right="2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We contract with Hughes Systique for software development services. In February 2008, HNS agreed to make available to Hughes Systique a term loan facility of up to $1.5 million. Also in 2008, HNS funded an initial $0.5 million to Hughes Systique pursuant to the term loan facility. In 2009, HNS funded the remaining $1.0 million of its $1.5 million commitment under the term loan facility. The loans bear interest at 6%, payable annually, and are convertible into shares of Hughes Systique upon non-payment or an event of default. In May 2014, Hughes and Hughes Systique amended the term loan facility to increase the interest rate from 6% to 8%, payable annually, to reflect current market conditions. The loans, as amended, matured on May 1, 2015. In</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April 2015, Hughes Systique repaid $0.7 million of the outstanding principal of the loan and the maturity date of the loan was extended to May 1, 2016 on the same terms. In July and September 2015, Hughes Systique repaid $0.6 million of the outstanding principal of the loan. As of September 30, 2015, the principal outstanding amount of the loan was $0.9 million. In addition to our 44.0% ownership in Hughes Systique, Mr. Pradman Kaul, the President of Hughes Communications, Inc. and a member of our board of directors and his brother, who is the CEO and President of Hughes Systique, in the aggregate, owned approximately 25.8%, on an undiluted basis, of Hughes Systique’s outstanding shares as of September 30, 2015.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NagraStar L.L.C.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50.0% of NagraStar L.L.C. (“NagraStar”), a joint venture that is our primary provider of encryption and related security technology used in our set-top boxes. We account for our investment in NagraStar using the equity method. We made purchases from NagraStar totaling approximately $4.4 million and $5.9 million for the three months ended September 30, 2015 and 2014, respectively, and $13.0 million and $15.5 million for the nine months ended September 30, 2015 and 2014, respectively. As of September 30, 2015 and December 31, 2014, we had trade accounts payable to NagraStar totaling approximately $1.1 million and $3.2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broadcast services and satellite services and sell hardware such as digital set-top boxes and related equipment to Dish Mexico.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from sales of hardware and services we provided to Dish Mexico.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3"/>
              </w:rPr>
              <w:t>For the Three Months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582"/>
              <w:spacing w:after="0"/>
              <w:rPr>
                <w:sz w:val="20"/>
                <w:szCs w:val="20"/>
                <w:color w:val="auto"/>
              </w:rPr>
            </w:pPr>
            <w:r>
              <w:rPr>
                <w:rFonts w:ascii="Arial" w:cs="Arial" w:eastAsia="Arial" w:hAnsi="Arial"/>
                <w:sz w:val="14"/>
                <w:szCs w:val="14"/>
                <w:b w:val="1"/>
                <w:bCs w:val="1"/>
                <w:color w:val="auto"/>
                <w:w w:val="91"/>
              </w:rPr>
              <w:t>Ended September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w w:val="83"/>
              </w:rPr>
              <w:t>2014</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Digital set-top boxes and related accessories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19,887</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14,741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45,432</w:t>
            </w:r>
          </w:p>
        </w:tc>
        <w:tc>
          <w:tcPr>
            <w:tcW w:w="6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40,146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Satellite services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5,837</w:t>
            </w:r>
          </w:p>
        </w:tc>
        <w:tc>
          <w:tcPr>
            <w:tcW w:w="28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5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5,837</w:t>
            </w:r>
          </w:p>
        </w:tc>
        <w:tc>
          <w:tcPr>
            <w:tcW w:w="2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17,510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17,510</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Uplink services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w:t>
            </w: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1122"/>
              <w:spacing w:after="0"/>
              <w:rPr>
                <w:sz w:val="20"/>
                <w:szCs w:val="20"/>
                <w:color w:val="auto"/>
              </w:rPr>
            </w:pPr>
            <w:r>
              <w:rPr>
                <w:rFonts w:ascii="Arial" w:cs="Arial" w:eastAsia="Arial" w:hAnsi="Arial"/>
                <w:sz w:val="14"/>
                <w:szCs w:val="14"/>
                <w:b w:val="1"/>
                <w:bCs w:val="1"/>
                <w:color w:val="auto"/>
                <w:w w:val="85"/>
              </w:rPr>
              <w:t>As of</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1360" w:type="dxa"/>
            <w:vAlign w:val="bottom"/>
            <w:gridSpan w:val="2"/>
          </w:tcPr>
          <w:p>
            <w:pPr>
              <w:jc w:val="right"/>
              <w:ind w:right="178"/>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tcPr>
          <w:p>
            <w:pPr>
              <w:jc w:val="center"/>
              <w:ind w:left="58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Due from Dish Mexico</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28,786</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11,012</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$0.7 million and $0.8 million for the three months ended September 30, 2015 and 2014, respectively, and $2.1 million and $2.5 million for the nine months ended September 30, 2015 and 2014, respectively. As of September 30, 2015 and December 31, 2014, we had trade accounts receivable from Deluxe of approximately $0.1 million and $0.2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SmarDTV</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May 2015, we acquired a 22.5% interest in SmarDTV, which we account for using the equity method. Pursuant to a services agreement, we purchased engineering services from SmarDTV totaling $1.7 million and $2.6 million for the three and nine months ended September 30, 2015, respectively. As of September 30, 2015, we had trade accounts payable to SmarDTV of $2.3 million, and a $0.6 million current note receivable from SmarDTV arising from a working capital adjustment pursuant to the acquisition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400"/>
          </w:cols>
          <w:pgMar w:left="240" w:top="337" w:right="259" w:bottom="0" w:gutter="0" w:footer="0" w:header="0"/>
        </w:sectPr>
      </w:pPr>
    </w:p>
    <w:bookmarkStart w:id="31" w:name="page32"/>
    <w:bookmarkEnd w:id="31"/>
    <w:p>
      <w:pPr>
        <w:ind w:right="8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condensed consolidated financial statements and notes to our financial statements included elsewhere in this Quarterly Report on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2014.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EchoStar is a global provider of satellite operations, video delivery solutions, digital set-top boxes, and broadband satellite technologies and services for the home and office, delivering innovative network technologies, managed services, and solutions for enterprises and governments. We currently operate in three business segments, which are differentiated primarily by their operational focus: EchoStar Technologies, Hughes, and EchoStar Satellite Services.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“All Other and Eliminations.”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Third Quarter Consolidated Results of Operations</w:t>
      </w:r>
    </w:p>
    <w:p>
      <w:pPr>
        <w:spacing w:after="0" w:line="229"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of $760.9 million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of $88.6 million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$30.1 million and basic earnings per share of common stock of $0.33</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EBITDA of $216.6 million (see reconciliation of this non-GAAP measure in Note 15 to the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2015</w:t>
      </w:r>
    </w:p>
    <w:p>
      <w:pPr>
        <w:spacing w:after="0" w:line="229"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assets of $7.29 billion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liabilities of $3.59 billion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stockholders’ equity of $3.70 billion</w:t>
      </w:r>
    </w:p>
    <w:p>
      <w:pPr>
        <w:spacing w:after="0" w:line="225" w:lineRule="exact"/>
        <w:rPr>
          <w:rFonts w:ascii="Arial" w:cs="Arial" w:eastAsia="Arial" w:hAnsi="Arial"/>
          <w:sz w:val="18"/>
          <w:szCs w:val="18"/>
          <w:color w:val="auto"/>
        </w:rPr>
      </w:pPr>
    </w:p>
    <w:p>
      <w:pPr>
        <w:ind w:left="5620" w:right="4700" w:hanging="5288"/>
        <w:spacing w:after="0" w:line="57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Cash, cash equivalents and current marketable investment securities of $1.59 billion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Technologies Segment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EchoStar Technologies segment designs, develops and distributes digital set-top boxes and related products and technology, primarily for satellite TV service providers and telecommunication companies. The primary customer for our digital set-top boxes is DISH Network Corporation and its subsidiaries (“DISH Network”), and we also sell digital set-top boxes to Bell TV, a direct-to-home satellite service provider in Canada, Dish Mexico, S. de R.L. de C.V. (“Dish Mexico”), a joint venture that we entered into in 2008, and other international customers. We depend on DISH Network for a substantial portion of our EchoStar Technologies segment revenue and we expect that DISH Network will continue to be the primary source of revenue for our EchoStar Technologies segment. In addition, our equipment revenue from DISH Network depends on the timing of orders for set-top boxes and related accessories from DISH Network based on its actual and projected subscriber growth. Therefore, the results of operations of our EchoStar Technologies segment are, and are likely to continue to be, closely linked to the performance of DISH Network’s pay-TV service.</w:t>
      </w:r>
    </w:p>
    <w:p>
      <w:pPr>
        <w:spacing w:after="0" w:line="1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EchoStar Technologies segment also provides digital broadcast operations, including satellite uplinking/downlinking, transmission services, signal processing, conditional access management, and other services, primarily to DISH Network. In addition, we provide our TVEverywhere technology through Slingboxes directly to consumers via retail outlets and online, as well as to the pay-TV operator market.</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2015, Move Network, our live linear over-the-top platform business, including certain assets that were distributed to us in August 2014 in connection with the Exchange Agreement with DISH Digital Holding L.L.C. (“Sling TV Holding”), (see Notes 6, 10 and 16 in our notes to condensed consolidated financial statements), was managed separately from our operating segments and was reported within “All Other and Eliminations.” In the first quarter of 2015, we assigned management responsibility for our Move Network business to our EchoStar Technologies segment, where it continues to be managed and reported as a separate reporting unit. We have retrospectively adjusted our segment reporting to reflect our Move Network business as part of the EchoStar Technologies segment in prior periods (see Note 15 in our notes to the condensed consolidated financial statements).</w:t>
      </w:r>
    </w:p>
    <w:p>
      <w:pPr>
        <w:sectPr>
          <w:pgSz w:w="11900" w:h="16838" w:orient="portrait"/>
          <w:cols w:equalWidth="0" w:num="1">
            <w:col w:w="11380"/>
          </w:cols>
          <w:pgMar w:left="240" w:top="341" w:right="279" w:bottom="0" w:gutter="0" w:footer="0" w:header="0"/>
        </w:sectPr>
      </w:pPr>
    </w:p>
    <w:bookmarkStart w:id="32" w:name="page33"/>
    <w:bookmarkEnd w:id="32"/>
    <w:p>
      <w:pPr>
        <w:ind w:right="300"/>
        <w:spacing w:after="0" w:line="259" w:lineRule="auto"/>
        <w:rPr>
          <w:sz w:val="20"/>
          <w:szCs w:val="20"/>
          <w:color w:val="auto"/>
        </w:rPr>
      </w:pPr>
      <w:r>
        <w:rPr>
          <w:rFonts w:ascii="Arial" w:cs="Arial" w:eastAsia="Arial" w:hAnsi="Arial"/>
          <w:sz w:val="18"/>
          <w:szCs w:val="18"/>
          <w:color w:val="auto"/>
        </w:rPr>
        <w:t>During the second quarter of 2015, our EchoStar Technologies segment contributed several of its European subsidiaries to SmarDTV SA (“SmarDTV”), a Swiss subsidiary of Kudelski SA that offers set-top boxes and conditional access modules, in exchange for a 22.5% interest in the equity and subordinated debt of SmarDTV. We and SmarDTV also entered into a services agreement pursuant to which our EchoStar Technologies segment purchases certain engineering services from SmarDTV.</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 to focus on building and strengthening our brand recognition by providing unique and technologically advanced features and products. Products containing new technologies and features typically have higher initial selling prices, margins and volumes. As products mature and new products are in the late stages of development, volumes typically decrease as our customers, primarily DISH Network, increase deployment of refurbished set-top boxes as opposed to purchasing new units from us. The market for our digital set-top boxes, like other electronic products, has also been characterized by regular reductions in selling prices and production costs. Our ability to sustain or increase profitability also depends in large part on our ability to control or reduce our costs of producing digital set-top boxes. Based on our experience, we expect our cost of manufacturing a specific set-top box model to decline over time as our contract manufacturers generate efficiencies with scale of production and engineering cost reductions. Overall, our success depends heavily on our ability to bring advanced technologies to market to keep pace with our competitors.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number of potential new customers for our set-top box business in our EchoStar Technologies segment is small and may be limited as prospective customers that have been competitors of DISH Network may continue to view us as a competitor due to our common ownership with DISH Network. We believe that our best opportunities for developing potential new customers for our set-top box business over the near term lie in international markets, including through joint ventures. We have an exclusive equipment partnership with Bell TV through the end of 2015. Additionally, our joint venture with Dish Mexico continues to see growth. We are continuing to work with Dish Mexico on enhanced features and services that we expect will help it respond to competitive pressures in Mexico.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With our expertise in connectivity, security, and video, we are exploring the potential of new product and service offerings including home security and automation, and facilitation of user-generated content along with other products intended to grow our EchoStar Technologies segment revenue over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Our Hughes segment is a global provider of broadband satellite technologies and services for the home and office, delivering innovative network technologies, managed services, and solutions for consumers, enterprises and governments.</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continue our efforts in growing our consumer revenue, which depends on our success in adding new subscribers on our Hughes segment’s satellite networks. The addition of new subscribers and the performance of our consumer service offering, primarily drive the revenue growth in our consumer business. Service costs related to ongoing support of our direct and indirect customers and partners are typically impacted most significantly by our growth. Long term trends continue to be influenced primarily by the subscriber growth in our consumer business. Additional capacity provided in this business by new satellite launches provides impetus for initial subscriber growth while we manage subscriber growth across our satellite platform. In March 2013, we entered into a contract for the design and construction of the EchoStar XIX satellite, which is expected to be launched in the fourth quarter of 2016. The EchoStar XIX satellite is a next-generation, high throughput geostationary satellite that will employ a multi-spot beam, bent pipe Ka-band architecture and will provide additional capacity for the Hughes broadband services to the consumer market in North America. Capital expenditures associated with the construction and launch of the EchoStar XIX satellite are included in “All Other and Eliminations” in our segment reporting.</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Hughes segment also provides managed services, hardware, and satellite services to large enterprises. In addition, we provide gateway and terminal equipment to customers for mobile satellite systems. The fixed pricing nature of our long-term enterprise contracts minimizes significant quarter to quarter fluctuations; however, the growth of our enterprise business relies heavily on global economic conditions. We continue to monitor the competitive landscape for pricing in relation to our competitors and alternative technologies.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April 2014, we entered into a satellite services agreement pursuant to which Eutelsat do Brasil will provide to Hughes Telecomunica</w:t>
      </w:r>
      <w:r>
        <w:rPr>
          <w:rFonts w:ascii="Arial" w:cs="Arial" w:eastAsia="Arial" w:hAnsi="Arial"/>
          <w:sz w:val="18"/>
          <w:szCs w:val="18"/>
          <w:color w:val="auto"/>
        </w:rPr>
        <w:t>ҫ</w:t>
      </w:r>
      <w:r>
        <w:rPr>
          <w:rFonts w:ascii="Arial" w:cs="Arial" w:eastAsia="Arial" w:hAnsi="Arial"/>
          <w:sz w:val="18"/>
          <w:szCs w:val="18"/>
          <w:color w:val="auto"/>
        </w:rPr>
        <w:t>ões do Brasil Ltda., our subsidiary, fixed broadband service using the Ka-band capacity into Brazil on the EUTELSAT 65 West A satellite for a 15-year term. The satellite service agreement requires us to make prepayments while the satellite is under construction. We expect the satellite to be placed into service no later than the third quarter of 2016 and will deliver consumer satellite broadband services in Brazil as well as create a platform to potentially allow for further development of our spectrum in Brazil.</w:t>
      </w:r>
    </w:p>
    <w:p>
      <w:pPr>
        <w:spacing w:after="0" w:line="1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June 2015, we purchased a noncontrolling equity investment in WorldVu Satellites Limited (“WorldVu”), a low-earth orbit satellite company. In addition, our Hughes segment entered into an agreement with WorldVu to provide certain equipment and services in connection with the ground system for WorldVu’s low-earth orbit satellites.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September 30, 2015 and December 31, 2014, our Hughes segment had approximately 1,025,000 and 977,000 broadband subscribers, respectively. These subscribers include subscriptions with HughesNet services, through retail, wholesale and small/medium enterprise service channels. Gross subscriber additions increased in the third quarter of 2015 compared to the same period in 2014. However, our average monthly subscriber churn for the third quarter of 2015 also increased as compared to the same period in 2014. As a result, for the quarter ended September 30, 2015, net subscriber additions of approximately 11,200 were lower than the same period last year primarily reflecting the increase in churn on the increasing base of subscribers.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2015 and December 31, 2014, our Hughes segment had approximately $1.12 billion and $1.26 billion, respectively, of contracted revenue backlog. We define Hughes revenue backlog as our expected future revenue under customer contracts that are non-cancelable, excluding agreements with customers in our consumer market.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3" w:name="page34"/>
    <w:bookmarkEnd w:id="33"/>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EchoStar Satellite Services segment operates its business using its 16 owned and leased in-orbit satellites. We provide satellite services on a full-time and occasional-use basis primarily to DISH Network, Dish Mexico, U.S. government service providers, internet service providers, broadcast news organizations, programmers and private enterprise customers.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depend on DISH Network for a significant portion of the revenue for our EchoStar Satellite Services segment and we expect that DISH Network will continue to be the primary source of revenue for our EchoStar Satellite Services segment. Therefore, the results of operations of our EchoStar Satellite Services segment are linked to long-term changes in DISH Network’s satellite capacity requirements. We continue to pursue expanding our business offerings by providing value added services such as telemetry, tracking and control services to third parties. Revenue growth in our EchoStar Satellite Services segment is a function of available satellite capacity to sell. Our EchoStar 105/SES-11 satellite is currently under construction and is anticipated to replace the capacity currently leased on the AMC-15 satellite. Once launched and placed into operation, we expect the satellite to produce the revenue currently serviced by the AMC-15 satellite as well as additional revenue. Any factors that interfere with the construction and launch schedule of the EchoStar 105/SES-11 satellite could impact our expected revenue growth. In addition, any disruption in planned renewals of our service arrangements could impact customer commitments and have an impact on our revenue and financial performance. Technical issues, regulatory and licensing issues, manufacturer performance/stability and availability of capital to continue to fund our programs also are factors in achieving our business plans for this segment.</w:t>
      </w:r>
    </w:p>
    <w:p>
      <w:pPr>
        <w:spacing w:after="0" w:line="16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firstLine="8"/>
        <w:spacing w:after="0" w:line="254"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Additionally, SES will provide to us satellite service on the entire Ku-band payload on the EchoStar 105/SES-11 satellite for an initial ten-year term, with an option for us to renew the agreement on a year-to-year basis.</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2015 and December 31, 2014, our EchoStar Satellite Services segment had contracted revenue backlog attributable to satellites currently in orbit of approximately $1.47 billion and $1.71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for broadcast satellite service (“BSS”), Ka-band spectrum and S-band spectrum. With regards to the Ku-band BSS spectrum, we continue to pursue various opportunities to support a Brazilian service. We are exploring options for the Ka-band and S-band spectrums. In April 2014, we entered into an agreement with Space Systems Loral, LLC (“SS/L”) for the construction of the EchoStar XXIII satellite, a high powered BSS satellite, which will use some of the components from CMBStar, a satellite that we suspended construction of in 2008. The EchoStar XXIII satellite is expected to launch in the second half of 2016 and will be initially deployed at the 45 degree west longitude orbital location.</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2013, we acquired 100% of Solaris Mobile, which is based in Dublin, Ireland and licensed by the European Union (“EU”) and individual EU Member States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expected to begin in the second half of 2016, utilizing the operable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transponders we own on the EUTELSAT 10A (also known as “W2A”) satellite, along with our EchoStar XXI S-band satellite. We are currently constructing, and have contracted to launch, the EchoStar XXI satellite to provide space segment capacity to EchoStar Mobile in the third quarter of 2016. We believe we are in a unique position to deploy a European wide MSS/CGC network and maximize the long-term value of our S-band spectrum in Europe and other regions within the scope of our licenses.</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XXIII and EchoStar XXI satellites are included in “All Other and Eliminations” in our segment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Compared to the Three Months Ended September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For the Three Months</w:t>
            </w:r>
          </w:p>
        </w:tc>
        <w:tc>
          <w:tcPr>
            <w:tcW w:w="25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Statements of Operations Data (1)</w:t>
            </w:r>
          </w:p>
        </w:tc>
        <w:tc>
          <w:tcPr>
            <w:tcW w:w="2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Ended September 30,</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780" w:type="dxa"/>
            <w:vAlign w:val="bottom"/>
            <w:vMerge w:val="continue"/>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26" w:orient="portrait"/>
          <w:cols w:equalWidth="0" w:num="1">
            <w:col w:w="11400"/>
          </w:cols>
          <w:pgMar w:left="240" w:top="121" w:right="25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jc w:val="right"/>
              <w:ind w:right="10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Equipment revenue - DISH Network</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157,184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299,050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(141,866)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 - other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89,454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101,927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(12,473)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236,601</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215,935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20,666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277,640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278,928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760,879</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895,840</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(134,961)</w:t>
            </w:r>
          </w:p>
        </w:tc>
        <w:tc>
          <w:tcPr>
            <w:tcW w:w="4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207,989</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340,159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(132,170)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219,686</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212,298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7,388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91,830</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93,127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(1,297)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19,875</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4,190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132,892</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142,294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(9,402)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672,272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803,563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(131,291)</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88,607</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92,277</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4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(28,870)</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12,818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Gains (losses) and impairment on marketable investment securities, net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affiliates, net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(15,522)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(31,672)</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(27,732)</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4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Income tax provision, net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(28,577)</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(22,469)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 in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HSS Tracking Stock</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Net income attributable to other noncontrolling interests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EchoStar</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(31,333)</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EBITDA</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216,612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247,988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(31,376)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Subscribers, end of period</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960,000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An explanation of our key metrics is included on pages 64 and 65 under the heading “Explanation of Key Metrics and Other Items.”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$157.2 million for the three months ended September 30, 2015,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$141.9 million, or 47.4%,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Equipment revenue — DISH Network from our EchoStar Technologies segment for the three months ended September 30, 2015 decreased by</w:t>
      </w:r>
    </w:p>
    <w:p>
      <w:pPr>
        <w:spacing w:after="0" w:line="35" w:lineRule="exact"/>
        <w:rPr>
          <w:sz w:val="20"/>
          <w:szCs w:val="20"/>
          <w:color w:val="auto"/>
        </w:rPr>
      </w:pPr>
    </w:p>
    <w:p>
      <w:pPr>
        <w:ind w:left="660" w:right="40"/>
        <w:spacing w:after="0" w:line="290" w:lineRule="auto"/>
        <w:rPr>
          <w:sz w:val="20"/>
          <w:szCs w:val="20"/>
          <w:color w:val="auto"/>
        </w:rPr>
      </w:pPr>
      <w:r>
        <w:rPr>
          <w:rFonts w:ascii="Arial" w:cs="Arial" w:eastAsia="Arial" w:hAnsi="Arial"/>
          <w:sz w:val="17"/>
          <w:szCs w:val="17"/>
          <w:color w:val="auto"/>
        </w:rPr>
        <w:t>$138.6 million, or 47.4%, to $154.1 million compared to the same period in 2014. Our EchoStar Technologies segment offers multiple set-top boxes with different price points depending on their capabilities and functionalities. The revenue and associated margins we earn on sales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left="660" w:right="120"/>
        <w:spacing w:after="0" w:line="270" w:lineRule="auto"/>
        <w:rPr>
          <w:sz w:val="20"/>
          <w:szCs w:val="20"/>
          <w:color w:val="auto"/>
        </w:rPr>
      </w:pPr>
      <w:r>
        <w:rPr>
          <w:rFonts w:ascii="Arial" w:cs="Arial" w:eastAsia="Arial" w:hAnsi="Arial"/>
          <w:sz w:val="17"/>
          <w:szCs w:val="17"/>
          <w:color w:val="auto"/>
        </w:rPr>
        <w:t>are determined largely through our 2012 Receiver Agreement with DISH Network which could result in prices reflecting, among other things, the set-top boxes and other equipment that meet DISH Network’s current sales and marketing priorities, the product and service alternatives available from other equipment suppliers, our ability to respond to DISH Network’s requirements, and our ability to differentiate ourselves from other equipment suppliers on bases other than pricing. In addition, products containing new technologies and features typically have higher initial prices, which reduce over time as a result of manufacturing efficiencies. Volume of unit sales could reduce over time as a result of demand decreases or as DISH Network increases the deployment of refurbished units as opposed to new units purchased from us. The decrease in revenue for the three months ended September 30, 2015 was primarily due to a decrease in the sales of set-top boxes and related accessories. The decrease in revenue of set-top boxes was due to a 62.0% decrease in the volume of unit sales, partially offset by a 12.2% increase in the weighted average price of the set-top boxes sold. The decrease in revenue of related accessories was due to a 26.1% decrease in the volume of unit sales and a 10.4% decrease in the weighted average price of related accessories sold.</w:t>
      </w:r>
    </w:p>
    <w:p>
      <w:pPr>
        <w:spacing w:after="0" w:line="178" w:lineRule="exact"/>
        <w:rPr>
          <w:sz w:val="20"/>
          <w:szCs w:val="20"/>
          <w:color w:val="auto"/>
        </w:rPr>
      </w:pPr>
    </w:p>
    <w:p>
      <w:pPr>
        <w:ind w:left="660" w:right="260"/>
        <w:spacing w:after="0" w:line="257" w:lineRule="auto"/>
        <w:rPr>
          <w:sz w:val="20"/>
          <w:szCs w:val="20"/>
          <w:color w:val="auto"/>
        </w:rPr>
      </w:pPr>
      <w:r>
        <w:rPr>
          <w:rFonts w:ascii="Arial" w:cs="Arial" w:eastAsia="Arial" w:hAnsi="Arial"/>
          <w:sz w:val="18"/>
          <w:szCs w:val="18"/>
          <w:color w:val="auto"/>
        </w:rPr>
        <w:t>Equipment revenue — DISH Network from our Hughes segment for the three months ended September 30, 2015 decreased by $3.2 million, or 51.1%, to $3.1 million compared to the same period in 2014. The decrease was primarily due to the decrease in the volume of unit sales of broadband equipment to dishNET Satellite Broadband L.L.C. (“dishNET”). Sales of broadband equipment to dishNET have been decreasing as a result of lower gross new broadband subscriber activations and dishNET increasing the deployment of refurbished units as opposed to new units purchased from us.</w:t>
      </w:r>
    </w:p>
    <w:p>
      <w:pPr>
        <w:sectPr>
          <w:pgSz w:w="11900" w:h="16838" w:orient="portrait"/>
          <w:cols w:equalWidth="0" w:num="1">
            <w:col w:w="11420"/>
          </w:cols>
          <w:pgMar w:left="240" w:top="118" w:right="239" w:bottom="0" w:gutter="0" w:footer="0" w:header="0"/>
        </w:sectPr>
      </w:pPr>
    </w:p>
    <w:bookmarkStart w:id="35" w:name="page36"/>
    <w:bookmarkEnd w:id="35"/>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$89.5 million for the three months ended September 30, 2015, a decrease of $12.5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12.2%, compared to the same period in 2014.</w:t>
      </w:r>
    </w:p>
    <w:p>
      <w:pPr>
        <w:spacing w:after="0" w:line="170"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Equipment revenue — other from our EchoStar Technologies segment for the three months ended September 30, 2015 decreased by $8.4 million, or 18.5%, to $37.0 million compared to the same period in 2014. The decrease was attributable to a 23.6% decrease in the weighted average price of set-top boxes sold, a 12.6% decrease in the weighted average price of related accessories sold, and an 11.5% decrease in the volume of unit sales of related accessories primarily to our international customers for the three months ended September 30, 2015 compared to the same period in 2014. These decreases were partially offset by a 9.0% increase in the volume of unit sales of set-top boxes.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Equipment revenue — other from our Hughes segment for the three months ended September 30, 2015 decreased by $4.1 million, or 7.2%, to</w:t>
      </w:r>
    </w:p>
    <w:p>
      <w:pPr>
        <w:spacing w:after="0" w:line="35"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$52.5 million compared to the same period in 2014. The decrease was mainly due to a $4.6 million decrease in domestic sales of mobile satellite systems equipment and sales of broadband equipment to our international customers.</w:t>
      </w:r>
    </w:p>
    <w:p>
      <w:pPr>
        <w:spacing w:after="0" w:line="18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$236.6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2015, an increase of $20.7 million or 9.6%, compared to the same period in 2014.</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Services and other revenue — DISH Network from our EchoStar Technologies segment for the three months ended September 30, 2015 increased by $18.8 million, or 22.5%, to $102.1 million compared to the same period in 2014. The increase was primarily due to an increase of $7.9 million in support services sold to Sling TV Holding as a result of the amended commercial agreement with DISH Network and Sling TV Holding, effective August 1, 2014. The increase was also due to an increase of $10.2 million in revenue earned for engineering services and satellite uplink/downlink services.</w:t>
      </w:r>
    </w:p>
    <w:p>
      <w:pPr>
        <w:spacing w:after="0" w:line="188"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three months ended September 30, 2015 increased by $2.5 million, or 11.6%, to $23.8 million compared to the same period in 2014. The increase was primarily attributable to an increase in wholesale subscribers receiving services pursuant to our Distribution Agreement with dishNET.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$277.6 million for the three months ended September 30, 2015,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$1.3 million, or 0.5%,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EchoStar Technologies segment for the three months ended September 30, 2015 decreased by</w:t>
      </w:r>
    </w:p>
    <w:p>
      <w:pPr>
        <w:spacing w:after="0" w:line="3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$4.1 million, or 69.7%, to $1.8 million compared to the same period in 2014. The decrease was primarily attributable to a decrease of $3.6 million in revenue from certain non-recurring engineering projects and services, and a decrease of $0.4 million in teleport services to certain of our international customers.</w:t>
      </w:r>
    </w:p>
    <w:p>
      <w:pPr>
        <w:spacing w:after="0" w:line="19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Services and other revenue — other from our Hughes segment for the three months ended September 30, 2015 increased by $5.5 million, or 2.2%, to $260.4 million compared to the same period in 2014. The increase was primarily attributable to an increase of $16.3 million in sales of broadband services to our domestic consumer market, partially offset by a decrease of $9.8 million in sales of broadband services to our international customers primarily due to fluctuating foreign exchange rates in certain markets.</w:t>
      </w:r>
    </w:p>
    <w:p>
      <w:pPr>
        <w:spacing w:after="0" w:line="187" w:lineRule="exact"/>
        <w:rPr>
          <w:sz w:val="20"/>
          <w:szCs w:val="20"/>
          <w:color w:val="auto"/>
        </w:rPr>
      </w:pPr>
    </w:p>
    <w:p>
      <w:pPr>
        <w:jc w:val="both"/>
        <w:ind w:left="660" w:right="420"/>
        <w:spacing w:after="0" w:line="264" w:lineRule="auto"/>
        <w:rPr>
          <w:sz w:val="20"/>
          <w:szCs w:val="20"/>
          <w:color w:val="auto"/>
        </w:rPr>
      </w:pPr>
      <w:r>
        <w:rPr>
          <w:rFonts w:ascii="Arial" w:cs="Arial" w:eastAsia="Arial" w:hAnsi="Arial"/>
          <w:sz w:val="18"/>
          <w:szCs w:val="18"/>
          <w:color w:val="auto"/>
        </w:rPr>
        <w:t>Services and other revenue — other from our EchoStar Satellite Services segment for the three months ended September 30, 2015 decreased by $2.8 million, or 14.6%, to $16.6 million compared to the same period in 2014. The decrease was primarily attributable to a decrease in sales of transponder services in the third quarter of 2015 compared to the same period in 2014.</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$208.0 million for the three months ended September 30, 2015, a decrease of $132.2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38.9%, compared to the same period in 2014.</w:t>
      </w:r>
    </w:p>
    <w:p>
      <w:pPr>
        <w:spacing w:after="0" w:line="170"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Cost of sales — equipment from our EchoStar Technologies segment for the three months ended September 30, 2015 decreased by $125.9 million, or 44.1%, to $159.5 million compared to the same period in 2014. The decrease was primarily attributable to a decrease in equipment costs related to the decrease in the volume of sales of set-top boxes and related accessories sold to DISH Network and the volume of sales of set-top boxes and related accessories to our international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equipment from our Hughes segment for the three months ended September 30, 2015 decreased by $6.2 million, or 11.4%, to</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$48.4 million compared to the same period in 2014. The decrease was primarily attributable to a decrease in sales of broadband equipment to DISH Network, primarily related to our Distribution Agreement with dishNET, and a decrease in the cost of sales of domestic mobile satellite system equipment and broadband equipment to our international market.</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$219.7 million for the three months ended September 30, 2015,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$7.4 million, or 3.5%,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EchoStar Technologies segment for the three months ended September 30, 2015 increased by</w:t>
      </w:r>
    </w:p>
    <w:p>
      <w:pPr>
        <w:spacing w:after="0" w:line="35" w:lineRule="exact"/>
        <w:rPr>
          <w:sz w:val="20"/>
          <w:szCs w:val="20"/>
          <w:color w:val="auto"/>
        </w:rPr>
      </w:pPr>
    </w:p>
    <w:p>
      <w:pPr>
        <w:jc w:val="both"/>
        <w:ind w:left="660" w:right="480"/>
        <w:spacing w:after="0" w:line="255" w:lineRule="auto"/>
        <w:rPr>
          <w:sz w:val="20"/>
          <w:szCs w:val="20"/>
          <w:color w:val="auto"/>
        </w:rPr>
      </w:pPr>
      <w:r>
        <w:rPr>
          <w:rFonts w:ascii="Arial" w:cs="Arial" w:eastAsia="Arial" w:hAnsi="Arial"/>
          <w:sz w:val="18"/>
          <w:szCs w:val="18"/>
          <w:color w:val="auto"/>
        </w:rPr>
        <w:t>$10.7 million, or 17.0%, to $74.1 million compared to the same period in 2014. The increase was primarily due to an increase in support costs related to engineering and uplink services provided to DISH Network and Sling TV Holding in the third quarter of 2015 compared to the same period in 2014.</w:t>
      </w:r>
    </w:p>
    <w:p>
      <w:pPr>
        <w:spacing w:after="0" w:line="190"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Cost of sales — services and other from our Hughes segment for the three months ended September 30, 2015 decreased by $7.8 million, or 6.4%, to $114.0 million compared to the same period in 2014. The decrease was primarily attributable to the decrease in costs of our broadband services provided to our international customers primarily due to lower in country costs denominated in local currency.</w:t>
      </w:r>
    </w:p>
    <w:p>
      <w:pPr>
        <w:sectPr>
          <w:pgSz w:w="11900" w:h="16838" w:orient="portrait"/>
          <w:cols w:equalWidth="0" w:num="1">
            <w:col w:w="11420"/>
          </w:cols>
          <w:pgMar w:left="240" w:top="125" w:right="239" w:bottom="40" w:gutter="0" w:footer="0" w:header="0"/>
        </w:sectPr>
      </w:pPr>
    </w:p>
    <w:bookmarkStart w:id="36" w:name="page37"/>
    <w:bookmarkEnd w:id="36"/>
    <w:p>
      <w:pPr>
        <w:ind w:left="660"/>
        <w:spacing w:after="0"/>
        <w:rPr>
          <w:sz w:val="20"/>
          <w:szCs w:val="20"/>
          <w:color w:val="auto"/>
        </w:rPr>
      </w:pPr>
      <w:r>
        <w:rPr>
          <w:rFonts w:ascii="Arial" w:cs="Arial" w:eastAsia="Arial" w:hAnsi="Arial"/>
          <w:sz w:val="16"/>
          <w:szCs w:val="16"/>
          <w:color w:val="auto"/>
        </w:rPr>
        <w:t>Cost of sales — services and other from our EchoStar Satellite Services segment for the three months ended September 30, 2015 increased by</w:t>
      </w:r>
    </w:p>
    <w:p>
      <w:pPr>
        <w:spacing w:after="0" w:line="46"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$4.0 million, or 28.5%, to $18.0 million compared to the same period in 2014. The increase was primarily due to an increase in cost of sales related to the commencement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AMC-15 and AMC-16 satellite operating leases in the fourth quarter of 2014 and the first quarter of 2015, respectively.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totaled $19.9 million for the three months ended September 30, 2015, an increase of $4.2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26.7%, compared to the same period in 2014. The increase was primarily related to an increase in research and development expense of</w:t>
      </w:r>
    </w:p>
    <w:p>
      <w:pPr>
        <w:ind w:right="80"/>
        <w:spacing w:after="0" w:line="261" w:lineRule="auto"/>
        <w:rPr>
          <w:sz w:val="20"/>
          <w:szCs w:val="20"/>
          <w:color w:val="auto"/>
        </w:rPr>
      </w:pPr>
      <w:r>
        <w:rPr>
          <w:rFonts w:ascii="Arial" w:cs="Arial" w:eastAsia="Arial" w:hAnsi="Arial"/>
          <w:sz w:val="18"/>
          <w:szCs w:val="18"/>
          <w:color w:val="auto"/>
        </w:rPr>
        <w:t>$2.6 million and $1.6 million in our EchoStar Technologies segment and Hughes segment, respectively. The Company’s research and development activities vary based on the activity level and scope of other engineering and customer related development contracts.</w:t>
      </w:r>
    </w:p>
    <w:p>
      <w:pPr>
        <w:spacing w:after="0" w:line="18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$132.9 million for the three months ended September 30, 2015, a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$9.4 million or 6.6%, compared to the same period in 2014. The decrease was attributable to a decrease in depreciation expense of $3.7 million relating to the fully depreciated EchoStar VIII satellite as of September 2014, a decrease of $3.6 million in amortization expense from certain of our fully amortized other intangible assets, and a decrease in depreciation expense of $1.9 million relating to the fully depreciated EchoStar XII satellite as of December 2014.</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$28.9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a decrease of $12.8 million or 30.7%, compared to the same period in 2014. The decrease was due to higher capitalized interest of $9.8 million associated with the construction of the EchoStar XIX, EchoStar XXI, EchoStar XXIII and EchoStar 105/SES-11 satellites, payments for satellite services on the EUTELSAT 65 West A satellite, and a decrease in interest expense of $1.8 million relating to the partial redemption of the outstanding $1.10 billion principal amount of HSS’ 6 1/2% Senior Secured Notes due 2019 (the “Senior Secured Notes”) in the second quarter of 2015.</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Gains (losses) and impairment on marketable investment securities, net. </w:t>
      </w:r>
      <w:r>
        <w:rPr>
          <w:rFonts w:ascii="Arial" w:cs="Arial" w:eastAsia="Arial" w:hAnsi="Arial"/>
          <w:sz w:val="17"/>
          <w:szCs w:val="17"/>
          <w:color w:val="auto"/>
        </w:rPr>
        <w:t>“Gains (losses) and impairment on marketable investment securities, net” totaled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$5.2 million in losses for the three months ended September 30, 2015, an increase in losses of $5.1 million compared to the same period in 2014. The increase in losses was primarily due to an other-than-temporary impairment loss of $1.2 million on a strategic equity security in our available-for-sale securities portfolio and an increase of $3.8 million in unrealized holding losses on our trading securities.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$2.3 million in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2015, compared to $13.2 million in earnings for the same period in 2014. The $15.5 million decrease in earnings is primarily due to a $10.3 million non-recurring adjustment to increase our equity in earnings of unconsolidated affiliates to reflect an increase from 24.0% to 49.0% in our interest in Dish Mexico’s inception-to-date net income in 2014.</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totaled $2.1 million in income for the three months ended September 30, 2015, an increase of $3.6 million compared to the same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in 2014. The increase was primarily related to a $3.8 million protection gain on an instrument associated with our trading securities.</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w:t>
      </w:r>
      <w:r>
        <w:rPr>
          <w:rFonts w:ascii="Arial" w:cs="Arial" w:eastAsia="Arial" w:hAnsi="Arial"/>
          <w:sz w:val="16"/>
          <w:szCs w:val="16"/>
          <w:color w:val="auto"/>
        </w:rPr>
        <w:t>. EBITDA was $216.6 million for the three months ended September 30, 2015,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$31.4 million, or 12.7%, compared to the same period in 2014. The decrease was primarily due to a decrease in operating income, excluding depreciation and amortization, of $13.1 million for the three months ended September 30, 2015 and a $10.3 million non-recurring adjustment to increase our equity in earnings of unconsolidated affiliates to reflect an increase from 24.0% to 49.0% in our interest in Dish Mexico’s inception-to-date net income in 2014. EBITDA is a non-GAAP financial measure and is described under Explanation of Key Metrics and Other Items below. The following table reconciles EBITDA to Income before income taxes, the most directly comparable GAAP measure in the accompanying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247,988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(31,376)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Interest income and expense, net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(39,418)</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13,110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(132,892)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(142,294)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9,402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6060" w:type="dxa"/>
            <w:vAlign w:val="bottom"/>
          </w:tcPr>
          <w:p>
            <w:pPr>
              <w:ind w:left="200"/>
              <w:spacing w:after="0" w:line="201" w:lineRule="exact"/>
              <w:rPr>
                <w:sz w:val="20"/>
                <w:szCs w:val="20"/>
                <w:color w:val="auto"/>
              </w:rPr>
            </w:pPr>
            <w:r>
              <w:rPr>
                <w:rFonts w:ascii="Arial" w:cs="Arial" w:eastAsia="Arial" w:hAnsi="Arial"/>
                <w:sz w:val="18"/>
                <w:szCs w:val="18"/>
                <w:color w:val="auto"/>
              </w:rPr>
              <w:t>Net loss attributable to noncontrolling interest in HSS Tracking Stock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other noncontrolling interests</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(1,731)</w:t>
            </w:r>
          </w:p>
        </w:tc>
        <w:tc>
          <w:tcPr>
            <w:tcW w:w="20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1,254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540" w:type="dxa"/>
            <w:vAlign w:val="bottom"/>
            <w:tcBorders>
              <w:top w:val="single" w:sz="8" w:color="CCEEFF"/>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Income tax provision, net</w:t>
      </w:r>
      <w:r>
        <w:rPr>
          <w:rFonts w:ascii="Arial" w:cs="Arial" w:eastAsia="Arial" w:hAnsi="Arial"/>
          <w:sz w:val="17"/>
          <w:szCs w:val="17"/>
          <w:color w:val="auto"/>
        </w:rPr>
        <w:t>. Income tax expense was $28.6 million for the three months ended September 30, 2015 compared to $6.1 million for the same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in 2014. Our effective income tax rate was 50.2% for the three months ended September 30, 2015 compared to 9.5% for the same period in 2014. The variation in our current year effective tax rate from the U.S. federal statutory rate for the current period was primarily due to the increase in our valuation allowance associated with certain foreign losses and realized and unrealized losses that are capital in nature for tax purposes, partially offset by research and experimentation tax credits. For the same period in 2014, the variation in our effective tax rate from the U.S. federal statutory rate was primarily due to research and experimentation tax credits and a lower state effective tax rate, partially offset by the increase in our valuation allowance associated with realized and unrealized losses that are capital in nature for tax purposes.</w:t>
      </w:r>
    </w:p>
    <w:p>
      <w:pPr>
        <w:sectPr>
          <w:pgSz w:w="11900" w:h="16838" w:orient="portrait"/>
          <w:cols w:equalWidth="0" w:num="1">
            <w:col w:w="11420"/>
          </w:cols>
          <w:pgMar w:left="240" w:top="125" w:right="239" w:bottom="160" w:gutter="0" w:footer="0" w:header="0"/>
        </w:sectPr>
      </w:pPr>
    </w:p>
    <w:bookmarkStart w:id="37" w:name="page38"/>
    <w:bookmarkEnd w:id="37"/>
    <w:p>
      <w:pPr>
        <w:ind w:right="60"/>
        <w:spacing w:after="0" w:line="255" w:lineRule="auto"/>
        <w:rPr>
          <w:sz w:val="20"/>
          <w:szCs w:val="20"/>
          <w:color w:val="auto"/>
        </w:rPr>
      </w:pPr>
      <w:r>
        <w:rPr>
          <w:rFonts w:ascii="Arial" w:cs="Arial" w:eastAsia="Arial" w:hAnsi="Arial"/>
          <w:sz w:val="18"/>
          <w:szCs w:val="18"/>
          <w:b w:val="1"/>
          <w:bCs w:val="1"/>
          <w:i w:val="1"/>
          <w:iCs w:val="1"/>
          <w:color w:val="auto"/>
        </w:rPr>
        <w:t>Net income attributable to EchoStar</w:t>
      </w:r>
      <w:r>
        <w:rPr>
          <w:rFonts w:ascii="Arial" w:cs="Arial" w:eastAsia="Arial" w:hAnsi="Arial"/>
          <w:sz w:val="18"/>
          <w:szCs w:val="18"/>
          <w:color w:val="auto"/>
        </w:rPr>
        <w:t>. Net income attributable to EchoStar was $28.8 million for the three months ended September 30, 2015,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$31.3 million, or 52.1%, compared to the same period in 2014. The decrease was primarily attributable to an increase of $22.5 million in income tax expense, a $10.3 million non-recurring adjustment to increase our equity in earnings of unconsolidated affiliates to reflect an increase from 24.0% to 49.0% in our interest in Dish Mexico’s inception-to-date net income in 2014, and an other-than-temporary impairment loss of $1.2 million on a strategic equity security in our available-for-sale securities portfolio. These decreases were partially offset by an increase in capitalization of interest expense of $9.8 million associated with the construction of the EchoStar XIX, EchoStar XXI, EchoStar XXIII, and EchoStar 105/SES-11 satellites and payments for satellite services on the EUTELSAT 65 West A satellite.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Compared to the Three Months Ended September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EchoStar</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EchoStar</w:t>
            </w:r>
          </w:p>
        </w:tc>
        <w:tc>
          <w:tcPr>
            <w:tcW w:w="22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Hughes</w:t>
            </w:r>
          </w:p>
        </w:tc>
        <w:tc>
          <w:tcPr>
            <w:tcW w:w="280" w:type="dxa"/>
            <w:vAlign w:val="bottom"/>
          </w:tcPr>
          <w:p>
            <w:pPr>
              <w:spacing w:after="0"/>
              <w:rPr>
                <w:sz w:val="12"/>
                <w:szCs w:val="12"/>
                <w:color w:val="auto"/>
              </w:rPr>
            </w:pPr>
          </w:p>
        </w:tc>
        <w:tc>
          <w:tcPr>
            <w:tcW w:w="104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Satellite</w:t>
            </w: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Other and</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74"/>
              <w:spacing w:after="0"/>
              <w:rPr>
                <w:sz w:val="20"/>
                <w:szCs w:val="20"/>
                <w:color w:val="auto"/>
              </w:rPr>
            </w:pPr>
            <w:r>
              <w:rPr>
                <w:rFonts w:ascii="Arial" w:cs="Arial" w:eastAsia="Arial" w:hAnsi="Arial"/>
                <w:sz w:val="14"/>
                <w:szCs w:val="14"/>
                <w:b w:val="1"/>
                <w:bCs w:val="1"/>
                <w:color w:val="auto"/>
                <w:w w:val="88"/>
              </w:rPr>
              <w:t>Technologies</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336"/>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2015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294,925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339,729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124,300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1,925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760,879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8,528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72,626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32,416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9,672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25,946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101,582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104,200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2014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427,218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339,068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127,604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10,485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56,724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11,772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85,730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38,193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94,955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111,563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20"/>
        <w:spacing w:after="0" w:line="49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 EchoStar Technologies Segment</w:t>
      </w:r>
    </w:p>
    <w:tbl>
      <w:tblPr>
        <w:tblLayout w:type="fixed"/>
        <w:tblInd w:w="66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gridSpan w:val="5"/>
          </w:tcPr>
          <w:p>
            <w:pPr>
              <w:jc w:val="right"/>
              <w:ind w:right="10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294,925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427,218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(132,293)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8,528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97"/>
              <w:spacing w:after="0"/>
              <w:rPr>
                <w:sz w:val="20"/>
                <w:szCs w:val="20"/>
                <w:color w:val="auto"/>
              </w:rPr>
            </w:pPr>
            <w:r>
              <w:rPr>
                <w:rFonts w:ascii="Arial" w:cs="Arial" w:eastAsia="Arial" w:hAnsi="Arial"/>
                <w:sz w:val="18"/>
                <w:szCs w:val="18"/>
                <w:color w:val="auto"/>
              </w:rPr>
              <w:t>(1,957)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25,946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(12,247)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EchoStar Technologies segment total revenue for the three months ended September 30, 2015 decreased by $132.3 million, or 31.0%, compared to the same period in 2014, primarily resulting from a decrease of $138.6 million in equipment revenue from DISH Network, a decrease of $8.4 million in equipment revenue - other and a decrease of $4.1 million in service revenue - other, partially offset by an increase of $18.8 million in service revenue from DISH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EchoStar Technologies segment capital expenditures for the three months ended September 30, 2015 decreased by $2.0 million, or 18.7%, compared to the same period in 2014, primarily due to decreased expenditures related to our digital broadcast centers of $2.2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EchoStar Technologies segment EBITDA for the three months ended September 30, 2015 was $25.9 million, a decrease of $12.2 million, or 32.1%, compared to the same period in 2014. The decrease in EBITDA for our EchoStar Technologies segment was primarily driven by a decrease of $17.1 million in gross margin which we define as total revenue less total cost of sales, primarily related to a decrease in sales of set-top boxes and related accessories to DISH Network. The decrease was partially offset by a decrease of $6.1 million in selling, general and administrative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gridSpan w:val="5"/>
          </w:tcPr>
          <w:p>
            <w:pPr>
              <w:jc w:val="right"/>
              <w:ind w:right="10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339,729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661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72,626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7"/>
              <w:spacing w:after="0"/>
              <w:rPr>
                <w:sz w:val="20"/>
                <w:szCs w:val="20"/>
                <w:color w:val="auto"/>
              </w:rPr>
            </w:pPr>
            <w:r>
              <w:rPr>
                <w:rFonts w:ascii="Arial" w:cs="Arial" w:eastAsia="Arial" w:hAnsi="Arial"/>
                <w:sz w:val="18"/>
                <w:szCs w:val="18"/>
                <w:color w:val="auto"/>
              </w:rPr>
              <w:t>15,902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101,582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6,627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Hughes segment total revenue for the three months ended September 30, 2015 increased by $0.7 million, or 0.2%, compared to the same period in 2014. The increase was primarily due to increases in sales of broadband services to our domestic consumer markets of $16.3 million, partially offset by a decrease in sales of broadband equipment and services to our international customers of $11.3 million and a decrease in sales of mobile satellite systems equipment and services of $4.1 million.</w:t>
      </w:r>
    </w:p>
    <w:p>
      <w:pPr>
        <w:sectPr>
          <w:pgSz w:w="11900" w:h="16838" w:orient="portrait"/>
          <w:cols w:equalWidth="0" w:num="1">
            <w:col w:w="11460"/>
          </w:cols>
          <w:pgMar w:left="240" w:top="125" w:right="199" w:bottom="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Hughes segment capital expenditures for the three months ended September 30, 2015 increased by $15.9 million, or 28.0%, compared to the same period in 2014, primarily as a result of an increase in expenditures on the EUTELSAT 65 West A, EchoStar XIX and EchoStar XXI satellite ground infrastructures.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Hughes segment EBITDA for the three months ended September 30, 2015 was $101.6 million, an increase of $6.6 million, or 7.0%, compared to the same period in 2014. The increase was primarily as a result of an increase in service revenue of $8.0 million and a decrease in cost of sales — services of $7.8 million. The increase was partially offset by a $3.0 million litigation related expense, a $1.8 million increase in foreign exchange losses and a $1.6 million increase in research and development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For the Three Months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gridSpan w:val="5"/>
          </w:tcPr>
          <w:p>
            <w:pPr>
              <w:jc w:val="right"/>
              <w:ind w:right="10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124,300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(3,304)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32,416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7"/>
              <w:spacing w:after="0"/>
              <w:rPr>
                <w:sz w:val="20"/>
                <w:szCs w:val="20"/>
                <w:color w:val="auto"/>
              </w:rPr>
            </w:pPr>
            <w:r>
              <w:rPr>
                <w:rFonts w:ascii="Arial" w:cs="Arial" w:eastAsia="Arial" w:hAnsi="Arial"/>
                <w:sz w:val="18"/>
                <w:szCs w:val="18"/>
                <w:color w:val="auto"/>
              </w:rPr>
              <w:t>20,644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104,200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(7,363)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EchoStar Satellite Services segment total revenue for the three months ended September 30, 2015 decreased by $3.3 million, or 2.6%, compared to the same period in 2014, primarily due to a decrease of $2.8 million in transponder services and other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EchoStar Satellite Services segment capital expenditures for the three months ended September 30, 2015 increased by $20.6 million, compared to the same period in 2014, primarily related to the increase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EchoStar Satellite Services segment EBITDA for the three months ended September 30, 2015 was $104.2 million, a decrease of $7.4 million, or 6.6%, compared to the same period in 2014. The decrease in EBITDA for our EchoStar Satellite Services segment was primarily due to a decrease in revenue of $3.3 million and a $4.0 million increase in cost of services primarily related to the commencement of the AMC-15 and AMC-16 satellite operating leases in the fourth quarter of 2014 and first quarter of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and Eliminations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All Other and Eliminations accounts for certain items and activities in our condensed consolidated financial statements that have not been assigned to our operating segments. These include without limitation real estate and other activities, costs incurred in satellite development programs and other business development activities, expenses of various corporate departments, and our centralized treasury activities, including without limitation income from our investment portfolio and interest expense on our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September 30, 2015, All Other and Eliminations capital expenditures decreased by $76.1 million, or 88.7%, compared to the same period in 2014, primarily related to a $105.8 million refund relating to the cancellation of an existing launch services agreement and a decrease in satellite expenditures on the EchoStar XXIII satellite of $1.7 million, partially offset by an increase in capital expenditures related to the EchoStar XIX satellite of $22.3 million and the EchoStar XXI satellite of $4.6 million. The EchoStar XIX satellite is expected to be used in the operations of our Hughes segment in providing satellite broadband services, the EchoStar XXI satellite is intended to be used by EchoStar Mobile in providing mobile satellite services in the European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Union, and the EchoStar XXIII satellite will be initially deployed at the 45 degree west longitude orbital location providing services in 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three months ended September 30, 2015, All Other and Eliminations EBITDA was a loss of $15.1 million, compared to a gain of $3.3 million for the same period in 2014. The $18.4 million decrease in EBITDA was primarily related to a $10.3 million non-recurring adjustment to increase our equity in earnings of unconsolidated affiliates to reflect an increase from 24.0% to 49.0% in our interest in Dish Mexico’s inception-to-date net income in 2014, a</w:t>
      </w:r>
    </w:p>
    <w:p>
      <w:pPr>
        <w:sectPr>
          <w:pgSz w:w="11900" w:h="16838" w:orient="portrait"/>
          <w:cols w:equalWidth="0" w:num="1">
            <w:col w:w="11420"/>
          </w:cols>
          <w:pgMar w:left="240" w:top="125" w:right="239" w:bottom="0" w:gutter="0" w:footer="0" w:header="0"/>
        </w:sectPr>
      </w:pPr>
    </w:p>
    <w:bookmarkStart w:id="39" w:name="page40"/>
    <w:bookmarkEnd w:id="39"/>
    <w:p>
      <w:pPr>
        <w:spacing w:after="0" w:line="1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decrease of $1.4 million in the net loss attributable to noncontrolling interest in HSS Tracking Stock and an other-than-temporary impairment loss of $1.2 million on a strategic equity security in our available-for-sale securities portfolio.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2015 Compared to the Nine Months Ended September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For the Nine Months</w:t>
            </w:r>
          </w:p>
        </w:tc>
        <w:tc>
          <w:tcPr>
            <w:tcW w:w="20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Operations Data (1)</w:t>
            </w:r>
          </w:p>
        </w:tc>
        <w:tc>
          <w:tcPr>
            <w:tcW w:w="26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3"/>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577,277</w:t>
            </w:r>
          </w:p>
        </w:tc>
        <w:tc>
          <w:tcPr>
            <w:tcW w:w="20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907,466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(330,189)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265,890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(9,528)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695,358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609,552</w:t>
            </w: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85,806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818,783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2,353,127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2,601,691</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(248,564)</w:t>
            </w:r>
          </w:p>
        </w:tc>
        <w:tc>
          <w:tcPr>
            <w:tcW w:w="5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706,835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998,205</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(291,370)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 of Total equipment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645,691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626,660</w:t>
            </w: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19,031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 of Total services and other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280,462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271,251</w:t>
            </w: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9,211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 of Total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44,841</w:t>
            </w: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12,591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 of Total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416,167</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(17,620)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2,357,124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(268,157)</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5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(96,136)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(132,419)</w:t>
            </w: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36,283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Gains (losses) and impairment on marketable investment securities, net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(11,415)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(4,078)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(3,028)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24,553</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(13,112)</w:t>
            </w: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 in HSS Tracking Stock</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Less: Net income attributable to other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EchoStar</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642,611</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672,774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(30,163)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Subscribers, end of period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An explanation of our key metrics is included on pages 64 and 65 under the heading “Explanation of Key Metrics and Other Items.”</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$577.3 million for the nine months ended September 30, 2015,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$330.2 million, or 36.4%,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Equipment revenue — DISH Network from our EchoStar Technologies segment for the nine months ended September 30, 2015 decreased by</w:t>
      </w:r>
    </w:p>
    <w:p>
      <w:pPr>
        <w:spacing w:after="0" w:line="3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$312.9 million, or 35.4%, to $570.3 million compared to the same period in 2014. Our EchoStar Technologies segment offers multiple set-top boxes with different price points depending on their capabilities and functionalities. The revenue and associated margins we earn on sales are determined largely through our 2012 Receiver Agreement with DISH Network which could result in prices reflecting, among other things, the set-top boxes and other equipment that meet DISH Network’s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current sales and marketing priorities, the product and service alternatives available from other equipment suppliers, our ability to respond to DISH Network’s requirements, and our ability to differentiate ourselves from other equipment suppliers on bases other than pricing. In addition, products</w:t>
      </w:r>
    </w:p>
    <w:p>
      <w:pPr>
        <w:sectPr>
          <w:pgSz w:w="11900" w:h="16975" w:orient="portrait"/>
          <w:cols w:equalWidth="0" w:num="1">
            <w:col w:w="11420"/>
          </w:cols>
          <w:pgMar w:left="240" w:top="125" w:right="239" w:bottom="0" w:gutter="0" w:footer="0" w:header="0"/>
        </w:sectPr>
      </w:pPr>
    </w:p>
    <w:bookmarkStart w:id="40" w:name="page41"/>
    <w:bookmarkEnd w:id="40"/>
    <w:p>
      <w:pPr>
        <w:ind w:left="660" w:right="60"/>
        <w:spacing w:after="0" w:line="293" w:lineRule="auto"/>
        <w:rPr>
          <w:sz w:val="20"/>
          <w:szCs w:val="20"/>
          <w:color w:val="auto"/>
        </w:rPr>
      </w:pPr>
      <w:r>
        <w:rPr>
          <w:rFonts w:ascii="Arial" w:cs="Arial" w:eastAsia="Arial" w:hAnsi="Arial"/>
          <w:sz w:val="16"/>
          <w:szCs w:val="16"/>
          <w:color w:val="auto"/>
        </w:rPr>
        <w:t>containing new technologies and features typically have higher initial prices, which reduce over time as a result of manufacturing efficiencies. Volume of unit sales could reduce over time as a result of demand decreases or as DISH Network increases the deployment of refurbished units as opposed to new units purchased from us. The decrease in revenue for the nine months ended September 30, 2015 was primarily due to a decrease in the sales of set-top boxes and related accessories. The decrease in revenue of set-top boxes was due to a 37.9% decrease in the volume of unit sales and a 8.5% decrease in the weighted average price of the set-top boxes sold. The decrease in revenue of related accessories was due to an 14.8% decrease in the volume of unit sales and a 10.9% decrease in the weighted average price of related accessories sold.</w:t>
      </w:r>
    </w:p>
    <w:p>
      <w:pPr>
        <w:spacing w:after="0" w:line="165" w:lineRule="exact"/>
        <w:rPr>
          <w:sz w:val="20"/>
          <w:szCs w:val="20"/>
          <w:color w:val="auto"/>
        </w:rPr>
      </w:pPr>
    </w:p>
    <w:p>
      <w:pPr>
        <w:ind w:left="660" w:right="420"/>
        <w:spacing w:after="0" w:line="302" w:lineRule="auto"/>
        <w:rPr>
          <w:sz w:val="20"/>
          <w:szCs w:val="20"/>
          <w:color w:val="auto"/>
        </w:rPr>
      </w:pPr>
      <w:r>
        <w:rPr>
          <w:rFonts w:ascii="Arial" w:cs="Arial" w:eastAsia="Arial" w:hAnsi="Arial"/>
          <w:sz w:val="16"/>
          <w:szCs w:val="16"/>
          <w:color w:val="auto"/>
        </w:rPr>
        <w:t>Equipment revenue — DISH Network from our Hughes segment for the nine months ended September 30, 2015 decreased by $17.3 million, or 71.2%, to $7.0 million compared to the same period in 2014. The decrease was primarily due to the decrease in the volume of unit sales of broadband equipment to dishNET. Sales of broadband equipment to dishNET have been decreasing as a result of lower new gross subscriber activations and as dishNET increases the deployment of refurbished units as opposed to new units purchased from us.</w:t>
      </w:r>
    </w:p>
    <w:p>
      <w:pPr>
        <w:spacing w:after="0" w:line="1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$256.4 million for the nine months ended September 30, 2015, a decrease of $9.5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3.6%, compared to the same period in 2014.</w:t>
      </w:r>
    </w:p>
    <w:p>
      <w:pPr>
        <w:spacing w:after="0" w:line="170"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Equipment revenue — other from our EchoStar Technologies segment for the nine months ended September 30, 2015 decreased by $11.5 million, or 10.1%, to $102.3 million compared to the same period in 2014. The decrease was attributable to a 20.3% decrease in the volume of unit sales of related accessories and a 3.0% decrease in the weighted average price of set-top boxes sold primarily to our international customers.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Equipment revenue — other from our Hughes segment for the nine months ended September 30, 2015 increased by $2.1 million, or 1.4%, to</w:t>
      </w:r>
    </w:p>
    <w:p>
      <w:pPr>
        <w:spacing w:after="0" w:line="3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$154.1 million compared to the same period in 2014. The increase was mainly due to an increase of $4.8 million in sales of broadband equipment to our international customers and domestic sales of mobile satellite systems equipment, partially offset by a decrease of $1.5 million in sales of broadband equipment to our domestic consumer market.</w:t>
      </w:r>
    </w:p>
    <w:p>
      <w:pPr>
        <w:spacing w:after="0" w:line="19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$695.4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2015, an increase of $85.8 million or 14.1%, compared to the same period in 2014.</w:t>
      </w:r>
    </w:p>
    <w:p>
      <w:pPr>
        <w:spacing w:after="0" w:line="170"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Services and other revenue — DISH Network from our EchoStar Technologies segment for the nine months ended September 30, 2015 increased by $49.3 million, or 20.3%, to $292.6 million compared to the same period in 2014. The increase was primarily due to an increase of $18.5 million in support services sold to Sling TV Holding as a result of the amended commercial agreement with DISH Network and Sling TV Holding, effective August 1, 2014. The increase was also due to an increase of $28.3 million in revenue earned for engineering services, non-recurring engineering projects and satellite uplink/downlink services.</w:t>
      </w:r>
    </w:p>
    <w:p>
      <w:pPr>
        <w:spacing w:after="0" w:line="188"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nine months ended September 30, 2015 increased by $10.9 million, or 18.5%, to $69.8 million compared to the same period in 2014. The increase was primarily attributable to an increase in wholesale subscribers receiving services pursuant to our Distribution Agreement with dishNET.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DISH Network from our EchoStar Satellite Services segment for the nine months ended September 30, 2015</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increased by $26.0 million, or 8.7%, to $324.6 million compared to the same period in 2014. The increase was mainly due to an increase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$29.6 million in revenue recognized from certain satellite services provided to DISH Network for the five satellites transferred to us from DISH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Network as part of the Satellite and Tracking Stock Transaction, partially offset by a decrease of $2.4 million in services provided to DISH Network on an additional satellite.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$824.1 million for the nine months ended September 30, 2015,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$5.3 million, or 0.7%,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EchoStar Technologies segment for the nine months ended September 30, 2015 decreased by</w:t>
      </w:r>
    </w:p>
    <w:p>
      <w:pPr>
        <w:spacing w:after="0" w:line="35"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$7.7 million, or 49.3%, to $7.9 million compared to the same period in 2014. The decrease was primarily attributable to a decrease of $7.3 million in revenue from certain non-recurring engineering projects and services.</w:t>
      </w:r>
    </w:p>
    <w:p>
      <w:pPr>
        <w:spacing w:after="0" w:line="184"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Services and other revenue — other from our Hughes segment for the nine months ended September 30, 2015 increased by $20.4 million, or 2.7%, to $769.3 million compared to the same period in 2014. The increase was primarily attributable to an increase of $41.1 million in sales of broadband services to our domestic consumer markets, partially offset by a decrease of $20.1 million in sales of broadband services to our international customers, primarily due to fluctuating foreign exchange rates in certain markets.</w:t>
      </w:r>
    </w:p>
    <w:p>
      <w:pPr>
        <w:spacing w:after="0" w:line="187" w:lineRule="exact"/>
        <w:rPr>
          <w:sz w:val="20"/>
          <w:szCs w:val="20"/>
          <w:color w:val="auto"/>
        </w:rPr>
      </w:pPr>
    </w:p>
    <w:p>
      <w:pPr>
        <w:jc w:val="both"/>
        <w:ind w:left="660" w:right="440"/>
        <w:spacing w:after="0" w:line="264" w:lineRule="auto"/>
        <w:rPr>
          <w:sz w:val="20"/>
          <w:szCs w:val="20"/>
          <w:color w:val="auto"/>
        </w:rPr>
      </w:pPr>
      <w:r>
        <w:rPr>
          <w:rFonts w:ascii="Arial" w:cs="Arial" w:eastAsia="Arial" w:hAnsi="Arial"/>
          <w:sz w:val="18"/>
          <w:szCs w:val="18"/>
          <w:color w:val="auto"/>
        </w:rPr>
        <w:t>Services and other revenue — other from our EchoStar Satellite Services segment for the nine months ended September 30, 2015 decreased by $8.5 million, or 14.7%, to $49.7 million compared to the same period in 2014. The decrease was primarily attributable to a decrease in sales of transponder services in 2015 compared to the same period in 2014.</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$706.8 million for the nine months ended September 30, 2015, a decrease of $291.4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29.2%, compared to the same period in 2014.</w:t>
      </w:r>
    </w:p>
    <w:p>
      <w:pPr>
        <w:spacing w:after="0" w:line="1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Cost of sales — equipment from our EchoStar Technologies segment for the nine months ended September 30, 2015 decreased by $278.7 million, or 33.0%, to $564.6 million compared to the same period in 2014. The decrease was primarily attributable to a decrease in equipment costs related to the decrease in the volume of sales of set-top boxes and related accessories sold to DISH Network and a decrease in the volume of sales of set-top boxes and related accessories to our other international customers.</w:t>
      </w:r>
    </w:p>
    <w:p>
      <w:pPr>
        <w:sectPr>
          <w:pgSz w:w="11900" w:h="16838" w:orient="portrait"/>
          <w:cols w:equalWidth="0" w:num="1">
            <w:col w:w="11420"/>
          </w:cols>
          <w:pgMar w:left="240" w:top="125" w:right="239" w:bottom="61" w:gutter="0" w:footer="0" w:header="0"/>
        </w:sectPr>
      </w:pPr>
    </w:p>
    <w:bookmarkStart w:id="41" w:name="page42"/>
    <w:bookmarkEnd w:id="41"/>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equipment from our Hughes segment for the nine months ended September 30, 2015 decreased by $12.7 million, or 8.2%, to</w:t>
      </w:r>
    </w:p>
    <w:p>
      <w:pPr>
        <w:spacing w:after="0" w:line="35" w:lineRule="exact"/>
        <w:rPr>
          <w:sz w:val="20"/>
          <w:szCs w:val="20"/>
          <w:color w:val="auto"/>
        </w:rPr>
      </w:pPr>
    </w:p>
    <w:p>
      <w:pPr>
        <w:ind w:left="660" w:right="60"/>
        <w:spacing w:after="0" w:line="277" w:lineRule="auto"/>
        <w:rPr>
          <w:sz w:val="20"/>
          <w:szCs w:val="20"/>
          <w:color w:val="auto"/>
        </w:rPr>
      </w:pPr>
      <w:r>
        <w:rPr>
          <w:rFonts w:ascii="Arial" w:cs="Arial" w:eastAsia="Arial" w:hAnsi="Arial"/>
          <w:sz w:val="17"/>
          <w:szCs w:val="17"/>
          <w:color w:val="auto"/>
        </w:rPr>
        <w:t>$142.2 million compared to the same period in 2014. The decrease was primarily attributable to a decrease in sales volume of broadband equipment to DISH Network related to our Distribution Agreement with dishNET and a decrease in the cost of sales of mobile satellite systems equipment, partially offset by an increase in the cost of sales of broadband equipment to our domestic consumer and enterprise markets.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$645.7 million for the nine months ended September 30, 2015,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$19.0 million, or 3.0%, compared to the same period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EchoStar Technologies segment for the nine months ended September 30, 2015 increased by</w:t>
      </w:r>
    </w:p>
    <w:p>
      <w:pPr>
        <w:spacing w:after="0" w:line="35" w:lineRule="exact"/>
        <w:rPr>
          <w:sz w:val="20"/>
          <w:szCs w:val="20"/>
          <w:color w:val="auto"/>
        </w:rPr>
      </w:pPr>
    </w:p>
    <w:p>
      <w:pPr>
        <w:ind w:left="660" w:right="400"/>
        <w:spacing w:after="0" w:line="323" w:lineRule="auto"/>
        <w:rPr>
          <w:sz w:val="20"/>
          <w:szCs w:val="20"/>
          <w:color w:val="auto"/>
        </w:rPr>
      </w:pPr>
      <w:r>
        <w:rPr>
          <w:rFonts w:ascii="Arial" w:cs="Arial" w:eastAsia="Arial" w:hAnsi="Arial"/>
          <w:sz w:val="16"/>
          <w:szCs w:val="16"/>
          <w:color w:val="auto"/>
        </w:rPr>
        <w:t>$26.6 million, or 14.5%, to $210.1 million compared to the same period in 2014. The increase was primarily due to an increase in support costs related to engineering and uplink services to DISH Network and Sling TV Holding provided in 2015 compared to the same period in 2014.</w:t>
      </w:r>
    </w:p>
    <w:p>
      <w:pPr>
        <w:spacing w:after="0" w:line="139"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Cost of sales — services and other from our Hughes segment for the nine months ended September 30, 2015 decreased by $20.0 million, or 5.5%, to $341.3 million compared to the same period in 2014. The decrease was primarily attributable to a decrease in service costs of our broadband services provided to our international customers primarily due to lower in country costs denominated in local currency, a decrease in the cost of sales related to our domestic broadband services due to the decrease of Ku-band space segment costs as customers either terminated services or migrated to the Ka-band platform, and a decrease in the cost of sales related to our mobile satellite systems services.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EchoStar Satellite Services segment for the nine months ended September 30, 2015 increased by</w:t>
      </w:r>
    </w:p>
    <w:p>
      <w:pPr>
        <w:spacing w:after="0" w:line="35"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$12.0 million, or 28.3%, to $54.2 million compared to the same period in 2014. The increase was primarily due to an increase in cost of sales related to the commencement of the AMC-15 and AMC-16 satellite operating leases in the fourth quarter of 2014 and the first quarter of 2015, respectively.</w:t>
      </w:r>
    </w:p>
    <w:p>
      <w:pPr>
        <w:spacing w:after="0" w:line="13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Selling, general and administrative expenses</w:t>
      </w:r>
      <w:r>
        <w:rPr>
          <w:rFonts w:ascii="Arial" w:cs="Arial" w:eastAsia="Arial" w:hAnsi="Arial"/>
          <w:sz w:val="17"/>
          <w:szCs w:val="17"/>
          <w:color w:val="auto"/>
        </w:rPr>
        <w:t>. “Selling, general and administrative expenses” totaled $280.5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2015, an increase of $9.2 million or 3.4%, compared to the same period in 2014. The increase was mainly due to a $6.7 million increase in marketing and promotional expenses primarily in our Hughes segment and a $3.6 million increase in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totaled $57.4 million for the nine months ended September 30, 2015,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$12.6 million or 28.1%, compared to the same period in 2014. The increase was primarily related to an increase in research and development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million and $4.6 million in our EchoStar Technologies segment and Hughes segment, respectively. The Company’s research and development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vary based on the activity level and scope of other engineering and customer related development contracts.</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totaled $398.5 million for the nine months ended September 30, 2015, a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$17.6 million or 4.2%, compared to the same period in 2014. The decrease was primarily attributable to a decrease of $12.7 million in amortization expense from certain of our fully amortized other intangible assets, a decrease in depreciation expense of $11.0 million relating to the fully depreciated EchoStar VIII satellite as of September 2014, and a decrease in depreciation expense of $5.6 million relating to the fully depreciated EchoStar XII satellite as of December 2014. The decreases were partially offset by increases in depreciation of $7.9 million from our EchoStar Satellite Services segment, primarily due to the depreciation of the five satellites we received from DISH Network as part of the Satellite and Tracking Stock Transaction and an increase in depreciation expense of $4.8 million on customer rental equipment in our Hughes segment.</w:t>
      </w:r>
    </w:p>
    <w:p>
      <w:pPr>
        <w:spacing w:after="0" w:line="17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$96.1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a decrease of $36.3 million or 27.4%, compared to the same period in 2014. The decrease was primarily due to higher capitalized interest of</w:t>
      </w:r>
    </w:p>
    <w:p>
      <w:pPr>
        <w:ind w:right="340"/>
        <w:spacing w:after="0" w:line="254" w:lineRule="auto"/>
        <w:rPr>
          <w:sz w:val="20"/>
          <w:szCs w:val="20"/>
          <w:color w:val="auto"/>
        </w:rPr>
      </w:pPr>
      <w:r>
        <w:rPr>
          <w:rFonts w:ascii="Arial" w:cs="Arial" w:eastAsia="Arial" w:hAnsi="Arial"/>
          <w:sz w:val="18"/>
          <w:szCs w:val="18"/>
          <w:color w:val="auto"/>
        </w:rPr>
        <w:t>$29.7 million related to the construction of the EchoStar XIX, EchoStar XXI, EchoStar XXIII, and EchoStar 105/SES-11 satellites, payments for satellite services on the EUTELSAT 65 West A satellite, and a decrease in interest expense of $5.8 million relating to the partial redemption of the Senior Secured Notes in the second quarter of 2015, the expiration of capital leases for the AMC-15 and AMC-16 satellites, and interest expense relating to two of our satellites that are accounted for as capital leases.</w:t>
      </w:r>
    </w:p>
    <w:p>
      <w:pPr>
        <w:spacing w:after="0" w:line="1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Loss from partial redemption of debt. </w:t>
      </w:r>
      <w:r>
        <w:rPr>
          <w:rFonts w:ascii="Arial" w:cs="Arial" w:eastAsia="Arial" w:hAnsi="Arial"/>
          <w:sz w:val="16"/>
          <w:szCs w:val="16"/>
          <w:color w:val="auto"/>
        </w:rPr>
        <w:t>“Loss from partial redemption of debt” totaled $5.0 million for the nine months ended September 30, 2015, which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the loss recorded on the partial redemption of the Senior Secured Notes in the second quarter of 2015. The $5.0 million loss from the partial redemption of the Senior Secured Notes included a $3.3 million redemption premium and a $1.7 million write off of related unamortized financing costs.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Gains (losses) and impairment on marketable investment securities, net. </w:t>
      </w:r>
      <w:r>
        <w:rPr>
          <w:rFonts w:ascii="Arial" w:cs="Arial" w:eastAsia="Arial" w:hAnsi="Arial"/>
          <w:sz w:val="18"/>
          <w:szCs w:val="18"/>
          <w:color w:val="auto"/>
        </w:rPr>
        <w:t>“Gains (losses) and impairment on marketable investment securities,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$11.4 million in losses for the nine months ended September 30, 2015, an increase in loss of $11.4 million compared to the same period in 2014. The increase in loss was primarily due to an other-than-temporary impairment loss of $5.9 million on a strategic equity security in our available-for-sale securities portfolio and an increase of $5.5 million in unrealized holding losses on our trading securities.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$2.6 million in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2015 compared to $10.1 million in earnings for the same period in 2014. The $12.7 million decrease in earnings is primarily due to a $10.3 million non-recurring adjustment to increase our equity in earnings of unconsolidated affiliates to reflect an increase from 24.0% to 49.0% in our interest in Dish Mexico’s inception-to-date net income in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$4.1 million in expenses for the nine months ended September 30, 2015, a decrease of $3.0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The decrease was primarily related to a loss of $6.8 million attributable to Federal Communications Commission (“FCC”) regulatory fees, an increase</w:t>
      </w:r>
    </w:p>
    <w:p>
      <w:pPr>
        <w:sectPr>
          <w:pgSz w:w="11900" w:h="16975" w:orient="portrait"/>
          <w:cols w:equalWidth="0" w:num="1">
            <w:col w:w="11420"/>
          </w:cols>
          <w:pgMar w:left="240" w:top="125" w:right="239" w:bottom="0" w:gutter="0" w:footer="0" w:header="0"/>
        </w:sectPr>
      </w:pPr>
    </w:p>
    <w:bookmarkStart w:id="42" w:name="page43"/>
    <w:bookmarkEnd w:id="42"/>
    <w:p>
      <w:pPr>
        <w:ind w:right="120"/>
        <w:spacing w:after="0" w:line="259" w:lineRule="auto"/>
        <w:rPr>
          <w:sz w:val="20"/>
          <w:szCs w:val="20"/>
          <w:color w:val="auto"/>
        </w:rPr>
      </w:pPr>
      <w:r>
        <w:rPr>
          <w:rFonts w:ascii="Arial" w:cs="Arial" w:eastAsia="Arial" w:hAnsi="Arial"/>
          <w:sz w:val="18"/>
          <w:szCs w:val="18"/>
          <w:color w:val="auto"/>
        </w:rPr>
        <w:t>of $5.3 million in foreign exchange losses and a loss of $2.6 million related to the deconsolidation of certain of our European subsidiaries in connection with our investment in SmarDTV. The decrease was partially offset by a $4.5 million reduction of the capital lease obligation for the AMC-15 and AMC-16 satellites in the first quarter of 2015, a $3.8 million protection gain on an instrument related to our trading securities and a gain of $1.7 million on the exchange of accounts receivable for certain trading securities in the second quarter of 2015.</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$2.6 million in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2015 compared to a $10.1 million in earnings for the same period in 2014. The $12.7 million decrease in earnings is primarily due to a $10.3 million non-recurring adjustment to increase our equity in earnings of unconsolidated affiliates to reflect an increase from 24.0% to 49.0% in our interest in Dish Mexico’s inception-to-date net income in 2014.</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w:t>
      </w:r>
      <w:r>
        <w:rPr>
          <w:rFonts w:ascii="Arial" w:cs="Arial" w:eastAsia="Arial" w:hAnsi="Arial"/>
          <w:sz w:val="16"/>
          <w:szCs w:val="16"/>
          <w:color w:val="auto"/>
        </w:rPr>
        <w:t>. EBITDA was $642.6 million for the nine months ended September 30, 2015,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$30.2 million, or 4.5%, compared to the same period in 2014. The decrease was primarily due to a $10.3 million non-recurring adjustment to increase our equity in earnings of unconsolidated affiliates to reflect an increase from 24.0% to 49.0% in our interest in Dish Mexico’s inception-to-date net income in 2014, a loss of $6.8 million attributable to FCC regulatory fees, an other-than-temporary impairment loss of $5.9 million on a strategic equity security in our available-for-sale securities portfolio, an increase of $5.3 million in foreign exchange losses, and a loss of $5.0 million from the partial redemption of the Senior Secured Notes. These decreases were partially offset by a $4.5 million reduction of the capital lease obligation for the AMC-15 and AMC-16 satellites in the first quarter of 2015. EBITDA is a non-GAAP financial measure and is described under Explanation of Key Metrics and Other Items below. The following table reconciles EBITDA to Income before income taxes, the most directly comparable GAAP measure in the accompanying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w w:val="83"/>
              </w:rPr>
              <w:t>2014</w:t>
            </w:r>
          </w:p>
        </w:tc>
        <w:tc>
          <w:tcPr>
            <w:tcW w:w="28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right"/>
              <w:ind w:right="980"/>
              <w:spacing w:after="0" w:line="142"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00" w:type="dxa"/>
            <w:vAlign w:val="bottom"/>
            <w:gridSpan w:val="6"/>
          </w:tcPr>
          <w:p>
            <w:pPr>
              <w:jc w:val="right"/>
              <w:ind w:right="1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642,611</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672,774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(30,163)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(88,240)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(125,404)</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37,164</w:t>
            </w: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(398,547)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(416,167)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17,620</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 in HSS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Tracking Stock and other noncontrolling interests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w:t>
            </w:r>
          </w:p>
        </w:tc>
        <w:tc>
          <w:tcPr>
            <w:tcW w:w="2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76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128,257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24,553</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*Percentage is not meaningful.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Income tax provision, net</w:t>
      </w:r>
      <w:r>
        <w:rPr>
          <w:rFonts w:ascii="Arial" w:cs="Arial" w:eastAsia="Arial" w:hAnsi="Arial"/>
          <w:sz w:val="18"/>
          <w:szCs w:val="18"/>
          <w:color w:val="auto"/>
        </w:rPr>
        <w:t>. Income tax expense was $65.8 million for the nine months ended September 30, 2015, compared to $28.2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2014. Our effective income tax rate was 43.1% for the nine months ended September 30, 2015 compared to 22.0% for the same period in 2014. The variation in our current year effective tax rate from the U.S. federal statutory rate was primarily due to the increase in our valuation allowance associated with certain foreign losses and realized and unrealized losses that are capital in nature for tax purposes, partially offset by research and experimentation tax credits. For the same period in 2014, the variation in our effective tax rate from the U.S. federal statutory rate was primarily due to research and experimentation tax credits and a lower state effective tax rate, partially offset by the increase in our valuation allowance associated with realized and unrealized losses that are capital in nature for tax purposes.</w:t>
      </w:r>
    </w:p>
    <w:p>
      <w:pPr>
        <w:spacing w:after="0" w:line="1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$90.0 million for the nine months ended September 30, 2015, a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$13.0 million, or 12.7%, compared to the same period in 2014. The decrease was primarily due to an increase of $37.7 million in income tax expense, a $10.3 million non-recurring adjustment to increase our equity in earnings of unconsolidated affiliates to reflect an increase from 24.0% to 49.0% in our interest in Dish Mexico’s inception-to-date net income in 2014, a loss of $6.8 million attributable to FCC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regulatory fees, an other-than-temporary impairment loss of $5.9 million on a strategic equity security in our available-for-sale securities portfolio, and a loss of $5.0 million from the partial redemption of the Senior Secured Notes. The decreases were partially offset by an increase in capitalization of interest expense of $29.7 million associated with the construction of the EchoStar XIX, EchoStar XXI, EchoStar XXIII, and EchoStar 105/SES-11 satellites and payments for satellite services on the EUTELSAT 65 West A satellite, an increase in operating income, including depreciation and amortization, of $19.6 million, and a decrease in interest expense of $5.8 million relating to the partial redemption of the Senior Secured Notes, the expiration of capital leases for the AMC-15 and AMC-16 satellites, and interest expense relating to two of our satellites that are accounted for as capital leases.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2015 Compared to the Nine Months Ended September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EchoStar</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EchoStar</w:t>
            </w:r>
          </w:p>
        </w:tc>
        <w:tc>
          <w:tcPr>
            <w:tcW w:w="24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Hughes</w:t>
            </w:r>
          </w:p>
        </w:tc>
        <w:tc>
          <w:tcPr>
            <w:tcW w:w="300" w:type="dxa"/>
            <w:vAlign w:val="bottom"/>
          </w:tcPr>
          <w:p>
            <w:pPr>
              <w:spacing w:after="0"/>
              <w:rPr>
                <w:sz w:val="12"/>
                <w:szCs w:val="12"/>
                <w:color w:val="auto"/>
              </w:rPr>
            </w:pPr>
          </w:p>
        </w:tc>
        <w:tc>
          <w:tcPr>
            <w:tcW w:w="100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Satellite</w:t>
            </w:r>
          </w:p>
        </w:tc>
        <w:tc>
          <w:tcPr>
            <w:tcW w:w="24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Other and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w w:val="86"/>
              </w:rPr>
              <w:t>Technologies</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973,097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1,000,194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374,287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5,549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32,783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207,680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155,022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80,764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296,269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314,177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(48,599)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642,611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1,255,977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984,097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356,964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4,653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37,923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154,201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11,801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230,503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119,733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267,210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308,573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(22,742)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EchoStar Technologies Segment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97"/>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gridSpan w:val="5"/>
          </w:tcPr>
          <w:p>
            <w:pPr>
              <w:jc w:val="right"/>
              <w:ind w:right="13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973,097</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1,255,977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(282,880)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32,783</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37,923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97"/>
              <w:spacing w:after="0"/>
              <w:rPr>
                <w:sz w:val="20"/>
                <w:szCs w:val="20"/>
                <w:color w:val="auto"/>
              </w:rPr>
            </w:pPr>
            <w:r>
              <w:rPr>
                <w:rFonts w:ascii="Arial" w:cs="Arial" w:eastAsia="Arial" w:hAnsi="Arial"/>
                <w:sz w:val="18"/>
                <w:szCs w:val="18"/>
                <w:color w:val="auto"/>
              </w:rPr>
              <w:t>(5,140)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80,764</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119,733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(38,969)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EchoStar Technologies segment total revenue for the nine months ended September 30, 2015 decreased by $282.9 million, or 22.5%, compared to the same period in 2014, primarily resulting from a decrease of $312.9 million in equipment revenue from DISH Network, a decrease of $11.5 million in equipment revenue - other, and a decrease of $7.7 million in service revenue — other, partially offset by an increase of $49.3 million in service revenue from DISH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EchoStar Technologies segment capital expenditures for the nine months ended September 30, 2015 decreased by $5.1 million, or 13.6%, compared to the same period in 2014, primarily due to a decrease in expenditures related to our digital broadcast centers of $7.8 million, partially offset by increased expenditures related to the support of our Move Network business of $1.7 million and engineering services of $0.6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EchoStar Technologies segment EBITDA for the nine months ended September 30, 2015 was $80.8 million, a decrease of $39.0 million, or 32.5%, compared to the same period in 2014. The decrease in EBITDA for our EchoStar Technologies segment was primarily driven by a decrease of $30.7 million in gross margin primarily as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result of the decrease in sales of set-top boxes and related accessories to DISH Network. The decrease in EBITDA was also the result of an increase of $8.0 million in research and development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97"/>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gridSpan w:val="5"/>
          </w:tcPr>
          <w:p>
            <w:pPr>
              <w:jc w:val="right"/>
              <w:ind w:right="13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1,000,194</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984,097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16,097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207,680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154,201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57"/>
              <w:spacing w:after="0"/>
              <w:rPr>
                <w:sz w:val="20"/>
                <w:szCs w:val="20"/>
                <w:color w:val="auto"/>
              </w:rPr>
            </w:pPr>
            <w:r>
              <w:rPr>
                <w:rFonts w:ascii="Arial" w:cs="Arial" w:eastAsia="Arial" w:hAnsi="Arial"/>
                <w:sz w:val="18"/>
                <w:szCs w:val="18"/>
                <w:color w:val="auto"/>
              </w:rPr>
              <w:t>53,479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296,269</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267,210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29,059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Hughes segment total revenue for the nine months ended September 30, 2015 increased by $16.1 million, or 1.6%, compared to the same period in 2014. The increase was primarily due to an increase of $54.0 million in revenue related to sales of broadband services to our consumer markets and dishNET. These increases were partially offset by a decrease in sales of broadband services to our international customers of $20.1 million and a decrease in sales of broadband equipment to dishNET of $17.3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Hughes segment capital expenditures for the nine months ended September 30, 2015 increased by $53.5 million, or 34.7%, compared to the same period in 2014, primarily as a result of an increase in expenditures on EUTELSAT 65 West A, EchoStar XIX and EchoStar XXI satellite ground infrastructures.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Hughes segment EBITDA for the nine months ended September 30, 2015 was $296.3 million, an increase of $29.1 million, or 10.9%, compared to the same period in 2014. The increase was primarily the result of an increase in service revenue of $31.3 million, a decrease in cost of sales — services of</w:t>
      </w:r>
    </w:p>
    <w:p>
      <w:pPr>
        <w:ind w:right="100"/>
        <w:spacing w:after="0" w:line="261" w:lineRule="auto"/>
        <w:rPr>
          <w:sz w:val="20"/>
          <w:szCs w:val="20"/>
          <w:color w:val="auto"/>
        </w:rPr>
      </w:pPr>
      <w:r>
        <w:rPr>
          <w:rFonts w:ascii="Arial" w:cs="Arial" w:eastAsia="Arial" w:hAnsi="Arial"/>
          <w:sz w:val="18"/>
          <w:szCs w:val="18"/>
          <w:color w:val="auto"/>
        </w:rPr>
        <w:t>$20.0 million and a decrease in cost of sales — equipment of $12.7 million, partially offset by a $15.2 million decrease in equipment revenue, $11.4 million increase in selling, general and administrative expenses, and a $4.6 million increase in research and development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97"/>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gridSpan w:val="5"/>
          </w:tcPr>
          <w:p>
            <w:pPr>
              <w:jc w:val="right"/>
              <w:ind w:right="13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374,287</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356,964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17,323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84,667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11,801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57"/>
              <w:spacing w:after="0"/>
              <w:rPr>
                <w:sz w:val="20"/>
                <w:szCs w:val="20"/>
                <w:color w:val="auto"/>
              </w:rPr>
            </w:pPr>
            <w:r>
              <w:rPr>
                <w:rFonts w:ascii="Arial" w:cs="Arial" w:eastAsia="Arial" w:hAnsi="Arial"/>
                <w:sz w:val="18"/>
                <w:szCs w:val="18"/>
                <w:color w:val="auto"/>
              </w:rPr>
              <w:t>72,866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314,177</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308,573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5,604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w:t>
      </w:r>
    </w:p>
    <w:p>
      <w:pPr>
        <w:sectPr>
          <w:pgSz w:w="11900" w:h="16838" w:orient="portrait"/>
          <w:cols w:equalWidth="0" w:num="1">
            <w:col w:w="11360"/>
          </w:cols>
          <w:pgMar w:left="240" w:top="121" w:right="299" w:bottom="0" w:gutter="0" w:footer="0" w:header="0"/>
          <w:type w:val="continuous"/>
        </w:sectPr>
      </w:pPr>
    </w:p>
    <w:bookmarkStart w:id="44" w:name="page45"/>
    <w:bookmarkEnd w:id="44"/>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EchoStar Satellite Services segment total revenue for the nine months ended September 30, 2015 increased by $17.3 million, or 4.9%, compared to the same period in 2014, primarily due to a $26.0 million increase in service revenue primarily related to satellite services provided to DISH Network on the five satellites we received as part of the Satellite and Tracking Stock Transaction, partially offset by a decrease in service revenue — other of $8.5 million attributable to a decrease in sales of transponder services.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EchoStar Satellite Services segment capital expenditures for the nine months ended September 30, 2015 increased by $72.9 million, compared to the same period in 2014, primarily related to the increase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EchoStar Satellite Services segment EBITDA for the nine months ended September 30, 2015 was $314.2 million, an increase of $5.6 million, or 1.8%, compared to the same period in 2014. The increase in EBITDA for our EchoStar Satellite Services segment was primarily due to an increase of $26.0 million in service revenue primarily related to DISH Network as a result of the Satellite and Tracking Stock Transaction, partially offset by an increase in cost of sales</w:t>
      </w:r>
    </w:p>
    <w:p>
      <w:pPr>
        <w:ind w:right="280"/>
        <w:spacing w:after="0" w:line="323" w:lineRule="auto"/>
        <w:rPr>
          <w:sz w:val="20"/>
          <w:szCs w:val="20"/>
          <w:color w:val="auto"/>
        </w:rPr>
      </w:pPr>
      <w:r>
        <w:rPr>
          <w:rFonts w:ascii="Arial" w:cs="Arial" w:eastAsia="Arial" w:hAnsi="Arial"/>
          <w:sz w:val="16"/>
          <w:szCs w:val="16"/>
          <w:color w:val="auto"/>
        </w:rPr>
        <w:t>— services of $12.0 million related to the commencement of the AMC-15 and AMC-16 satellite operating leases in the fourth quarter of 2014 and the first quarter of 2015, respectively, and a decrease in service revenue — other of $8.5 million attributable to a decrease in sales of transponder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and Eliminations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All Other and Eliminations accounts for certain items and activities in our condensed consolidated financial statements that have not been assigned to our operating segments. These include without limitation real estate and other activities, costs incurred in satellite development programs and other business development activities, expenses of various corporate departments, and our centralized treasury activities, including without limitation income from our investment portfolio and interest expense on our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nine months ended September 30, 2015, All Other and Eliminations capital expenditures decreased by $75.5 million, or 32.7%, compared to the same period in 2014, primarily related to a $105.8 million refund relating to the cancellation of an existing launch services agreement and a decrease in satellite expenditures on the EchoStar XIX satellite of $32.1 million and the EchoStar XXI satellite of $2.7 million, partially offset by the increase in satellite expenditures on the EchoStar XXIII satellite of $62.5 million. The EchoStar XIX satellite is expected to be used in the operations of our Hughes segment in providing satellite broadband services, the EchoStar XXI satellite is intended to be used by EchoStar Mobile in providing mobile satellite services in the European Union, and the EchoStar XXIII satellite will be initially deployed at the 45 degree west longitude orbital location providing services in Brazil.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nine months ended September 30, 2015, All Other and Eliminations EBITDA was a loss of $48.6 million, compared a loss of $22.7 million for the same period in 2014. The $25.9 million decrease in EBITDA was primarily related to a $10.3 million non-recurring adjustment to increase our equity in earnings of unconsolidated affiliates to reflect an increase from 24.0% to 49.0% in our interest in Dish Mexico’s inception-to-date net income in 2014, a loss of $5.0 million from the partial redemption of the Senior Secured Notes, and an other-than-temporary impairment loss of $5.9 million on a strategic equity security in our available-for-sale securities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Note 6 to our condensed consolidated financial statements for further discussion regarding our marketable investment securities. As of September 30, 2015 and December 31, 2014, our cash, cash equivalents and current marketable investment securities totaled $1.59 billion.</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investments in various debt and equity instruments including corporate bonds, corporate equity securities, government bonds, and variable rate demand notes. As of September 30, 2015 and December 31, 2014, we held $807.7 million and $1.14 billion, respectively, of marketable investment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nine months ended September 30, 2015.</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Cash flows from operating activities</w:t>
      </w:r>
      <w:r>
        <w:rPr>
          <w:rFonts w:ascii="Arial" w:cs="Arial" w:eastAsia="Arial" w:hAnsi="Arial"/>
          <w:sz w:val="16"/>
          <w:szCs w:val="16"/>
          <w:color w:val="auto"/>
        </w:rPr>
        <w:t>. We typically reinvest the cash flow from operating activities in our business.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2015, we reported net cash inflows from operating activities of $607.9 million, a decrease of $54.5 million, compared to the same period in 2014. The decrease was primarily attributable to a decrease of $97.3 million resulting from changes in operating assets and liabilities related to timing differences between the incurrence of expense and cash payments, partially offset by higher net income of $42.8 million adjusted to exclude: (i) “Depreciation and amortization;” (ii) “Equity in losses (earnings) of unconsolidated affiliates, net;” (iii) “Loss from partial redemption of debt,” (iv) “Losses (gains) and</w:t>
      </w:r>
    </w:p>
    <w:p>
      <w:pPr>
        <w:sectPr>
          <w:pgSz w:w="11900" w:h="16941" w:orient="portrait"/>
          <w:cols w:equalWidth="0" w:num="1">
            <w:col w:w="11420"/>
          </w:cols>
          <w:pgMar w:left="240" w:top="341" w:right="239" w:bottom="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other-than-temporary impairment on marketable investment securities, net;” (v) “Stock-based compensation;” (vi) “Deferred tax provision;” and (vii) “Other, net”.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nine months ended September 30, 2015, we reported net cash outflows from investing activities of $241.5 million, a decrease in cash outflow of $258.6 million compared to the same period in 2014. The decrease in cash outflows primarily related to a decrease of $352.8 million in purchases of marketable investment securities, net of sales and maturities, a cash receipt of $105.8 million refund relating to the cancellation of an existing launch services agreement and capital contributions of $18.6 million to certain investees in 2014, partially offset by an increase in cash outflows primarily related to a $151.5 million increase in capital expenditures in 2015 when compared to the same period in 2014, a $64.7 million increase in investments in WorldVu and SmarDTV, and the acquisition of a regulatory authorization in the first half of 2015 of $3.4 million.</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long-term debt and cash used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repurchase, redemption or payment of long-term debt and capital lease obligations. For the nine months ended September 30, 2015, we reported net cash outflows from financing activities of $127.2 million, an increase in cash outflow of $92.9 million, compared to the same period in 2014. The increase in cash outflows was primarily due to the partial redemption of the Senior Secured Notes of $110.0 million and the premium cost related to the redemption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$3.3 million, and proceeds of $11.4 million, net of offering costs of $3.9 million from the issuance of Hughes Retail preferred tracking stock received in 2014, partially offset by a decrease of $20.2 million in capital lease obligation payments relating to the expiration of capital leases for the AMC-15 and AMC-16 satellites, effective December 2014 and February 2015, respectively, and an increase of $12.6 million in excess tax benefits recognized on the exercise of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September 30, 2015, our satellite-related obligations were approximately $1.27 billion. Our satellite-related obligations include payments pursuant to agreements for the construction of the EchoStar XIX, EchoStar XXI, EchoStar XXIII, and EchoStar 105/SES-11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than the transactions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we had $43.4 million of letters of credit and insurance bonds. Of this amount, $18.1 million was secured by restricted cash,</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$9.9 million was related to insurance bonds, and $15.4 million was issued under credit arrangements available to our foreign subsidiaries. Certain letters of credit are secured by assets of our foreign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of September 30, 2015, we had foreign currency forward contracts with a notional value of $3.5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generally do not carry insurance for any of the in-orbit satellites that we use because we believe that the premium costs are uneconomical relative to the risk of satellite failure. However, pursuant to the terms of the agreements governing certain portions of our indebtedness, we are required, subject to certain limitations on coverage, to maintain launch and in-orbit insurance for our SPACEWAY 3, EchoStar XVI, and EchoStar XVII satellites. Although we are not required to maintain in-orbit insurance pursuant to our service agreement with DISH Network for the EchoStar XV satellite, we are liable for any damage caused by our use of the satellite and therefore we carry third-party insurance on the EchoStar XV satellite. The loss of a satellite or other satellite malfunctions or anomalies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could affect our ability to comply with FCC and other regulatory obligations and our ability to fund the construction or acquisition of replacement satellites for our in-orbit fleet in a timely fashion,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primarily rely on our existing cash and marketable investment securities balances, as well as cash flow generated through our operations to fund our business. Since we currently depend on DISH Network for a substantial portion of our revenue, our cash flow from operations depends heavily on DISH Network’s needs for equipment and services. To the extent that DISH Network’s gross new subscriber activations decrease or DISH Network experiences a net loss of subscribers, sales of our digital set-top boxes and related components as well as broadband services provided to DISH Network may decline, which in turn could have a material adverse effect on our financial position and results of operations. There can be no assurance that we will have positive cash flows from operations. Furthermore, if we experience negative cash flows, our existing cash and marketable investment securities balances may be reduced.</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 significant amount of outstanding indebtedness. As of September 30, 2015, our total indebtedness was $2.23 billion, of which $337.3 million related to capital lease obligations. Our liquidity requirements will be significant, primarily due to our debt service requirements. In addition, our future capital expenditures are likely to increase if we make additional investments in infrastructure necessary to support and expand our business, or if we decide to purchase one or more additional satellites. Other aspects of our business operations may also require additional capital. We periodically evaluate various strategic initiatives, the pursuit of which could also require us to raise significant additional capital, which may not be available on acceptable terms or at all.</w:t>
      </w:r>
    </w:p>
    <w:p>
      <w:pPr>
        <w:sectPr>
          <w:pgSz w:w="11900" w:h="16838" w:orient="portrait"/>
          <w:cols w:equalWidth="0" w:num="1">
            <w:col w:w="11420"/>
          </w:cols>
          <w:pgMar w:left="240" w:top="125"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Pursuant to a stock repurchase plan approved by our Board of Directors, we are authorized to repurchase up to $500.0 million of our outstanding shares of Class A common stock through December 31, 2016. As of September 30, 2015, we have not repurchased any common stock under this plan.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our EchoStar Technologies segment, we are affected by seasonality to the extent it impacts our customers as a result of their sales and promotion activities, which can vary from year to year. Although the seasonal impacts have not been significant, historically, the first half of the year generally produces fewer new subscribers for the pay-TV industry than the second half of the year. However, we cannot provide assurance that this trend will continue in the future.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 In the Hughes consumer business, we see a similar seasonality for consumer acquisitions, and therefore hardware revenue, as is seen in the consumer and retail sectors where the first and fourth calendar quarters tend to be higher than the second and third quarters.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EchoStar Satellite Services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digital set-top boxes and related components,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Slingbox products and related hardware products, and sales of satellite broadband equipment and related equipment, primarily related to the Hughes service, to DISH Network.</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sales of digital set-top boxes and related components to Bell TV,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Mexico and other domestic and international customers, including sales of Slingbox products and related hardware products, and sales of broadband equipment and networks to customers in our enterprise and consumer markets.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Services and other revenue — DISH Network</w:t>
      </w:r>
      <w:r>
        <w:rPr>
          <w:rFonts w:ascii="Arial" w:cs="Arial" w:eastAsia="Arial" w:hAnsi="Arial"/>
          <w:sz w:val="17"/>
          <w:szCs w:val="17"/>
          <w:color w:val="auto"/>
        </w:rPr>
        <w:t>. “Services and other revenue — DISH Network” primarily includes revenue associated with satellite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transponder services, satellite uplinking/downlinking, signal processing, conditional access management, telemetry, tracking and control, development of web-based applications for set-top boxes, professional services, facilities rental revenue and other services provided to DISH Network. “Services and other revenue — DISH Network” also includes subscriber wholesale service fees for the Hughes service sold to dishNET.</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well as maintenance and other contracted services. “Services and other revenue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principally includes costs associated with digital set-top boxes and related components sold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Bell TV, Dish Mexico and other domestic and international customers, including costs associated with Slingbox products and related hardware products. “Cost of sales — equipment” also includes the cost of broadband equipment and networks sold to customers in our enterprise and consumer markets, and to DISH Network.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w:t>
      </w:r>
    </w:p>
    <w:p>
      <w:pPr>
        <w:sectPr>
          <w:pgSz w:w="11900" w:h="16838" w:orient="portrait"/>
          <w:cols w:equalWidth="0" w:num="1">
            <w:col w:w="11400"/>
          </w:cols>
          <w:pgMar w:left="240" w:top="125" w:right="259" w:bottom="0" w:gutter="0" w:footer="0" w:header="0"/>
        </w:sectPr>
      </w:pPr>
    </w:p>
    <w:bookmarkStart w:id="47" w:name="page48"/>
    <w:bookmarkEnd w:id="47"/>
    <w:p>
      <w:pPr>
        <w:ind w:right="400"/>
        <w:spacing w:after="0" w:line="277" w:lineRule="auto"/>
        <w:rPr>
          <w:sz w:val="20"/>
          <w:szCs w:val="20"/>
          <w:color w:val="auto"/>
        </w:rPr>
      </w:pPr>
      <w:r>
        <w:rPr>
          <w:rFonts w:ascii="Arial" w:cs="Arial" w:eastAsia="Arial" w:hAnsi="Arial"/>
          <w:sz w:val="18"/>
          <w:szCs w:val="18"/>
          <w:color w:val="auto"/>
        </w:rPr>
        <w:t>telemetry, tracking and control, product support and development of applications for set-top boxes, professional services, facilities rental costs, and other services provided to our customers, including DISH Network.</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long-term debt and capital lease obligations (net of capitalized interest), and amortization of debt issuance costs.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Loss from partial redemption of debt. </w:t>
      </w:r>
      <w:r>
        <w:rPr>
          <w:rFonts w:ascii="Arial" w:cs="Arial" w:eastAsia="Arial" w:hAnsi="Arial"/>
          <w:sz w:val="18"/>
          <w:szCs w:val="18"/>
          <w:color w:val="auto"/>
        </w:rPr>
        <w:t>“Loss from partial redemption of debt” primarily includes the loss from the partial redemption of the Senior 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due 2019 representing the redemption premium that the Company paid to the holders of its Senior Secured Notes and the write-off of related unamortized debt issuance costs.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Gains (losses) and impairment on marketable investment securities and other investments, net</w:t>
      </w:r>
      <w:r>
        <w:rPr>
          <w:rFonts w:ascii="Arial" w:cs="Arial" w:eastAsia="Arial" w:hAnsi="Arial"/>
          <w:sz w:val="18"/>
          <w:szCs w:val="18"/>
          <w:color w:val="auto"/>
        </w:rPr>
        <w:t>. “Realized gains on marketable investment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investments, net” primarily includes gains, net of any losses, on the sale or exchange of investments and other-than-temporary impairment on certain of our marketable investment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investments accounted for under the equity method.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is defined as “Net income (loss) attributable to EchoStar” excluding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net of amounts capitalized,” “Interest income,” “Income tax benefit (provision), net,” and “Depreciation and amortization.” EBITDA is not a measure determined in accordance with GAAP. This non-GAAP measure is reconciled to “Income (loss) before income taxes” in our discussion of “Results of Operations” above. EBITDA should not be considered in isolation or as a substitute for operating income, net income or any other measure determined in accordance with GAAP. Conceptually, EBITDA measures the amount of income generated each period that could be used to service debt, pay taxes and fund capital expenditures. EBITDA is used by our management as a measure of operating efficiency and overall financial performance for benchmarking against our peers and competitors. Management believes EBITDA provides meaningful supplemental information regarding liquidity and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8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September 30, 2015, our cash, cash equivalents and current marketable investment securities had a fair value of $1.59 billion. Of this amount, a total of $1.54 billion was invested in: (a) cash; (b) commercial paper and corporate notes with an overall average maturity of less than one year and rated in one of the four highest rating categories by at least two nationally recognized statistical rating organizations; (c) VRDNs convertible into cash at par value plus accrued interest generally in five business days or less; (d) debt instruments of the U.S. government and its agencies;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$1.54 billion as of September 30, 2015, a hypothetical 10% change in average interest rates during 2015 would not have a material impact on the fair value of our cash, cash equivalents and debt securities portfolio due to the limited duration of our investments.</w:t>
      </w:r>
    </w:p>
    <w:p>
      <w:pPr>
        <w:sectPr>
          <w:pgSz w:w="11900" w:h="16838" w:orient="portrait"/>
          <w:cols w:equalWidth="0" w:num="1">
            <w:col w:w="11420"/>
          </w:cols>
          <w:pgMar w:left="240" w:top="125" w:right="239" w:bottom="63"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Our cash, cash equivalents and current marketable debt securities had an average annual rate of return for the three months ended September 30, 2015 of</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0.78%. A change in interest rates would affect our future annual interest income from this portfolio, since funds would be re-invested at different rates as the instruments mature. A hypothetical 10% decrease in average interest rates during 2015 would have resulted in a decrease of approximately $1.0 million in annual interest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September 30, 2015, we held current strategic investments in the publicly traded common stock of several companies with a fair value of $43.5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result in a decrease of approximately $4.4 million in the fair value of these investments.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Investment Securities and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September 30, 2015, we had $19.3 million of restricted cash and marketable investment securities invested in: (a) cash; (b) VRDNs convertible into cash at par value plus accrued interest generally in five business days or less; (c) debt instruments of the U.S. government and its agencies; (d) commercial paper and corporate notes with an overall average maturity of less than one year and rated in one of the four highest rating categories by at least two nationally recognized statistical rating organizations; and (e) instruments with similar risk, duration and credit quality characteristics to the commercial paper described above. Based on our investment portfolio as of September 30, 2015, a hypothetical 10% increase in average interest rates would not have a material impact on the fair value of our restricted cash and marketable investment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2015, we had $214.4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10% adverse change in the value of these debt and equity instruments would result in a decrease of approximately $21.4 million in the value of these investments.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w:t>
      </w:r>
      <w:r>
        <w:rPr>
          <w:rFonts w:ascii="Arial" w:cs="Arial" w:eastAsia="Arial" w:hAnsi="Arial"/>
          <w:sz w:val="15"/>
          <w:szCs w:val="15"/>
          <w:color w:val="auto"/>
        </w:rPr>
        <w:t>Transactions in foreign</w:t>
      </w:r>
    </w:p>
    <w:p>
      <w:pPr>
        <w:spacing w:after="0"/>
        <w:rPr>
          <w:sz w:val="20"/>
          <w:szCs w:val="20"/>
          <w:color w:val="auto"/>
        </w:rPr>
      </w:pPr>
      <w:r>
        <w:rPr>
          <w:rFonts w:ascii="Arial" w:cs="Arial" w:eastAsia="Arial" w:hAnsi="Arial"/>
          <w:sz w:val="18"/>
          <w:szCs w:val="18"/>
          <w:color w:val="auto"/>
        </w:rPr>
        <w:t>currencies are converted into U.S. dollars using exchange rates in effect on the dates of the transactions.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exchange rate fluctuations. Accordingly, we may enter into foreign exchange contracts to mitigate risks associated with foreign currency denominated assets, liabilities, commitments and anticipated foreign currency transactions. As of September 30, 2015, we had $6.5 million of foreign currency denominated receivables and payables outstanding and foreign currency forward contracts with a notional value of $3.5 million in place to partially mitigate foreign currency exchange risk. The estimated fair values of the foreign exchange contracts were not material as of September 30, 2015. The impact of a hypothetical 10% adverse change in exchange rates on the carrying amount of the net assets and liabilities of our foreign subsidiaries would be an estimated loss of $20.5 million as of September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ectPr>
          <w:pgSz w:w="11900" w:h="16838" w:orient="portrait"/>
          <w:cols w:equalWidth="0" w:num="1">
            <w:col w:w="11400"/>
          </w:cols>
          <w:pgMar w:left="240" w:top="125" w:right="259" w:bottom="36" w:gutter="0" w:footer="0" w:header="0"/>
        </w:sectPr>
      </w:pPr>
    </w:p>
    <w:bookmarkStart w:id="49" w:name="page50"/>
    <w:bookmarkEnd w:id="49"/>
    <w:p>
      <w:pPr>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 d-15(f) under the Securities Exchange Act of 1934) that occurred during the third quarter of 2015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14 “Commitments and Contingencies — Litigation” in this Form 10-Q.</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Item 1A, “Risk Factors,” of our Form 10-K for the year ended December 31, 2014 includes a detailed discussion of our risk factors. Except as provided below, for the nine months ended September 30, 2015, there were no material changes in our risk factors as previously disclosed.</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preferred tracking stock in our capital structure may create conflicts of interest for our board of directors and management, and our board of directors may make decisions that could adversely affect only one group of holders.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preferred tracking stock capital structure could give rise to occasions when the interests of holders of stock of one group might diverge or appear to diverge from the interests of holders of stock of the other group and our board of directors or officers could make decisions that could adversely affect only one group of holders. Nevada law requires that our board of directors and officers act in good faith and with a view to the interest of the company and are not required to consider, as a dominant factor, the effect of a proposed corporate action upon any particular group of stockholders. Decisions deemed to be in the interest of our company may not always align with the best interest of a particular group of our stockholders when considered independently. Examples include, but are not limited to:</w:t>
      </w:r>
    </w:p>
    <w:p>
      <w:pPr>
        <w:spacing w:after="0" w:line="193" w:lineRule="exact"/>
        <w:rPr>
          <w:sz w:val="20"/>
          <w:szCs w:val="20"/>
          <w:color w:val="auto"/>
        </w:rPr>
      </w:pPr>
    </w:p>
    <w:p>
      <w:pPr>
        <w:ind w:left="660" w:right="200" w:hanging="328"/>
        <w:spacing w:after="0" w:line="258"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EchoStar Group and the Hughes Retail Group and the terms of any reattributions of assets between the groups;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payment of dividends on our common stock or preferred tracking stock;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as to the disposition of assets of either of our groups.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as the Tracking Stock is currently held by DISH Network, questions relating to conflicts of interest may also arise between DISH Network and us due to our common ownership and management.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Provisions of Nevada law and our articles of incorporation may protect decisions of our board of directors and officers that have a disparate impact on one group of holders. Our stockholders may have limited or no legal remedies under Nevada law with respect to such decisions even if the actions of our directors or officers adversely affect the market value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preferred tracking stock results in vote dilution for existing holders of common stock.</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Each share of preferred tracking stock is entitled to one-tenth (1/10th) of one vote per share. This voting right will cause a reduction in the relative voting power of our exiting common stock holders. As a result of the dilutive effect of the preferred tracking stock, the ability of existing holders of common stock to elect our directors or to control all other matters requiring the approval of our stockholders may be reduced.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may dispose of assets of the Hughes Retail Group without shareholder approval.</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Nevada law requires stockholder approval only for a sale or other disposition of all or substantially all of the assets of the Company, taken as a whole, and our amended articles of incorporation do not require a separate class vote in the case of a sale of a significant amount of assets of any of our groups. As long as the assets attributed to the Hughes Retail Group proposed to be disposed of represent less than substantially all of our assets, we may approve sales and other dispositions of any amounts of the assets of such group without any shareholder approval. Based on the composition of the Hughes Retail Group, we believe that a sale of all or substantially all of the assets of the Hughes Retail Group would not be considered a sale of substantially all of the assets of our company requiring stockholder approval. </w:t>
      </w:r>
      <w:r>
        <w:rPr>
          <w:rFonts w:ascii="Arial" w:cs="Arial" w:eastAsia="Arial" w:hAnsi="Arial"/>
          <w:sz w:val="15"/>
          <w:szCs w:val="15"/>
          <w:color w:val="auto"/>
        </w:rPr>
        <w:t>Our board of directors would determine how best to proceed in any such sale consistent with its fiduciary duties to all of our</w:t>
      </w:r>
    </w:p>
    <w:p>
      <w:pPr>
        <w:sectPr>
          <w:pgSz w:w="11900" w:h="16838" w:orient="portrait"/>
          <w:cols w:equalWidth="0" w:num="1">
            <w:col w:w="11420"/>
          </w:cols>
          <w:pgMar w:left="240" w:top="125" w:right="239" w:bottom="0" w:gutter="0" w:footer="0" w:header="0"/>
        </w:sectPr>
      </w:pPr>
    </w:p>
    <w:bookmarkStart w:id="50" w:name="page51"/>
    <w:bookmarkEnd w:id="50"/>
    <w:p>
      <w:pPr>
        <w:ind w:right="40"/>
        <w:spacing w:after="0" w:line="268" w:lineRule="auto"/>
        <w:rPr>
          <w:sz w:val="20"/>
          <w:szCs w:val="20"/>
          <w:color w:val="auto"/>
        </w:rPr>
      </w:pPr>
      <w:r>
        <w:rPr>
          <w:rFonts w:ascii="Arial" w:cs="Arial" w:eastAsia="Arial" w:hAnsi="Arial"/>
          <w:sz w:val="18"/>
          <w:szCs w:val="18"/>
          <w:color w:val="auto"/>
        </w:rPr>
        <w:t>shareholders. Ultimately, however, our board of directors is not required under Nevada law to select the option that would result in the highest value to holders of any group of our common stock.</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value of our common stock could be adversely affected by events involving the assets and businesses attributed to only the Hughes Retail Group.</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Because we are the issuer of common stock and preferred tracking stock, events relating to the assets and businesses attributed to the Hughes Retail Group, such as earnings announcements or announcements of new products or services, or acquisitions or dispositions that the market does not view favorably, may cause an adverse reaction to our common stock. This could occur even if the triggering event is not material to us as a whole.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nine months ended September 30, 2015.</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On November 4, 2015, we amended the 2012 Receiver Agreement between EchoSphere L.L.C., a subsidiary of DISH Network, and our subsidiary EchoStar Technologies L.L.C. to extend its term for one year to December 31, 2016. All other terms of the 2012 Receiver Agreement remain unchanged. The amendment was approved by the Company’s board of directors, the Company’s Audit Committee and the directors of EchoStar who are not also directors or officers of DISH Network or its subsidiaries. </w:t>
      </w:r>
      <w:r>
        <w:rPr>
          <w:rFonts w:ascii="Arial" w:cs="Arial" w:eastAsia="Arial" w:hAnsi="Arial"/>
          <w:sz w:val="16"/>
          <w:szCs w:val="16"/>
          <w:color w:val="auto"/>
        </w:rPr>
        <w:t>Following the Spin-off, we and DISH Network have operated as separate publicly-traded companies. However,</w:t>
      </w:r>
      <w:r>
        <w:rPr>
          <w:rFonts w:ascii="Arial" w:cs="Arial" w:eastAsia="Arial" w:hAnsi="Arial"/>
          <w:sz w:val="17"/>
          <w:szCs w:val="17"/>
          <w:color w:val="auto"/>
        </w:rPr>
        <w:t xml:space="preserve"> </w:t>
      </w:r>
      <w:r>
        <w:rPr>
          <w:rFonts w:ascii="Arial" w:cs="Arial" w:eastAsia="Arial" w:hAnsi="Arial"/>
          <w:sz w:val="16"/>
          <w:szCs w:val="16"/>
          <w:color w:val="auto"/>
        </w:rPr>
        <w:t>pursuant to the Satellite and Tracking Stock Transaction,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both companies is owned beneficially by Charles W. Ergen, our Chairman, and by certain trusts established by Mr. Ergen for the benefit of his family.</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Board of Directors previously authorized us to repurchase up to $500.0 million of our Class A common stock through December 31, 2015. On November 2, 2015, our Board of Directors extended this authorization such that we are currently authorized to repurchase up to $500.0 million of outstanding shares of our Class A common stock through and including December 31, 2016 through open market repurchases including, without limitation, one or more trading plans in accordance with Rule 10b5-1 under the Securities Exchange Act of 1934, as amended.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40" w:type="dxa"/>
            <w:vAlign w:val="bottom"/>
          </w:tcPr>
          <w:p>
            <w:pPr>
              <w:jc w:val="center"/>
              <w:spacing w:after="0"/>
              <w:rPr>
                <w:sz w:val="20"/>
                <w:szCs w:val="20"/>
                <w:color w:val="auto"/>
              </w:rPr>
            </w:pPr>
            <w:r>
              <w:rPr>
                <w:rFonts w:ascii="Arial" w:cs="Arial" w:eastAsia="Arial" w:hAnsi="Arial"/>
                <w:sz w:val="18"/>
                <w:szCs w:val="18"/>
                <w:color w:val="auto"/>
                <w:w w:val="96"/>
              </w:rPr>
              <w:t>10.1(H)</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Form of Restricted Stock Unit Agreement for 2008 Stock Incentive Plan - Executive or Director.</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6"/>
              </w:rPr>
              <w:t>31.1(H)</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w w:val="90"/>
              </w:rPr>
              <w:t>Section 302</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6"/>
              </w:rPr>
              <w:t>31.2(H)</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w w:val="90"/>
              </w:rPr>
              <w:t>Section 302</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6"/>
              </w:rPr>
              <w:t>32.1(I)</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w w:val="90"/>
              </w:rPr>
              <w:t>Section 906</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6"/>
              </w:rPr>
              <w:t>99.1(H)</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3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ECHOSTAR CORPORATION</w:t>
      </w:r>
    </w:p>
    <w:p>
      <w:pPr>
        <w:sectPr>
          <w:pgSz w:w="11900" w:h="16838" w:orient="portrait"/>
          <w:cols w:equalWidth="0" w:num="1">
            <w:col w:w="11420"/>
          </w:cols>
          <w:pgMar w:left="240" w:top="131" w:right="23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November 6, 2015</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5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November 6, 2015</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 Officer and Treasurer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38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ECHOSTAR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 OR DIRECTOR RESTRICTED STOCK UNIT AGREEMENT</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This Restricted Stock Unit Agreement (the “Agreement”) is entered into effective as of [Grant Date] (the “Grant Date”), by and between EchoStar Corporation, a Nevada corporation (the “Company”), and [Participant Name] (“Employee”).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WHEREAS, the Company, pursuant to its 2008 Stock Incentive Plan (as amended from time to time, the “Plan”) desires to grant restricted stock units to Employee, and Employee desires to accept such restricted stock units, each under the terms and conditions set forth in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hereby grants to Employee, as of the Grant Date, [Number of RSUs Granted] restricted stock units (hereinafter called the “Units”), each representing the right to receive one share of the Class A Common Stock of the Company, par value $0.001 per share (the “Common Shares”), upon vesting of that Unit on the terms and conditions set forth in this Agreement.</w:t>
      </w:r>
    </w:p>
    <w:p>
      <w:pPr>
        <w:spacing w:after="0" w:line="18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Duration and Vesting</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including, without limitation, payment of all applicable withholding taxes, the Units</w:t>
      </w:r>
    </w:p>
    <w:p>
      <w:pPr>
        <w:spacing w:after="0" w:line="46"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shall vest in cumulative installments on the following vesting dates (the “Vesting Dates”) as follows:</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2(f) and the terms and conditions set forth in this Agreement, [performance vesting criteria permitted under the Plan].</w:t>
      </w:r>
    </w:p>
    <w:p>
      <w:pPr>
        <w:spacing w:after="0" w:line="2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Notwithstanding the foregoing vesting schedule, each corresponding increment of the Units shall not vest unless and until the Company shall have achieved the applicable [performance goal(s)], in each case as calculated in accordance with Section 2(f) and subject to the terms and conditions set forth in this Agreement, on or before [Date],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Common Shares shall be issued in exchange for any Unit until that Unit has vested.</w:t>
      </w:r>
    </w:p>
    <w:p>
      <w:pPr>
        <w:spacing w:after="0" w:line="229" w:lineRule="exact"/>
        <w:rPr>
          <w:sz w:val="20"/>
          <w:szCs w:val="20"/>
          <w:color w:val="auto"/>
        </w:rPr>
      </w:pPr>
    </w:p>
    <w:p>
      <w:pPr>
        <w:jc w:val="both"/>
        <w:ind w:right="40" w:firstLine="8"/>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Employee, the Common Shares issuable upon vesting of the Units shall be issued only to Employee and the Units shall not be assignable or transferable by Employee, other than by will or the laws of descent and distribution or pursuant to a qualified domestic relations order as defined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Internal Revenue Service Code of 1986, as amended, and regulations thereunder (the “Code”), Title I of the Employee Retirement Income Security Act, or the rules promulgated thereunder; and (ii) the Units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thereof shall be void and unenforceable against the Company or any of its subsidiaries. Any sale, assignment, transfer, pledge, hypothecation or other disposition of the Units or any attempt to make any such levy of execution, attachment or other encumbrance will cause the Units to terminate immediately, unless the Board of Directors of the Company (the “Board”), the Executive Compensation Committee of the Board (the “Committee”) or the General Counsel of the Company, in their sole and absolute discretion for any reason or no reason at any time and from time to time, specifically waives applicability of this provision.</w:t>
      </w:r>
    </w:p>
    <w:p>
      <w:pPr>
        <w:spacing w:after="0" w:line="179" w:lineRule="exact"/>
        <w:rPr>
          <w:sz w:val="20"/>
          <w:szCs w:val="20"/>
          <w:color w:val="auto"/>
        </w:rPr>
      </w:pPr>
    </w:p>
    <w:p>
      <w:pPr>
        <w:ind w:right="60" w:firstLine="8"/>
        <w:spacing w:after="0" w:line="277" w:lineRule="auto"/>
        <w:tabs>
          <w:tab w:leader="none" w:pos="6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any other provisions in this Agreement, the Units shall expire, and no Common Shares will be issued in exchange for any Units, on [Date of Expiration] (the “Expiration Date”).</w:t>
      </w:r>
    </w:p>
    <w:p>
      <w:pPr>
        <w:spacing w:after="0" w:line="170" w:lineRule="exact"/>
        <w:rPr>
          <w:rFonts w:ascii="Arial" w:cs="Arial" w:eastAsia="Arial" w:hAnsi="Arial"/>
          <w:sz w:val="18"/>
          <w:szCs w:val="18"/>
          <w:color w:val="auto"/>
        </w:rPr>
      </w:pPr>
    </w:p>
    <w:p>
      <w:pPr>
        <w:ind w:right="60" w:firstLine="8"/>
        <w:spacing w:after="0" w:line="26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Company assumes no responsibility for individual income taxes, penalties or interest related to the grant, vesting or adjustment of any Unit, or the issuance of Common Shares in exchange for any Unit or the subsequent disposition of any Common Shares issued in exchange for any Unit.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should consult with Employee’s personal tax advisor regarding the tax ramifications, if any, which result from the grant, vesting or adjustment of any Unit or the issuance of Common Shares in exchange for any Unit or any subsequent disposition thereof. </w:t>
      </w:r>
      <w:r>
        <w:rPr>
          <w:rFonts w:ascii="Arial" w:cs="Arial" w:eastAsia="Arial" w:hAnsi="Arial"/>
          <w:sz w:val="17"/>
          <w:szCs w:val="17"/>
          <w:color w:val="auto"/>
        </w:rPr>
        <w:t>If, in the Company’s sole and absolute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for any reason or no reason at any time and from time to time, it is necessary or appropriate to collect or withhold federal, state or local taxes in connection with the grant, vesting or adjustment of any portion of the Units or the issuance of Common Shares in exchange for any Unit or any subsequent disposition of Common Shares, the Company shall be entitled to require the payment of such amounts as a condition to vesting. Prior to any relevant taxable or tax withholding event, as applicable, Employee shall pay or make arrangements satisfactory to the Company to satisfy all withholding obligations. In furtherance and without limiting the generality of the foregoing, Employee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Company’s administrator for the Units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or adjustment of any Unit or the issuance of Common Shares in exchange for any Unit or any subsequent disposition thereof by one or a combination of the following:</w:t>
      </w:r>
    </w:p>
    <w:p>
      <w:pPr>
        <w:spacing w:after="0" w:line="183" w:lineRule="exact"/>
        <w:rPr>
          <w:rFonts w:ascii="Arial" w:cs="Arial" w:eastAsia="Arial" w:hAnsi="Arial"/>
          <w:sz w:val="17"/>
          <w:szCs w:val="17"/>
          <w:color w:val="auto"/>
        </w:rPr>
      </w:pPr>
    </w:p>
    <w:p>
      <w:pPr>
        <w:ind w:left="1000" w:hanging="344"/>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withholding from any wages or other cash compensation payable to Employee by the Company;</w:t>
      </w:r>
    </w:p>
    <w:p>
      <w:pPr>
        <w:sectPr>
          <w:pgSz w:w="11900" w:h="16838" w:orient="portrait"/>
          <w:cols w:equalWidth="0" w:num="1">
            <w:col w:w="11420"/>
          </w:cols>
          <w:pgMar w:left="240" w:top="121" w:right="239" w:bottom="0" w:gutter="0" w:footer="0" w:header="0"/>
        </w:sectPr>
      </w:pPr>
    </w:p>
    <w:bookmarkStart w:id="53" w:name="page54"/>
    <w:bookmarkEnd w:id="53"/>
    <w:p>
      <w:pPr>
        <w:spacing w:after="0" w:line="114" w:lineRule="exact"/>
        <w:rPr>
          <w:sz w:val="20"/>
          <w:szCs w:val="20"/>
          <w:color w:val="auto"/>
        </w:rPr>
      </w:pPr>
    </w:p>
    <w:p>
      <w:pPr>
        <w:ind w:left="1020" w:hanging="36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withholding Common Shares that are otherwise issuable upon vesting of the Units;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arranging for the sale of Common Shares that are otherwise issuable upon vesting of the Units, including, without limitation, selling Common Shares as part of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block trade with other employees under the Plan or otherwise; and/or</w:t>
      </w:r>
    </w:p>
    <w:p>
      <w:pPr>
        <w:spacing w:after="0" w:line="225" w:lineRule="exact"/>
        <w:rPr>
          <w:sz w:val="20"/>
          <w:szCs w:val="20"/>
          <w:color w:val="auto"/>
        </w:rPr>
      </w:pPr>
    </w:p>
    <w:p>
      <w:pPr>
        <w:ind w:left="1000" w:hanging="344"/>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withholding from the proceeds of the sale of Common Shares issued upon vesting of the Units.</w:t>
      </w:r>
    </w:p>
    <w:p>
      <w:pPr>
        <w:spacing w:after="0" w:line="225" w:lineRule="exact"/>
        <w:rPr>
          <w:rFonts w:ascii="Arial" w:cs="Arial" w:eastAsia="Arial" w:hAnsi="Arial"/>
          <w:sz w:val="18"/>
          <w:szCs w:val="18"/>
          <w:color w:val="auto"/>
        </w:rPr>
      </w:pPr>
    </w:p>
    <w:p>
      <w:pPr>
        <w:ind w:right="20" w:firstLine="8"/>
        <w:spacing w:after="0" w:line="255" w:lineRule="auto"/>
        <w:tabs>
          <w:tab w:leader="none" w:pos="6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considering the acceptance of the Units, Employee understands, acknowledges, agrees and hereby stipulates that he or she has used the same independent investment judgment that Employee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SEC relating to the Plan at the time of the applicable issuance of the Units.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color w:val="auto"/>
        </w:rPr>
        <w:t>Provisions relating to the calculation of performance criteria.]</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Death or Disability; Demotion; Termination After Change in Control</w:t>
      </w:r>
    </w:p>
    <w:p>
      <w:pPr>
        <w:spacing w:after="0" w:line="225" w:lineRule="exact"/>
        <w:rPr>
          <w:sz w:val="20"/>
          <w:szCs w:val="20"/>
          <w:color w:val="auto"/>
        </w:rPr>
      </w:pPr>
    </w:p>
    <w:p>
      <w:pPr>
        <w:ind w:right="220" w:firstLine="8"/>
        <w:spacing w:after="0" w:line="288" w:lineRule="auto"/>
        <w:tabs>
          <w:tab w:leader="none" w:pos="6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the event that Employee shall cease to be employed by the Company or its direct or indirect subsidiaries, if any, for any reason other than Employee’s serious misconduct or a violation of the covenants set forth in Section 5 of this Agreement (as described in Section 3(b) of this Agreement) or Employee’s death or disability (as described in Section 3(c) of this Agreement), and Employee shall have vested Units for which Common Shares have not yet been issued, Employee shall have the right to have such Common Shares issued in exchange for such vested Units on the date of such cessation of employment, </w:t>
      </w:r>
      <w:r>
        <w:rPr>
          <w:rFonts w:ascii="Arial" w:cs="Arial" w:eastAsia="Arial" w:hAnsi="Arial"/>
          <w:sz w:val="16"/>
          <w:szCs w:val="16"/>
          <w:b w:val="1"/>
          <w:bCs w:val="1"/>
          <w:color w:val="auto"/>
        </w:rPr>
        <w:t>but only</w:t>
      </w:r>
      <w:r>
        <w:rPr>
          <w:rFonts w:ascii="Arial" w:cs="Arial" w:eastAsia="Arial" w:hAnsi="Arial"/>
          <w:sz w:val="16"/>
          <w:szCs w:val="16"/>
          <w:color w:val="auto"/>
        </w:rPr>
        <w:t xml:space="preserve"> to the extent of the full number of Common Shares issuable upon such vested Units on the date of such cessation of employment, subject to the condition that any portion of the Units not vested as of the date of such cessation of employment shall terminate as of such cessation of employment and no Common Shares shall be issued in exchange for any unvested Units following the date of such cessation of employment, and that no portion of the Units shall vest after the Expiration Date. Retirement, whether or not pursuant to any retirement or pension plan of the Company, shall be deemed to be a cessation of employment for all purposes of this Agreement. The termination of the Units by reason of any such cessation of employment shall be without prejudice to any right or remedy which the Company may have against the holder.</w:t>
      </w:r>
    </w:p>
    <w:p>
      <w:pPr>
        <w:spacing w:after="0" w:line="169" w:lineRule="exact"/>
        <w:rPr>
          <w:rFonts w:ascii="Arial" w:cs="Arial" w:eastAsia="Arial" w:hAnsi="Arial"/>
          <w:sz w:val="16"/>
          <w:szCs w:val="16"/>
          <w:color w:val="auto"/>
        </w:rPr>
      </w:pPr>
    </w:p>
    <w:p>
      <w:pPr>
        <w:ind w:right="120" w:firstLine="8"/>
        <w:spacing w:after="0" w:line="297"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the event that Employee shall cease to be employed by the Company or its direct or indirect subsidiaries, if any, by reason of Employee’s serious misconduct during the course of employment, including without limitation wrongful appropriation of the Company’s funds, theft of Company property or other reasons as determined by the Company, or in the event that Employee violates the covenants set forth in Section 5 of this Agreement, </w:t>
      </w:r>
      <w:r>
        <w:rPr>
          <w:rFonts w:ascii="Arial" w:cs="Arial" w:eastAsia="Arial" w:hAnsi="Arial"/>
          <w:sz w:val="16"/>
          <w:szCs w:val="16"/>
          <w:b w:val="1"/>
          <w:bCs w:val="1"/>
          <w:color w:val="auto"/>
        </w:rPr>
        <w:t>all</w:t>
      </w:r>
      <w:r>
        <w:rPr>
          <w:rFonts w:ascii="Arial" w:cs="Arial" w:eastAsia="Arial" w:hAnsi="Arial"/>
          <w:sz w:val="16"/>
          <w:szCs w:val="16"/>
          <w:color w:val="auto"/>
        </w:rPr>
        <w:t xml:space="preserve"> Units shall be deemed to have terminated and no Common Shares shall be issuable in connection therewith, as of the date of the misconduct or violation. The termination of the Units by reason of such cessation of employment shall be without prejudice to any right or remedy which the Company may have against the holder.</w:t>
      </w:r>
    </w:p>
    <w:p>
      <w:pPr>
        <w:spacing w:after="0" w:line="158" w:lineRule="exact"/>
        <w:rPr>
          <w:rFonts w:ascii="Arial" w:cs="Arial" w:eastAsia="Arial" w:hAnsi="Arial"/>
          <w:sz w:val="16"/>
          <w:szCs w:val="16"/>
          <w:color w:val="auto"/>
        </w:rPr>
      </w:pPr>
    </w:p>
    <w:p>
      <w:pPr>
        <w:ind w:right="640" w:firstLine="8"/>
        <w:spacing w:after="0" w:line="264" w:lineRule="auto"/>
        <w:tabs>
          <w:tab w:leader="none" w:pos="6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(i) Employee shall die while in the employ of the Company or its direct or indirect subsidiaries, if any, or after cessation of employment for any reason other than serious misconduct or violation of the covenants set forth in Section 5 of this Agreement (as described in Section 3(b) of this Agreement); or (ii) employment is terminated because Employee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has become disabled (within the meaning of Section 22(e)(3) of the Code) while in the employ of the Company or its direct or indirect subsidiaries, if any, and Employee shall have vested Units for which Common Shares have not yet been issued as of the date of such death or the date of cessation of employment for such disability, then such Common Shares shall be issued to the personal representatives or administrators, executor or guardians of Employee, as applicable, or to any person or persons to whom the Units are transferred by will or the applicable laws of descent and distribution, </w:t>
      </w:r>
      <w:r>
        <w:rPr>
          <w:rFonts w:ascii="Arial" w:cs="Arial" w:eastAsia="Arial" w:hAnsi="Arial"/>
          <w:sz w:val="16"/>
          <w:szCs w:val="16"/>
          <w:b w:val="1"/>
          <w:bCs w:val="1"/>
          <w:color w:val="auto"/>
        </w:rPr>
        <w:t>but only</w:t>
      </w:r>
      <w:r>
        <w:rPr>
          <w:rFonts w:ascii="Arial" w:cs="Arial" w:eastAsia="Arial" w:hAnsi="Arial"/>
          <w:sz w:val="16"/>
          <w:szCs w:val="16"/>
          <w:color w:val="auto"/>
        </w:rPr>
        <w:t xml:space="preserve"> to the extent of the full number of Common Shares issuable upon such vested Units on the date of such death or the date of cessation of employment for such disability, subject to the condition that any portion of the Units not vested on the date of such death or such cessation of employment shall terminate as of the date of such death or such cessation of employment and no Common Shares shall be issued in exchange for any unvested Units following the date of such death or such cessation of employment, and that no portion of the Units shall vest after the Expiration Date. The termination of the Units by reason of such death or such cessation of employment shall be without prejudice to any right or remedy which the Company may have against the holder.</w:t>
      </w:r>
    </w:p>
    <w:p>
      <w:pPr>
        <w:spacing w:after="0" w:line="167" w:lineRule="exact"/>
        <w:rPr>
          <w:sz w:val="20"/>
          <w:szCs w:val="20"/>
          <w:color w:val="auto"/>
        </w:rPr>
      </w:pPr>
    </w:p>
    <w:p>
      <w:pPr>
        <w:ind w:firstLine="8"/>
        <w:spacing w:after="0" w:line="289"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the event that Employee is demoted (but remains employed) by the Company or its direct and indirect subsidiaries, if any, from Employee’s current level (e.g., chairman, chief executive officer, president, executive vice president, senior vice president, vice president, director, manager, or other level held by Employee on the date of this Agreement), (i) if Employee shall have vested Units for which Common Shares have not yet been issued as of the date of such demotion, then Employee shall have the right to have such Common Shares issued in exchange for such vested Units, </w:t>
      </w:r>
      <w:r>
        <w:rPr>
          <w:rFonts w:ascii="Arial" w:cs="Arial" w:eastAsia="Arial" w:hAnsi="Arial"/>
          <w:sz w:val="16"/>
          <w:szCs w:val="16"/>
          <w:b w:val="1"/>
          <w:bCs w:val="1"/>
          <w:color w:val="auto"/>
        </w:rPr>
        <w:t>but only</w:t>
      </w:r>
      <w:r>
        <w:rPr>
          <w:rFonts w:ascii="Arial" w:cs="Arial" w:eastAsia="Arial" w:hAnsi="Arial"/>
          <w:sz w:val="16"/>
          <w:szCs w:val="16"/>
          <w:color w:val="auto"/>
        </w:rPr>
        <w:t xml:space="preserve"> to the extent of the full number of Common Shares issuable upon such vested Units on the date of such demotion, subject to the condition that any portion of the Units not vested as of the date of such demotion shall terminate as of the date of such demotion and no Common Shares shall be issued in exchange for any unvested Units following the date of such demotion, and that no portion of the Units shall vest after the Expiration Date; and (ii) this Agreement, including without limitation the covenants set forth in Section 5 of this Agreement, shall otherwise continue in force, unless otherwise terminated. The termination of the Units by reason of such demotion shall be without prejudice to any right or remedy which the Company may have against the holder.</w:t>
      </w:r>
    </w:p>
    <w:p>
      <w:pPr>
        <w:spacing w:after="0" w:line="166" w:lineRule="exact"/>
        <w:rPr>
          <w:rFonts w:ascii="Arial" w:cs="Arial" w:eastAsia="Arial" w:hAnsi="Arial"/>
          <w:sz w:val="16"/>
          <w:szCs w:val="16"/>
          <w:color w:val="auto"/>
        </w:rPr>
      </w:pPr>
    </w:p>
    <w:p>
      <w:pPr>
        <w:ind w:firstLine="8"/>
        <w:spacing w:after="0" w:line="312" w:lineRule="auto"/>
        <w:tabs>
          <w:tab w:leader="none" w:pos="6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that (i) a Change in Control occurs, and (ii) Employee is terminated by the Company (and not simultaneously employed by the surviving entity — if not the Company — in the Change in Control), for any reason other than for Cause, during the twenty-four (24) month period following such Change in Control, then all Units not previously vested shall immediately vest and Common Shares shall be issued in exchange for the vested Units.</w:t>
      </w:r>
    </w:p>
    <w:p>
      <w:pPr>
        <w:spacing w:after="0" w:line="14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“Cause” means: (i) the willful and continued failure of Employee to substantially perform his duties consistent with past practices prior to the Change in</w:t>
      </w:r>
    </w:p>
    <w:p>
      <w:pPr>
        <w:sectPr>
          <w:pgSz w:w="11900" w:h="16952" w:orient="portrait"/>
          <w:cols w:equalWidth="0" w:num="1">
            <w:col w:w="11400"/>
          </w:cols>
          <w:pgMar w:left="240" w:top="125" w:right="259" w:bottom="0" w:gutter="0" w:footer="0" w:header="0"/>
        </w:sectPr>
      </w:pPr>
    </w:p>
    <w:bookmarkStart w:id="54" w:name="page55"/>
    <w:bookmarkEnd w:id="54"/>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Control; (ii) any illegal conduct or gross misconduct which is materially injurious to the Company or its affiliates; (iii) Employee has been convicted of or pleaded guilty or nolo contendere to a felony or any crime involving moral turpitude or dishonesty; or (iv) Employee has been convicted of or pleaded guilty or nolo contendere to a felony, crime or engaged in conduct which results in a prohibition on Employee from serving, for any period of time, as an officer or director of a publicly-traded company by any federal, state or other regulatory governing body (including without limitation, an exchange or association such as NYSE or Nasdaq). “Change in Control” means: (i) a transaction or a series of transactions the result of which is that any person (other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than the Principal or a Related Party) individually owns more than fifty percent (50%) of the total Equity Interests of either (A) the Company or (B) the surviving entity in any such transaction(s) or a controlling affiliate of such surviving entity in such transaction(s); and (ii) the first day on which a majority of the members of the Board of Directors of the Company are not Continuing Directors. “Continuing Director” means, as of any date of determination, any member of the Board of Directors of the Company who: (a) was a member of such Board of Directors on the date of this Agreement; or (b) was nominated for election or elected to such Board of Directors with the affirmative vote of a majority of the Continuing Directors who were members of such Board of Directors at the time of such nomination or election or was nominated for election or elected by the Principal and his Related Parties.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beneficially holds an eighty percent (80%) or more controlling interest; and (c) the Principal’s personal representatives, administrators, executor, guardians, or any person(s) or entity(ies) to which the Principal’s shares of the Company are transferred as a result of a transfer by will or the applicable laws of descent and distribution or pursuant to a qualified domestic relations order as defined by the Code, Title I of the Employee Retirement Income Security Act, or the rules promulgated thereunder.</w:t>
      </w:r>
    </w:p>
    <w:p>
      <w:pPr>
        <w:spacing w:after="0" w:line="16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Manner of Issuance of Common Shares</w:t>
      </w:r>
    </w:p>
    <w:p>
      <w:pPr>
        <w:spacing w:after="0" w:line="225" w:lineRule="exact"/>
        <w:rPr>
          <w:sz w:val="20"/>
          <w:szCs w:val="20"/>
          <w:color w:val="auto"/>
        </w:rPr>
      </w:pPr>
    </w:p>
    <w:p>
      <w:pPr>
        <w:ind w:right="120" w:firstLine="8"/>
        <w:spacing w:after="0" w:line="259" w:lineRule="auto"/>
        <w:tabs>
          <w:tab w:leader="none" w:pos="6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Common Shares issuable upon vesting of the Units shall be issued only to Employee or other proper party as described in Section 2(b), Section 3(c) and/or Section 4(c) of this Agreement, in whole Common Shares upon meeting the applicable vesting requirements for the Units represented by this Agreement and by following, prior to the Expiration Date, the then-current procedures implemented by the Administrator, as such Administrator and procedures are designated by the Company in its sole and absolute discretion from time to time.</w:t>
      </w:r>
    </w:p>
    <w:p>
      <w:pPr>
        <w:spacing w:after="0" w:line="186" w:lineRule="exact"/>
        <w:rPr>
          <w:rFonts w:ascii="Arial" w:cs="Arial" w:eastAsia="Arial" w:hAnsi="Arial"/>
          <w:sz w:val="18"/>
          <w:szCs w:val="18"/>
          <w:color w:val="auto"/>
        </w:rPr>
      </w:pPr>
    </w:p>
    <w:p>
      <w:pPr>
        <w:ind w:firstLine="8"/>
        <w:spacing w:after="0" w:line="25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upon the vesting of the Units shall be issued on the date specified by the Company within five (5) business days following the date that the General Counsel for the Company determines that all requisite events to issuance of the Common Shares have been properly completed. The Company shall have no obligation to issue Common Shares upon the vesting of the Units until it has confirmed to its satisfaction that all events requisite for vesting of the Units and issuance of the Common Shares have been accomplished.</w:t>
      </w:r>
    </w:p>
    <w:p>
      <w:pPr>
        <w:spacing w:after="0" w:line="188" w:lineRule="exact"/>
        <w:rPr>
          <w:rFonts w:ascii="Arial" w:cs="Arial" w:eastAsia="Arial" w:hAnsi="Arial"/>
          <w:sz w:val="18"/>
          <w:szCs w:val="18"/>
          <w:color w:val="auto"/>
        </w:rPr>
      </w:pPr>
    </w:p>
    <w:p>
      <w:pPr>
        <w:ind w:right="40" w:firstLine="8"/>
        <w:spacing w:after="0" w:line="259" w:lineRule="auto"/>
        <w:tabs>
          <w:tab w:leader="none" w:pos="6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certificate or certificates for the Common Shares, if any, which are issued pursuant to the vesting of the Units may be registered only in the name of Employee (or if Employee so requests, jointly in the name of Employee and with a member of Employee’s family, with the right of survivorship, or in the event of the death of Employee, in the name of such survivor of Employee as the person with the right to receive the Common Shares issuable upon the vesting of the Units shall designate).</w:t>
      </w:r>
    </w:p>
    <w:p>
      <w:pPr>
        <w:spacing w:after="0" w:line="18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Covenant Not to Compete; Non-Solicitation; Protection of Confidential Information and Trade Secrets</w:t>
      </w:r>
    </w:p>
    <w:p>
      <w:pPr>
        <w:spacing w:after="0" w:line="225" w:lineRule="exact"/>
        <w:rPr>
          <w:sz w:val="20"/>
          <w:szCs w:val="20"/>
          <w:color w:val="auto"/>
        </w:rPr>
      </w:pPr>
    </w:p>
    <w:p>
      <w:pPr>
        <w:ind w:firstLine="8"/>
        <w:spacing w:after="0" w:line="277" w:lineRule="auto"/>
        <w:tabs>
          <w:tab w:leader="none" w:pos="6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shall serve the Company and its direct and indirect subsidiaries (collectively, the “Company” for purposes of this Section 5), loyally and in good faith and use Employee’s best efforts to promote the Company’s interests. Employee hereby agrees not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compete with the Company, not to solicit employees of the Company, not to solicit customers of the Company, and agrees to protect from disclosure Confidential Information and Trade Secrets (as defined in Section 5(e) of this Agreement), pursuant to the terms and conditions hereinafter set forth.</w:t>
      </w:r>
    </w:p>
    <w:p>
      <w:pPr>
        <w:spacing w:after="0" w:line="120" w:lineRule="exact"/>
        <w:rPr>
          <w:sz w:val="20"/>
          <w:szCs w:val="20"/>
          <w:color w:val="auto"/>
        </w:rPr>
      </w:pPr>
    </w:p>
    <w:p>
      <w:pPr>
        <w:ind w:right="40" w:firstLine="8"/>
        <w:spacing w:after="0" w:line="268" w:lineRule="auto"/>
        <w:tabs>
          <w:tab w:leader="none" w:pos="659"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Non-Disclosure of Confidential Information and Trade Secrets</w:t>
      </w:r>
      <w:r>
        <w:rPr>
          <w:rFonts w:ascii="Arial" w:cs="Arial" w:eastAsia="Arial" w:hAnsi="Arial"/>
          <w:sz w:val="17"/>
          <w:szCs w:val="17"/>
          <w:color w:val="auto"/>
        </w:rPr>
        <w:t>. Employee further agrees to hold in a fiduciary capacity for the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All such Confidential Information and Trade Secrets, together with all copies thereof and notes and other references thereto, shall remain the sole property of the Company. This obligation of confidentiality is intended to supplement, and is not intended to supersede or limit, the obligations of confidentiality Employee has to the Company by agreement, law or otherwise.</w:t>
      </w:r>
    </w:p>
    <w:p>
      <w:pPr>
        <w:spacing w:after="0" w:line="178" w:lineRule="exact"/>
        <w:rPr>
          <w:rFonts w:ascii="Arial" w:cs="Arial" w:eastAsia="Arial" w:hAnsi="Arial"/>
          <w:sz w:val="17"/>
          <w:szCs w:val="17"/>
          <w:color w:val="auto"/>
        </w:rPr>
      </w:pPr>
    </w:p>
    <w:p>
      <w:pPr>
        <w:ind w:right="260" w:firstLine="8"/>
        <w:spacing w:after="0" w:line="258" w:lineRule="auto"/>
        <w:tabs>
          <w:tab w:leader="none" w:pos="65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Tolling</w:t>
      </w:r>
      <w:r>
        <w:rPr>
          <w:rFonts w:ascii="Arial" w:cs="Arial" w:eastAsia="Arial" w:hAnsi="Arial"/>
          <w:sz w:val="18"/>
          <w:szCs w:val="18"/>
          <w:color w:val="auto"/>
        </w:rPr>
        <w:t>. Employee further agrees that, while the duration of the covenants contained in this Section 5 will be determined generally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terms of each respective covenant, if Employee violates or threatens to violate any of those covenants, Employee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w:t>
      </w:r>
    </w:p>
    <w:p>
      <w:pPr>
        <w:sectPr>
          <w:pgSz w:w="11900" w:h="16911" w:orient="portrait"/>
          <w:cols w:equalWidth="0" w:num="1">
            <w:col w:w="11420"/>
          </w:cols>
          <w:pgMar w:left="240" w:top="125" w:right="239" w:bottom="0" w:gutter="0" w:footer="0" w:header="0"/>
        </w:sectPr>
      </w:pPr>
    </w:p>
    <w:bookmarkStart w:id="55" w:name="page56"/>
    <w:bookmarkEnd w:id="55"/>
    <w:p>
      <w:pPr>
        <w:spacing w:after="0" w:line="90" w:lineRule="exact"/>
        <w:rPr>
          <w:sz w:val="20"/>
          <w:szCs w:val="20"/>
          <w:color w:val="auto"/>
        </w:rPr>
      </w:pPr>
    </w:p>
    <w:p>
      <w:pPr>
        <w:ind w:firstLine="8"/>
        <w:spacing w:after="0" w:line="256"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In addition to (and without limitation of) the other terms and conditions of this Agreement, the failure of the Company to insist upon</w:t>
      </w:r>
      <w:r>
        <w:rPr>
          <w:rFonts w:ascii="Arial" w:cs="Arial" w:eastAsia="Arial" w:hAnsi="Arial"/>
          <w:sz w:val="18"/>
          <w:szCs w:val="18"/>
          <w:b w:val="1"/>
          <w:bCs w:val="1"/>
          <w:color w:val="auto"/>
        </w:rPr>
        <w:t xml:space="preserve"> </w:t>
      </w:r>
      <w:r>
        <w:rPr>
          <w:rFonts w:ascii="Arial" w:cs="Arial" w:eastAsia="Arial" w:hAnsi="Arial"/>
          <w:sz w:val="18"/>
          <w:szCs w:val="18"/>
          <w:color w:val="auto"/>
        </w:rPr>
        <w:t>strict performance of any provision of any agreement between the Company, on the one hand, and another employee, on the other hand, shall not be construed as a waiver of the Company’s right to insist upon strict performance of each and every representation, warranty, covenant, duty and obligation of Employee hereunder. In addition to (and without limitation of) the foregoing, the election of certain remedies by the Company with respect to the breach or default by another employee of any agreement between the Company, on the one hand, and such other employee, on the other hand, shall not be deemed to prejudice any rights or remedies that the Company may have at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equity, under contract (including without limitation this Agreement) or otherwise with respect to a similar or different breach or default hereunder by Employee (all of which are hereby expressly reserved).</w:t>
      </w:r>
    </w:p>
    <w:p>
      <w:pPr>
        <w:spacing w:after="0" w:line="1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Each of the covenants in this Section 5 shall be construed as separable and divisible from every other such covenant and the</w:t>
      </w:r>
    </w:p>
    <w:p>
      <w:pPr>
        <w:spacing w:after="0" w:line="38" w:lineRule="exact"/>
        <w:rPr>
          <w:rFonts w:ascii="Arial" w:cs="Arial" w:eastAsia="Arial" w:hAnsi="Arial"/>
          <w:sz w:val="17"/>
          <w:szCs w:val="17"/>
          <w:color w:val="auto"/>
        </w:rPr>
      </w:pPr>
    </w:p>
    <w:p>
      <w:pPr>
        <w:ind w:right="100"/>
        <w:spacing w:after="0" w:line="271" w:lineRule="auto"/>
        <w:rPr>
          <w:rFonts w:ascii="Arial" w:cs="Arial" w:eastAsia="Arial" w:hAnsi="Arial"/>
          <w:sz w:val="17"/>
          <w:szCs w:val="17"/>
          <w:color w:val="auto"/>
        </w:rPr>
      </w:pPr>
      <w:r>
        <w:rPr>
          <w:rFonts w:ascii="Arial" w:cs="Arial" w:eastAsia="Arial" w:hAnsi="Arial"/>
          <w:sz w:val="17"/>
          <w:szCs w:val="17"/>
          <w:color w:val="auto"/>
        </w:rPr>
        <w:t>enforceability of any one such covenant shall not limit the enforceability, in whole or in part, of any other such covenant. In the event that a court, arbitrator or other body of competent jurisdiction holds any covenant in this Section 5 to be invalid, illegal, void or less than fully enforceable as to time, scope or otherwise, the parties agree that such covenant shall be construed by limiting and reducing it to the minimum extent necessary to render such covenant valid, legal and enforceable while preserving the enforceability of such covenant to the greatest extent permissible against Employee; the remaining covenants of this Section 5 shall not be affected by such alteration, and shall remain in full force and effect.</w:t>
      </w:r>
    </w:p>
    <w:p>
      <w:pPr>
        <w:spacing w:after="0" w:line="17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Dispute Resolution; Arbitration</w:t>
      </w:r>
    </w:p>
    <w:p>
      <w:pPr>
        <w:spacing w:after="0" w:line="22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Employee and the Company agree that any claim, controversy and/or dispute between them, arising out of, relating to, or in connection with</w:t>
      </w:r>
    </w:p>
    <w:p>
      <w:pPr>
        <w:spacing w:after="0" w:line="35" w:lineRule="exact"/>
        <w:rPr>
          <w:sz w:val="20"/>
          <w:szCs w:val="20"/>
          <w:color w:val="auto"/>
        </w:rPr>
      </w:pPr>
    </w:p>
    <w:p>
      <w:pPr>
        <w:ind w:right="240" w:firstLine="8"/>
        <w:spacing w:after="0" w:line="273"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Employee’s application for employment, employment and/or termination of employment (collectively “Employment-Related Disputes”) and/or (2) this Agreement (“Units Disputes”), whenever and wherever brought, shall be resolved by arbitration. Employee agrees that this agreement to arbitrate is governed by the Federal Arbitration Act, 9 U.S.C. §§ 1 et seq., and is fully enforceable. For purposes of this Section 6, the Company shall be defined to include its direct and indirect subsidiaries, and the employees, shareholders, officers, and directors of all of the foregoing entities.</w:t>
      </w:r>
    </w:p>
    <w:p>
      <w:pPr>
        <w:spacing w:after="0" w:line="17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Employment-Related Disputes,</w:t>
      </w:r>
    </w:p>
    <w:p>
      <w:pPr>
        <w:spacing w:after="0" w:line="225" w:lineRule="exact"/>
        <w:rPr>
          <w:rFonts w:ascii="Arial" w:cs="Arial" w:eastAsia="Arial" w:hAnsi="Arial"/>
          <w:sz w:val="18"/>
          <w:szCs w:val="18"/>
          <w:color w:val="auto"/>
        </w:rPr>
      </w:pPr>
    </w:p>
    <w:p>
      <w:pPr>
        <w:ind w:left="1300" w:right="100" w:hanging="644"/>
        <w:spacing w:after="0" w:line="308" w:lineRule="auto"/>
        <w:tabs>
          <w:tab w:leader="none" w:pos="1321"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46" w:lineRule="exact"/>
        <w:rPr>
          <w:rFonts w:ascii="Arial" w:cs="Arial" w:eastAsia="Arial" w:hAnsi="Arial"/>
          <w:sz w:val="17"/>
          <w:szCs w:val="17"/>
          <w:color w:val="auto"/>
        </w:rPr>
      </w:pPr>
    </w:p>
    <w:p>
      <w:pPr>
        <w:ind w:left="1340" w:hanging="684"/>
        <w:spacing w:after="0"/>
        <w:tabs>
          <w:tab w:leader="none" w:pos="13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arbitration shall be governed by the substantive law of the State of Colorado, without giving effect to choice of law principles;</w:t>
      </w:r>
    </w:p>
    <w:p>
      <w:pPr>
        <w:spacing w:after="0" w:line="236" w:lineRule="exact"/>
        <w:rPr>
          <w:rFonts w:ascii="Arial" w:cs="Arial" w:eastAsia="Arial" w:hAnsi="Arial"/>
          <w:sz w:val="17"/>
          <w:szCs w:val="17"/>
          <w:color w:val="auto"/>
        </w:rPr>
      </w:pPr>
    </w:p>
    <w:p>
      <w:pPr>
        <w:ind w:left="1300" w:right="280" w:hanging="644"/>
        <w:spacing w:after="0" w:line="259"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single arbitrator engaged in the practice of employment law from the American Arbitration Association (“AAA”) shall conduct the arbitration of Employment-Related Disputes pursuant to the AAA’s Employment Arbitration Rules and Procedures of 2009, without incorporation of AAA’s Mediation Rules and Supplemental Rules for Class Arbitration, which the parties hereby expressly disclaim (the “Rules”), which may be found at http://www.adr.org;</w:t>
      </w:r>
    </w:p>
    <w:p>
      <w:pPr>
        <w:spacing w:after="0" w:line="186" w:lineRule="exact"/>
        <w:rPr>
          <w:rFonts w:ascii="Arial" w:cs="Arial" w:eastAsia="Arial" w:hAnsi="Arial"/>
          <w:sz w:val="18"/>
          <w:szCs w:val="18"/>
          <w:color w:val="auto"/>
        </w:rPr>
      </w:pPr>
    </w:p>
    <w:p>
      <w:pPr>
        <w:ind w:left="1300" w:right="360" w:hanging="644"/>
        <w:spacing w:after="0" w:line="277" w:lineRule="auto"/>
        <w:tabs>
          <w:tab w:leader="none" w:pos="13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arbitrator shall have the authority to hear and decide dispositive motions in the context of such arbitration, under the guidelines and legal standards set forth in C.R.C.P. 12 and 56;</w:t>
      </w:r>
    </w:p>
    <w:p>
      <w:pPr>
        <w:spacing w:after="0" w:line="170" w:lineRule="exact"/>
        <w:rPr>
          <w:rFonts w:ascii="Arial" w:cs="Arial" w:eastAsia="Arial" w:hAnsi="Arial"/>
          <w:sz w:val="18"/>
          <w:szCs w:val="18"/>
          <w:color w:val="auto"/>
        </w:rPr>
      </w:pPr>
    </w:p>
    <w:p>
      <w:pPr>
        <w:ind w:left="1300" w:hanging="644"/>
        <w:spacing w:after="0" w:line="277" w:lineRule="auto"/>
        <w:tabs>
          <w:tab w:leader="none" w:pos="13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regardless of what the Rules state, all arbitration proceedings, including without limitation hearings, discovery, settlements and awards shall be confidential and the arbitration and any hearings shall be held in the City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County of Denver, Colorado; and</w:t>
      </w:r>
    </w:p>
    <w:p>
      <w:pPr>
        <w:spacing w:after="0" w:line="225" w:lineRule="exact"/>
        <w:rPr>
          <w:sz w:val="20"/>
          <w:szCs w:val="20"/>
          <w:color w:val="auto"/>
        </w:rPr>
      </w:pPr>
    </w:p>
    <w:p>
      <w:pPr>
        <w:ind w:left="1300" w:right="40" w:hanging="644"/>
        <w:spacing w:after="0" w:line="277" w:lineRule="auto"/>
        <w:tabs>
          <w:tab w:leader="none" w:pos="13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arbitrator’s decision shall be final and binding, and judgment upon the arbitrator’s decision and/or award may be entered in any court of competent jurisdiction.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Units Disputes:</w:t>
      </w:r>
    </w:p>
    <w:p>
      <w:pPr>
        <w:spacing w:after="0" w:line="225" w:lineRule="exact"/>
        <w:rPr>
          <w:rFonts w:ascii="Arial" w:cs="Arial" w:eastAsia="Arial" w:hAnsi="Arial"/>
          <w:sz w:val="18"/>
          <w:szCs w:val="18"/>
          <w:color w:val="auto"/>
        </w:rPr>
      </w:pPr>
    </w:p>
    <w:p>
      <w:pPr>
        <w:ind w:left="1300" w:right="100" w:hanging="644"/>
        <w:spacing w:after="0" w:line="308" w:lineRule="auto"/>
        <w:tabs>
          <w:tab w:leader="none" w:pos="1321"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Company agrees to pay all of the arbitrator’s and arbitration fees and expenses until otherwise ordered by the arbitrator, except that the Company shall not be responsible for Employee’s legal fees and costs, unless awarded to Employee by the arbitrator;</w:t>
      </w:r>
    </w:p>
    <w:p>
      <w:pPr>
        <w:spacing w:after="0" w:line="146" w:lineRule="exact"/>
        <w:rPr>
          <w:rFonts w:ascii="Arial" w:cs="Arial" w:eastAsia="Arial" w:hAnsi="Arial"/>
          <w:sz w:val="17"/>
          <w:szCs w:val="17"/>
          <w:color w:val="auto"/>
        </w:rPr>
      </w:pPr>
    </w:p>
    <w:p>
      <w:pPr>
        <w:ind w:left="1340" w:hanging="684"/>
        <w:spacing w:after="0"/>
        <w:tabs>
          <w:tab w:leader="none" w:pos="13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arbitration shall be governed by the substantive law of the State of Colorado, without giving effect to choice of law principles;</w:t>
      </w:r>
    </w:p>
    <w:p>
      <w:pPr>
        <w:spacing w:after="0" w:line="236" w:lineRule="exact"/>
        <w:rPr>
          <w:rFonts w:ascii="Arial" w:cs="Arial" w:eastAsia="Arial" w:hAnsi="Arial"/>
          <w:sz w:val="17"/>
          <w:szCs w:val="17"/>
          <w:color w:val="auto"/>
        </w:rPr>
      </w:pPr>
    </w:p>
    <w:p>
      <w:pPr>
        <w:ind w:left="1300" w:right="80" w:hanging="644"/>
        <w:spacing w:after="0" w:line="264" w:lineRule="auto"/>
        <w:tabs>
          <w:tab w:leader="none" w:pos="1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single arbitrator engaged in the practice of commercial law from the AAA shall conduct the arbitration of Units Disputes under the then-current AAA Commercial Dispute Resolution Procedures (“Procedures”), without incorporation of the Rules, which may be found at http://www.adr.org;</w:t>
      </w:r>
    </w:p>
    <w:p>
      <w:pPr>
        <w:spacing w:after="0" w:line="181" w:lineRule="exact"/>
        <w:rPr>
          <w:rFonts w:ascii="Arial" w:cs="Arial" w:eastAsia="Arial" w:hAnsi="Arial"/>
          <w:sz w:val="18"/>
          <w:szCs w:val="18"/>
          <w:color w:val="auto"/>
        </w:rPr>
      </w:pPr>
    </w:p>
    <w:p>
      <w:pPr>
        <w:ind w:left="1300" w:right="360" w:hanging="644"/>
        <w:spacing w:after="0" w:line="277" w:lineRule="auto"/>
        <w:tabs>
          <w:tab w:leader="none" w:pos="13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arbitrator shall have the authority to hear and decide dispositive motions in the context of such arbitration, under the guidelines and legal standards set forth in C.R.C.P. 12 and 56;</w:t>
      </w:r>
    </w:p>
    <w:p>
      <w:pPr>
        <w:spacing w:after="0" w:line="170" w:lineRule="exact"/>
        <w:rPr>
          <w:rFonts w:ascii="Arial" w:cs="Arial" w:eastAsia="Arial" w:hAnsi="Arial"/>
          <w:sz w:val="18"/>
          <w:szCs w:val="18"/>
          <w:color w:val="auto"/>
        </w:rPr>
      </w:pPr>
    </w:p>
    <w:p>
      <w:pPr>
        <w:ind w:left="1300" w:hanging="644"/>
        <w:spacing w:after="0" w:line="277" w:lineRule="auto"/>
        <w:tabs>
          <w:tab w:leader="none" w:pos="13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regardless of what the Rules state, all arbitration proceedings, including without limitation hearings, discovery, settlements and awards shall be confidential and the arbitration and any hearings shall be held in the City and County of Denver, Colorado; and</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arbitrator’s decision shall be final and binding, and judgment upon the arbitrator’s decision and/or award may be entered in any court of competent jurisdiction.</w:t>
      </w:r>
    </w:p>
    <w:p>
      <w:pPr>
        <w:sectPr>
          <w:pgSz w:w="11900" w:h="16929" w:orient="portrait"/>
          <w:cols w:equalWidth="0" w:num="1">
            <w:col w:w="11400"/>
          </w:cols>
          <w:pgMar w:left="240" w:top="337" w:right="259" w:bottom="0" w:gutter="0" w:footer="0" w:header="0"/>
        </w:sectPr>
      </w:pPr>
    </w:p>
    <w:bookmarkStart w:id="56" w:name="page57"/>
    <w:bookmarkEnd w:id="56"/>
    <w:p>
      <w:pPr>
        <w:ind w:right="180" w:firstLine="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the foregoing, this agreement to arbitrate all Employment-Related Disputes and/or Units Disputes shall not apply to Employee claims for statutory unemployment compensation benefits, statutory worker’s compensation benefits, charges filed with the National Labor Relations Board alleging violations of the National Labor Relations Act, and claims for benefits from a Company-sponsored “employee benefit plan,” as that term is defined in 29 U.S.C. §1002(3).</w:t>
      </w:r>
    </w:p>
    <w:p>
      <w:pPr>
        <w:spacing w:after="0" w:line="186" w:lineRule="exact"/>
        <w:rPr>
          <w:rFonts w:ascii="Arial" w:cs="Arial" w:eastAsia="Arial" w:hAnsi="Arial"/>
          <w:sz w:val="18"/>
          <w:szCs w:val="18"/>
          <w:color w:val="auto"/>
        </w:rPr>
      </w:pPr>
    </w:p>
    <w:p>
      <w:pPr>
        <w:ind w:right="40" w:firstLine="8"/>
        <w:spacing w:after="0" w:line="255"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the foregoing, the Company shall have the right to seek any temporary restraining orders and/or preliminary and/or permanent injunctions in a court of competent jurisdiction based on the Company’s claims that Employee is violating the Company’s rights, and/or breaching Employee’s duties and/or obligations, under this Agreement or under any other agreement, at law or in equity regarding: (i) non-competition agreements or obligations; (ii) non-solicitation agreements or obligations; (iii) intellectual property, including without limitation copyrights, patent rights, trade secrets and/or know-how; and/or (iv) confidential information. Employee agrees that the state and federal courts located in the City and County of Denver, Colorado shall have exclusive subject matter and personal jurisdiction to hear and decide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such action, and that any such court action shall be governed by the substantive law of the State of Colorado, without giving effect to choice of law principles. Employee irrevocably waives, to the fullest extent permitted by law, any and all objections which he or she may now or hereafter have to the venue of any such proceeding brought in any such court, including, without limitation, any claim that such proceeding has been brought in an inconvenient forum.</w:t>
      </w:r>
    </w:p>
    <w:p>
      <w:pPr>
        <w:spacing w:after="0" w:line="147" w:lineRule="exact"/>
        <w:rPr>
          <w:sz w:val="20"/>
          <w:szCs w:val="20"/>
          <w:color w:val="auto"/>
        </w:rPr>
      </w:pPr>
    </w:p>
    <w:p>
      <w:pPr>
        <w:ind w:firstLine="8"/>
        <w:spacing w:after="0" w:line="291" w:lineRule="auto"/>
        <w:tabs>
          <w:tab w:leader="none" w:pos="65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prevailing party in any arbitration or court proceeding contemplated by this Section 6 shall be entitled to its, his, or her reasonable attorneys’ fees and to reimbursement of costs of arbitrator’s fees and reasonable arbitration expenses. Nothing in this Agreement shall require Employee to reimburse the Company for its attorneys’ fees and costs, including arbitration fees and costs, incurred when the Company prevails in defense of any statutory claim of unlawful discrimination, unless said claim brought by Employee is frivolous, unreasonable or without foundation, or Employee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attorneys’ fees and costs incurred in obtaining a stay and/or compelling arbitration.</w:t>
      </w:r>
    </w:p>
    <w:p>
      <w:pPr>
        <w:spacing w:after="0" w:line="167" w:lineRule="exact"/>
        <w:rPr>
          <w:rFonts w:ascii="Arial" w:cs="Arial" w:eastAsia="Arial" w:hAnsi="Arial"/>
          <w:sz w:val="16"/>
          <w:szCs w:val="16"/>
          <w:color w:val="auto"/>
        </w:rPr>
      </w:pPr>
    </w:p>
    <w:p>
      <w:pPr>
        <w:ind w:right="60" w:firstLine="8"/>
        <w:spacing w:after="0" w:line="255"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provisions of this Section 6 shall be construed as separable and divisible from every other such provision and the enforceability of any one such provision shall not limit the enforceability, in whole or in part, of any other such provision. In the event that a court, arbitrator or other body of competent jurisdiction holds any provision of this Section 6 to be invalid, illegal, void or less than fully enforceable as to time, scope or otherwise, the parties agree that such provision shall be construed by limiting and reducing it to the minimum extent necessary to render such provision valid, legal and enforceable while preserving the enforceability of such provision to the greatest extent permissible; the remaining provisions of this Section 6 shall not be affected by such alteration, and shall remain in full force and effect.</w:t>
      </w:r>
    </w:p>
    <w:p>
      <w:pPr>
        <w:spacing w:after="0" w:line="193" w:lineRule="exact"/>
        <w:rPr>
          <w:rFonts w:ascii="Arial" w:cs="Arial" w:eastAsia="Arial" w:hAnsi="Arial"/>
          <w:sz w:val="18"/>
          <w:szCs w:val="18"/>
          <w:color w:val="auto"/>
        </w:rPr>
      </w:pPr>
    </w:p>
    <w:p>
      <w:pPr>
        <w:ind w:right="280" w:firstLine="8"/>
        <w:spacing w:after="0" w:line="302"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supersedes and renders void any prior agreement(s) to arbitrate between Employee and the Company with respect to the subject matter of this agreement to arbitrate, and there are no agreements, verbal or written or otherwise, between the parties hereto regarding arbitration of Employment-Related Disputes or Units Disputes other than as expressly set forth in this Agreement. In the event of any conflict or inconsistency between any AAA rules and/or procedures and the terms and conditions of this Agreement, the terms and conditions of this Agreement shall control.</w:t>
      </w:r>
    </w:p>
    <w:p>
      <w:pPr>
        <w:spacing w:after="0" w:line="154" w:lineRule="exact"/>
        <w:rPr>
          <w:rFonts w:ascii="Arial" w:cs="Arial" w:eastAsia="Arial" w:hAnsi="Arial"/>
          <w:sz w:val="16"/>
          <w:szCs w:val="16"/>
          <w:color w:val="auto"/>
        </w:rPr>
      </w:pPr>
    </w:p>
    <w:p>
      <w:pPr>
        <w:jc w:val="both"/>
        <w:ind w:right="60" w:firstLine="8"/>
        <w:spacing w:after="0" w:line="286" w:lineRule="auto"/>
        <w:tabs>
          <w:tab w:leader="none" w:pos="6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RIGHT TO A TRIAL, TO A TRIAL BY JURY, AND TO COMMON LAW CLAIMS FOR PUNITIVE AND/OR EXEMPLARY DAMAGES ARE OF VALUE AND ARE WAIVED PURSUANT TO THIS AGREEMENT. Other than potential rights to a trial, a jury trial, and common law claims for punitive and/or exemplary damages, nothing in this agreement to arbitrate limits any statutory remedy to which Employee may be entitled under law.</w:t>
      </w:r>
    </w:p>
    <w:p>
      <w:pPr>
        <w:spacing w:after="0" w:line="165" w:lineRule="exact"/>
        <w:rPr>
          <w:rFonts w:ascii="Arial" w:cs="Arial" w:eastAsia="Arial" w:hAnsi="Arial"/>
          <w:sz w:val="17"/>
          <w:szCs w:val="17"/>
          <w:color w:val="auto"/>
        </w:rPr>
      </w:pPr>
    </w:p>
    <w:p>
      <w:pPr>
        <w:ind w:right="360" w:firstLine="8"/>
        <w:spacing w:after="0" w:line="279" w:lineRule="auto"/>
        <w:tabs>
          <w:tab w:leader="none" w:pos="6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parties acknowledge that this agreement to arbitrate shall not alter the at-will nature of their employment relationship MEANING THAT EMPLOYEE MAY TERMINATE EMPLOYEE’S EMPLOYMENT WITH THE COMPANY AND ITS DIRECT AND INDIRECT SUBSIDIARIES AT ANY TIME WITH OR WITHOUT CAUSE, AND WITH OR WITHOUT NOTICE, AND THE COMPANY AND ITS DIRECT AND INDIRECT SUBSIDIARIES RESERVE THE SAME RIGHTS TO TERMINATE EMPLOYEE’S EMPLOYMENT AND/OR DEMOTE EMPLOYEE.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ind w:right="20" w:firstLine="8"/>
        <w:spacing w:after="0" w:line="314" w:lineRule="auto"/>
        <w:tabs>
          <w:tab w:leader="none" w:pos="645"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Units Subject to the Plan</w:t>
      </w:r>
      <w:r>
        <w:rPr>
          <w:rFonts w:ascii="Arial" w:cs="Arial" w:eastAsia="Arial" w:hAnsi="Arial"/>
          <w:sz w:val="16"/>
          <w:szCs w:val="16"/>
          <w:color w:val="auto"/>
        </w:rPr>
        <w:t>. The Units are issued pursuant to the Plan and are subject to its terms and conditions. The terms and conditions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42" w:lineRule="exact"/>
        <w:rPr>
          <w:rFonts w:ascii="Arial" w:cs="Arial" w:eastAsia="Arial" w:hAnsi="Arial"/>
          <w:sz w:val="16"/>
          <w:szCs w:val="16"/>
          <w:color w:val="auto"/>
        </w:rPr>
      </w:pPr>
    </w:p>
    <w:p>
      <w:pPr>
        <w:ind w:right="60" w:firstLine="8"/>
        <w:spacing w:after="0" w:line="298"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No Right to Continued Employment; No Rights as Shareholder</w:t>
      </w:r>
      <w:r>
        <w:rPr>
          <w:rFonts w:ascii="Arial" w:cs="Arial" w:eastAsia="Arial" w:hAnsi="Arial"/>
          <w:sz w:val="16"/>
          <w:szCs w:val="16"/>
          <w:color w:val="auto"/>
        </w:rPr>
        <w:t>. This Agreement shall not confer upon Employee any right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employment with the Company or any of its direct or indirect subsidiaries, nor will it interfere in any way with the right of the Company and its direct and indirect subsidiaries to terminate such employment or to demote Employee for any reason or no reason at any time and from time to time. Employee shall have none of the rights of a shareholder with respect to Common Shares subject to the Units unless and until such Common Shares shall have been issued to Employee in accordance with this Agreement and the Plan (as evidenced by the records of the transfer agent of the Company).</w:t>
      </w:r>
    </w:p>
    <w:p>
      <w:pPr>
        <w:spacing w:after="0" w:line="154" w:lineRule="exact"/>
        <w:rPr>
          <w:rFonts w:ascii="Arial" w:cs="Arial" w:eastAsia="Arial" w:hAnsi="Arial"/>
          <w:sz w:val="16"/>
          <w:szCs w:val="16"/>
          <w:color w:val="auto"/>
        </w:rPr>
      </w:pPr>
    </w:p>
    <w:p>
      <w:pPr>
        <w:ind w:right="60" w:firstLine="8"/>
        <w:spacing w:after="0" w:line="273" w:lineRule="auto"/>
        <w:tabs>
          <w:tab w:leader="none" w:pos="659"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Changes in Capital Structure</w:t>
      </w:r>
      <w:r>
        <w:rPr>
          <w:rFonts w:ascii="Arial" w:cs="Arial" w:eastAsia="Arial" w:hAnsi="Arial"/>
          <w:sz w:val="17"/>
          <w:szCs w:val="17"/>
          <w:color w:val="auto"/>
        </w:rPr>
        <w:t>. If there shall be any change in the Common Shares of the Company through merger, consolidation, reorganization,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dividend in the form of stock (of whatever amount), stock split or other change in the corporate structure of the Company, , then appropriate adjustments may be made by the Company, as determined in the sole and absolute discretion of the Committee for any reason or no reason at any time and from time to time, to all or any portion of the Units that have not yet vested and been exchanged for Common Shares or have not been terminated or expired, in order to prevent dilution or enlargement of Employee’s rights under the Units. Such adjustments may include, where appropriate, changes in the number of shares of Common Shares subject to the outstanding Units. Notwithstanding the foregoing, no action that would modify the treatment of the Units under the Code shall be effective unless agreed to in writing by the Company and Employee.</w:t>
      </w:r>
    </w:p>
    <w:p>
      <w:pPr>
        <w:spacing w:after="0" w:line="172" w:lineRule="exact"/>
        <w:rPr>
          <w:rFonts w:ascii="Arial" w:cs="Arial" w:eastAsia="Arial" w:hAnsi="Arial"/>
          <w:sz w:val="17"/>
          <w:szCs w:val="17"/>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Assigns and Successors</w:t>
      </w:r>
      <w:r>
        <w:rPr>
          <w:rFonts w:ascii="Arial" w:cs="Arial" w:eastAsia="Arial" w:hAnsi="Arial"/>
          <w:sz w:val="18"/>
          <w:szCs w:val="18"/>
          <w:color w:val="auto"/>
        </w:rPr>
        <w:t>. This Agreement shall inure to the benefit of the Company’s assigns and successors.</w:t>
      </w:r>
    </w:p>
    <w:p>
      <w:pPr>
        <w:sectPr>
          <w:pgSz w:w="11900" w:h="16838" w:orient="portrait"/>
          <w:cols w:equalWidth="0" w:num="1">
            <w:col w:w="11420"/>
          </w:cols>
          <w:pgMar w:left="240" w:top="341" w:right="239" w:bottom="0" w:gutter="0" w:footer="0" w:header="0"/>
        </w:sectPr>
      </w:pPr>
    </w:p>
    <w:bookmarkStart w:id="57" w:name="page58"/>
    <w:bookmarkEnd w:id="57"/>
    <w:p>
      <w:pPr>
        <w:ind w:right="40" w:firstLine="8"/>
        <w:spacing w:after="0" w:line="291" w:lineRule="auto"/>
        <w:tabs>
          <w:tab w:leader="none" w:pos="659"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Compliance with Law; Legal Requirements</w:t>
      </w:r>
      <w:r>
        <w:rPr>
          <w:rFonts w:ascii="Arial" w:cs="Arial" w:eastAsia="Arial" w:hAnsi="Arial"/>
          <w:sz w:val="16"/>
          <w:szCs w:val="16"/>
          <w:color w:val="auto"/>
        </w:rPr>
        <w:t>. The Company shall at all times during the term of the Units reserve and keep available such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Shares as will be sufficient to satisfy the requirements of this Agreement. The vesting of the Units and the issuance of any Common Shares in exchange for the Units shall only be effective at such time that the issuance and sale of Common Shares prior or pursuant to such vesting will not violate any state or federal securities or other laws. The Company may suspend Employee’s right to vesting of the Units and the issuance of any Common Shares in exchange for the Units and shall not issue the Common Shares in exchange for the Units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or until there has been compliance with the provisions of such acts, laws and rules.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Company in its sole and absolute discretion so elects, it may register the Common Shares issuable upon the vesting of the Units under the Securities Act, and list the Common Shares on any securities exchange. In the absence of such election, Employee understands that neither the Units nor the Common Shares issuable upon the vesting of the Units thereof will be registered under the Securities Act, or tradeable on any securities exchange, and Employee represents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Units are being acquired, and that such Common Shares which will be acquired pursuant to the Units will be acquired, by Employee for investment and not with a view to distribution thereof.</w:t>
      </w:r>
    </w:p>
    <w:p>
      <w:pPr>
        <w:spacing w:after="0" w:line="170" w:lineRule="exact"/>
        <w:rPr>
          <w:sz w:val="20"/>
          <w:szCs w:val="20"/>
          <w:color w:val="auto"/>
        </w:rPr>
      </w:pPr>
    </w:p>
    <w:p>
      <w:pPr>
        <w:ind w:right="120" w:firstLine="14"/>
        <w:spacing w:after="0" w:line="264" w:lineRule="auto"/>
        <w:rPr>
          <w:sz w:val="20"/>
          <w:szCs w:val="20"/>
          <w:color w:val="auto"/>
        </w:rPr>
      </w:pPr>
      <w:r>
        <w:rPr>
          <w:rFonts w:ascii="Arial" w:cs="Arial" w:eastAsia="Arial" w:hAnsi="Arial"/>
          <w:sz w:val="18"/>
          <w:szCs w:val="18"/>
          <w:color w:val="auto"/>
        </w:rPr>
        <w:t>In the absence of an effective Registration Statement meeting the requirements of the Securities Act, upon any sale or transfer of the Common Shares issued pursuant to the Units, Employee shall deliver to the Company an opinion of counsel satisfactory to the Company to the effect that the sale or transfer of the Common Shares does not violate any provision of the Securities Act or the Exchange Act.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if, in the judgment of the Company, such restrictions are necessary or desirable in order to achieve compliance with the Securities Act, the Exchange Act, the securities laws of any state or any other law.</w:t>
      </w:r>
    </w:p>
    <w:p>
      <w:pPr>
        <w:spacing w:after="0" w:line="169" w:lineRule="exact"/>
        <w:rPr>
          <w:sz w:val="20"/>
          <w:szCs w:val="20"/>
          <w:color w:val="auto"/>
        </w:rPr>
      </w:pPr>
    </w:p>
    <w:p>
      <w:pPr>
        <w:ind w:firstLine="8"/>
        <w:spacing w:after="0" w:line="272" w:lineRule="auto"/>
        <w:tabs>
          <w:tab w:leader="none" w:pos="653"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Notice of Disposal of Common Shares; Withholding</w:t>
      </w:r>
      <w:r>
        <w:rPr>
          <w:rFonts w:ascii="Arial" w:cs="Arial" w:eastAsia="Arial" w:hAnsi="Arial"/>
          <w:sz w:val="17"/>
          <w:szCs w:val="17"/>
          <w:color w:val="auto"/>
        </w:rPr>
        <w:t>. If Employee shall dispose of any of the Common Shares of the Company acquired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pursuant to the Units within two (2) years from the date the Units were granted or within one (1) year after the transfer of any such shares to Employee upon the vesting of the Units, then, in order to provide the Company with the opportunity to claim the benefit of any income tax deduction (if any) which may be available to it under the circumstances, Employee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Employee.</w:t>
      </w:r>
    </w:p>
    <w:p>
      <w:pPr>
        <w:spacing w:after="0" w:line="172" w:lineRule="exact"/>
        <w:rPr>
          <w:rFonts w:ascii="Arial" w:cs="Arial" w:eastAsia="Arial" w:hAnsi="Arial"/>
          <w:sz w:val="17"/>
          <w:szCs w:val="17"/>
          <w:color w:val="auto"/>
        </w:rPr>
      </w:pPr>
    </w:p>
    <w:p>
      <w:pPr>
        <w:ind w:right="160" w:firstLine="8"/>
        <w:spacing w:after="0" w:line="314" w:lineRule="auto"/>
        <w:tabs>
          <w:tab w:leader="none" w:pos="669"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No Rights as Shareholder; Confidential Treatment of Units</w:t>
      </w:r>
      <w:r>
        <w:rPr>
          <w:rFonts w:ascii="Arial" w:cs="Arial" w:eastAsia="Arial" w:hAnsi="Arial"/>
          <w:sz w:val="16"/>
          <w:szCs w:val="16"/>
          <w:color w:val="auto"/>
        </w:rPr>
        <w:t>. The holder of the Units will not have any right to dividends or any other right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with respect to the Common Shares subject to the Units unless and until such Common Shares shall have been issued to Employee, upon the vesting of the Units and in accordance with this Agreement and the Plan (as evidenced by the records of the transfer agent of the Company).</w:t>
      </w:r>
    </w:p>
    <w:p>
      <w:pPr>
        <w:spacing w:after="0" w:line="142" w:lineRule="exact"/>
        <w:rPr>
          <w:rFonts w:ascii="Arial" w:cs="Arial" w:eastAsia="Arial" w:hAnsi="Arial"/>
          <w:sz w:val="16"/>
          <w:szCs w:val="16"/>
          <w:color w:val="auto"/>
        </w:rPr>
      </w:pPr>
    </w:p>
    <w:p>
      <w:pPr>
        <w:ind w:right="80" w:firstLine="8"/>
        <w:spacing w:after="0" w:line="28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Employee agrees to treat with confidentiality the existence, terms and conditions of the Units, and agrees that failure to do so may</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immediate termination of the Units.</w:t>
      </w:r>
    </w:p>
    <w:p>
      <w:pPr>
        <w:spacing w:after="0" w:line="161" w:lineRule="exact"/>
        <w:rPr>
          <w:rFonts w:ascii="Arial" w:cs="Arial" w:eastAsia="Arial" w:hAnsi="Arial"/>
          <w:sz w:val="18"/>
          <w:szCs w:val="18"/>
          <w:color w:val="auto"/>
        </w:rPr>
      </w:pPr>
    </w:p>
    <w:p>
      <w:pPr>
        <w:ind w:right="40" w:firstLine="8"/>
        <w:spacing w:after="0" w:line="266" w:lineRule="auto"/>
        <w:tabs>
          <w:tab w:leader="none" w:pos="67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Obligations Unaffected</w:t>
      </w:r>
      <w:r>
        <w:rPr>
          <w:rFonts w:ascii="Arial" w:cs="Arial" w:eastAsia="Arial" w:hAnsi="Arial"/>
          <w:sz w:val="18"/>
          <w:szCs w:val="18"/>
          <w:color w:val="auto"/>
        </w:rPr>
        <w:t>. Except as expressly set forth to the contrary in Sections 6(e) and 6(h) of this Agreement, the obligations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shall be independent of, and unaffected by, and shall not affect, other agreements, if any, binding Employee which apply to Employee’s business activities during and/or subsequent to Employee’s employment by the Company.</w:t>
      </w:r>
    </w:p>
    <w:p>
      <w:pPr>
        <w:spacing w:after="0" w:line="176" w:lineRule="exact"/>
        <w:rPr>
          <w:rFonts w:ascii="Arial" w:cs="Arial" w:eastAsia="Arial" w:hAnsi="Arial"/>
          <w:sz w:val="18"/>
          <w:szCs w:val="18"/>
          <w:color w:val="auto"/>
        </w:rPr>
      </w:pPr>
    </w:p>
    <w:p>
      <w:pPr>
        <w:ind w:right="220" w:firstLine="8"/>
        <w:spacing w:after="0" w:line="282" w:lineRule="auto"/>
        <w:tabs>
          <w:tab w:leader="none" w:pos="656"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Any provision of this Agreement which logically would be expected to survive termination or expiration, shall survive for a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under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circumstances, whether or not specifically provided in this Agreement. Except as set forth to the contrary in Sections 3(d) and 5(b)(iv) of this Agreement, the obligations under this Agreement also shall survive any changes made in the future to the employment terms and conditions of Employee, including without limitation changes in salary, benefits, bonus plans, job title and job responsibilities.</w:t>
      </w:r>
    </w:p>
    <w:p>
      <w:pPr>
        <w:spacing w:after="0" w:line="177" w:lineRule="exact"/>
        <w:rPr>
          <w:sz w:val="20"/>
          <w:szCs w:val="20"/>
          <w:color w:val="auto"/>
        </w:rPr>
      </w:pPr>
    </w:p>
    <w:p>
      <w:pPr>
        <w:ind w:right="180" w:firstLine="8"/>
        <w:spacing w:after="0" w:line="298" w:lineRule="auto"/>
        <w:tabs>
          <w:tab w:leader="none" w:pos="655"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Complete Agreement; No Waiver</w:t>
      </w:r>
      <w:r>
        <w:rPr>
          <w:rFonts w:ascii="Arial" w:cs="Arial" w:eastAsia="Arial" w:hAnsi="Arial"/>
          <w:sz w:val="16"/>
          <w:szCs w:val="16"/>
          <w:color w:val="auto"/>
        </w:rPr>
        <w:t>. This Agreement sets forth the entire, final and complete understanding between the parties hereto relevant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subject matter of this Agreement, and it supersedes and replaces all previous understandings or agreements, written, oral, or implied, relevant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54" w:lineRule="exact"/>
        <w:rPr>
          <w:rFonts w:ascii="Arial" w:cs="Arial" w:eastAsia="Arial" w:hAnsi="Arial"/>
          <w:sz w:val="16"/>
          <w:szCs w:val="16"/>
          <w:color w:val="auto"/>
        </w:rPr>
      </w:pPr>
    </w:p>
    <w:p>
      <w:pPr>
        <w:ind w:right="80" w:firstLine="8"/>
        <w:spacing w:after="0" w:line="274" w:lineRule="auto"/>
        <w:tabs>
          <w:tab w:leader="none" w:pos="67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Each provision of this Agreement shall be construed as separable and divisible from every other provision and the enforceability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one provision shall not limit the enforceability, in whole or in part, of any other provision. Except as otherwise set forth in Section 5(f) of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w:t>
      </w:r>
    </w:p>
    <w:p>
      <w:pPr>
        <w:sectPr>
          <w:pgSz w:w="11900" w:h="16838" w:orient="portrait"/>
          <w:cols w:equalWidth="0" w:num="1">
            <w:col w:w="11400"/>
          </w:cols>
          <w:pgMar w:left="240" w:top="121" w:right="259" w:bottom="0" w:gutter="0" w:footer="0" w:header="0"/>
        </w:sectPr>
      </w:pPr>
    </w:p>
    <w:bookmarkStart w:id="58" w:name="page59"/>
    <w:bookmarkEnd w:id="58"/>
    <w:p>
      <w:pPr>
        <w:ind w:right="60" w:firstLine="8"/>
        <w:spacing w:after="0" w:line="281" w:lineRule="auto"/>
        <w:tabs>
          <w:tab w:leader="none" w:pos="651"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Summary Information</w:t>
      </w:r>
      <w:r>
        <w:rPr>
          <w:rFonts w:ascii="Arial" w:cs="Arial" w:eastAsia="Arial" w:hAnsi="Arial"/>
          <w:sz w:val="17"/>
          <w:szCs w:val="17"/>
          <w:color w:val="auto"/>
        </w:rPr>
        <w:t>. In the event that the Company provides Employee (or anyone acting on behalf of Employee) with summary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concerning, including, or otherwise relating to Employee’s rights or benefits under this Agreement (including without limitation the Units, and any vesting thereof), such summary or other information shall in all cases be qualified in its entirety by this Agreement and the Plan, unless it explicitly states otherwise and is signed by an officer of the Company, shall not constitute an amendment or other modification hereto.</w:t>
      </w:r>
    </w:p>
    <w:p>
      <w:pPr>
        <w:spacing w:after="0" w:line="164" w:lineRule="exact"/>
        <w:rPr>
          <w:rFonts w:ascii="Arial" w:cs="Arial" w:eastAsia="Arial" w:hAnsi="Arial"/>
          <w:sz w:val="17"/>
          <w:szCs w:val="17"/>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Employee Acknowledgements</w:t>
      </w:r>
    </w:p>
    <w:p>
      <w:pPr>
        <w:spacing w:after="0" w:line="229" w:lineRule="exact"/>
        <w:rPr>
          <w:rFonts w:ascii="Arial" w:cs="Arial" w:eastAsia="Arial" w:hAnsi="Arial"/>
          <w:sz w:val="18"/>
          <w:szCs w:val="18"/>
          <w:color w:val="auto"/>
        </w:rPr>
      </w:pPr>
    </w:p>
    <w:p>
      <w:pPr>
        <w:ind w:left="1300" w:right="120" w:hanging="644"/>
        <w:spacing w:after="0" w:line="277" w:lineRule="auto"/>
        <w:tabs>
          <w:tab w:leader="none" w:pos="132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Employee understands, acknowledges, agrees and hereby stipulates that he or she is executing this Agreement voluntarily and without any duress or undue influence by the Company or anyone else.</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Employee understands, acknowledges, agrees and hereby stipulates that he or she has carefully read, considered and understands all of the provisions of this Agreement and the Company’s policies reflected in this Agreement.</w:t>
      </w:r>
    </w:p>
    <w:p>
      <w:pPr>
        <w:spacing w:after="0" w:line="170" w:lineRule="exact"/>
        <w:rPr>
          <w:rFonts w:ascii="Arial" w:cs="Arial" w:eastAsia="Arial" w:hAnsi="Arial"/>
          <w:sz w:val="18"/>
          <w:szCs w:val="18"/>
          <w:color w:val="auto"/>
        </w:rPr>
      </w:pPr>
    </w:p>
    <w:p>
      <w:pPr>
        <w:ind w:left="1300" w:right="120" w:hanging="644"/>
        <w:spacing w:after="0" w:line="264"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Employee understands, acknowledges, agrees and hereby stipulates that he or she has asked any questions needed for him or her to understand the terms, consequences and binding effect of this Agreement and Employee fully understands them, including that he or she is waiving the right to a trial, a trial by jury, and common law claims for punitive and/or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exemplary damages.</w:t>
      </w:r>
    </w:p>
    <w:p>
      <w:pPr>
        <w:spacing w:after="0" w:line="225" w:lineRule="exact"/>
        <w:rPr>
          <w:sz w:val="20"/>
          <w:szCs w:val="20"/>
          <w:color w:val="auto"/>
        </w:rPr>
      </w:pPr>
    </w:p>
    <w:p>
      <w:pPr>
        <w:ind w:left="1300" w:right="380" w:hanging="644"/>
        <w:spacing w:after="0" w:line="277" w:lineRule="auto"/>
        <w:tabs>
          <w:tab w:leader="none" w:pos="13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understands, acknowledges, agrees and hereby stipulates that he or she was provided an opportunity to seek the advice of an attorney of his or her choice before signing this Agreement.</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Employee understands, acknowledges, agrees and hereby stipulates that the obligations and restrictions set forth in this Agreement are consistent with Employee’s right to sell his or her labor, the public’s interest in unimpeded trade, are fair and reasonable, and are no broader than are reasonably required to protect the Company’s interests.</w:t>
      </w:r>
    </w:p>
    <w:p>
      <w:pPr>
        <w:spacing w:after="0" w:line="181" w:lineRule="exact"/>
        <w:rPr>
          <w:rFonts w:ascii="Arial" w:cs="Arial" w:eastAsia="Arial" w:hAnsi="Arial"/>
          <w:sz w:val="18"/>
          <w:szCs w:val="18"/>
          <w:color w:val="auto"/>
        </w:rPr>
      </w:pPr>
    </w:p>
    <w:p>
      <w:pPr>
        <w:ind w:left="1300" w:right="20" w:hanging="644"/>
        <w:spacing w:after="0" w:line="268" w:lineRule="auto"/>
        <w:tabs>
          <w:tab w:leader="none" w:pos="1317" w:val="left"/>
        </w:tabs>
        <w:numPr>
          <w:ilvl w:val="1"/>
          <w:numId w:val="50"/>
        </w:numPr>
        <w:rPr>
          <w:rFonts w:ascii="Arial" w:cs="Arial" w:eastAsia="Arial" w:hAnsi="Arial"/>
          <w:sz w:val="17"/>
          <w:szCs w:val="17"/>
          <w:color w:val="auto"/>
        </w:rPr>
      </w:pPr>
      <w:r>
        <w:rPr>
          <w:rFonts w:ascii="Arial" w:cs="Arial" w:eastAsia="Arial" w:hAnsi="Arial"/>
          <w:sz w:val="17"/>
          <w:szCs w:val="17"/>
          <w:color w:val="auto"/>
        </w:rPr>
        <w:t>Employee understands, acknowledges, agrees and hereby stipulates that it is the Company’s policy to seek legal recourse to the fullest extent possible for breach of this Agreement. Employee understands that nothing in this Agreement shall be construed to prohibit the Company from pursuing any other available remedies for such breach or threatened breach, including the recovery of damages from Employee. Employee further agrees that, if he or she violates or threatens to violate this Agreement, it would be difficult to determine the damages and lost profits which the Company would suffer as a result of such breach including, but not limited to, losses attributable to lost or misappropriated Confidential Information and Trade Secrets and losses stemming from violations of the non-disclosure, non-compete and non-solicitation obligations set forth above. Accordingly, Employee agrees that if he or she violates or threatens to violate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Employee take action or refrain from taking action to avoid competing with the Company, to avoid soliciting the Company’s employees or customers, to preserve the secrecy of Confidential Information and Trade Secrets, to avoid conflicts of interest and to protect the Company from irreparable harm. Employee expressly agrees that the Company does not need to post a bond to obtain an injunction and Employee waives the right to require such a bond.</w:t>
      </w:r>
    </w:p>
    <w:p>
      <w:pPr>
        <w:spacing w:after="0" w:line="183" w:lineRule="exact"/>
        <w:rPr>
          <w:rFonts w:ascii="Arial" w:cs="Arial" w:eastAsia="Arial" w:hAnsi="Arial"/>
          <w:sz w:val="17"/>
          <w:szCs w:val="17"/>
          <w:color w:val="auto"/>
        </w:rPr>
      </w:pPr>
    </w:p>
    <w:p>
      <w:pPr>
        <w:ind w:right="100" w:firstLine="8"/>
        <w:spacing w:after="0" w:line="303"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All notices to the Company shall be addressed to: EchoStar Corporation, 100 Inverness Terrace East, Englewood, Colorado, 80112, Attn: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or to such other address or person as the Company may notify Employee from time to time. All notices to Employee or other person or persons then entitled to the Common Shares relating to the Units shall be addressed to Employee or such other person(s) at Employee’s address on file with the Company, or to such other address as Employee or such person(s) may notify the Company or its administrator for the Units in writing from time to time.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4"/>
        <w:spacing w:after="0" w:line="277" w:lineRule="auto"/>
        <w:rPr>
          <w:sz w:val="20"/>
          <w:szCs w:val="20"/>
          <w:color w:val="auto"/>
        </w:rPr>
      </w:pPr>
      <w:r>
        <w:rPr>
          <w:rFonts w:ascii="Arial" w:cs="Arial" w:eastAsia="Arial" w:hAnsi="Arial"/>
          <w:sz w:val="18"/>
          <w:szCs w:val="18"/>
          <w:color w:val="auto"/>
        </w:rPr>
        <w:t>Upon Employee’s acceptance of the terms and conditions set forth in this Agreement through the electronic grant process available through the Administrator, this Agreement shall become effective between the parties as of the date first written above.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ECHOSTAR CORPORATION</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EMPLOYEE — [Participant Name]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Accepted on [Acceptance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2008 STOCK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Beneficiary Designation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2008 Stock Incentive Plan provides that although common shares issuable upon vesting of a restricted stock unit are able to be issued during Employee’s lifetime only to him or her, common shares issuable upon vesting of a restricted stock unit may be issued after the death of any Employee (if the restricted stock unit was vested and not otherwise terminated prior to such death) to the person whom Employee shall have designated as beneficiary or, if no designation has been made, to the person to whom Employee’s rights shall have passed by will or the laws of descent and distribution. (Note: A restricted stock unit is not otherwise assignable or transferable.)</w:t>
      </w:r>
    </w:p>
    <w:p>
      <w:pPr>
        <w:sectPr>
          <w:pgSz w:w="11900" w:h="16838" w:orient="portrait"/>
          <w:cols w:equalWidth="0" w:num="1">
            <w:col w:w="11420"/>
          </w:cols>
          <w:pgMar w:left="240" w:top="121" w:right="239" w:bottom="0" w:gutter="0" w:footer="0" w:header="0"/>
        </w:sectPr>
      </w:pPr>
    </w:p>
    <w:bookmarkStart w:id="59" w:name="page60"/>
    <w:bookmarkEnd w:id="59"/>
    <w:p>
      <w:pPr>
        <w:ind w:right="100"/>
        <w:spacing w:after="0" w:line="259" w:lineRule="auto"/>
        <w:rPr>
          <w:sz w:val="20"/>
          <w:szCs w:val="20"/>
          <w:color w:val="auto"/>
        </w:rPr>
      </w:pPr>
      <w:r>
        <w:rPr>
          <w:rFonts w:ascii="Arial" w:cs="Arial" w:eastAsia="Arial" w:hAnsi="Arial"/>
          <w:sz w:val="18"/>
          <w:szCs w:val="18"/>
          <w:color w:val="auto"/>
        </w:rPr>
        <w:t>The right to designate beneficiaries could provide certain advantages including avoidance of probate (and attendant costs) with respect to receipt of Common Shares issued in exchange for the Units. Since the individual circumstances of each Employee differ, however, and since the Company cannot warrant the validity or effect of such a designation of beneficiary, it is recommended that you consult your personal tax or other advisor(s) before making any decision, particularly if you propose to designate a trust as beneficiary.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more than one beneficiary is named, the beneficiaries shall share equally in the rights unless otherwise stated above. Please designate a beneficiary or beneficiaries by following the procedures specified by the Administrator, as such Administrator and procedures are designated by the Company in its sole and absolute discretion for any reason or no reason at any time and from time to time. Please note that your decision thereon will apply only to the Units evidenced by the accompanying Restricted Stock Unit Agreement and only until you receive the Common Shares issuable upon vesting of such Units. It does not apply to any future grants of Units since a separate election is made with respect to each grant of Units that may be granted. If you wish to change a beneficiary for any grant of Units, please contact the Administrator.</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Unless otherwise expressly provided, if any designated beneficiary predeceases Employee, any rights shall pass equally to the remaining designated beneficiary(ies), if any, who survive Employee, but if no designated beneficiary survives Employee, any rights shall pass to Employee’s estate. The designation herein is subject to all the terms and conditions of the Plan and all applicable laws, rules and regulations. In addition, the Company may require an indemnity and/or other assurances from the beneficiary(ies) or successor(s) in connection with the exercise of any rights by such beneficiary(ies) or successor(s) under the Units.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Capitalized terms not otherwise defined in this Explanation of Beneficiary Designation shall have the meaning given to such terms in the accompanying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5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5120" w:type="dxa"/>
            <w:vAlign w:val="bottom"/>
          </w:tcPr>
          <w:p>
            <w:pPr>
              <w:spacing w:after="0"/>
              <w:rPr>
                <w:sz w:val="20"/>
                <w:szCs w:val="20"/>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c>
          <w:tcPr>
            <w:tcW w:w="512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President and Director</w:t>
            </w:r>
          </w:p>
        </w:tc>
        <w:tc>
          <w:tcPr>
            <w:tcW w:w="51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5120" w:type="dxa"/>
            <w:vAlign w:val="bottom"/>
          </w:tcPr>
          <w:p>
            <w:pPr>
              <w:spacing w:after="0"/>
              <w:rPr>
                <w:sz w:val="20"/>
                <w:szCs w:val="20"/>
                <w:color w:val="auto"/>
              </w:rPr>
            </w:pPr>
          </w:p>
        </w:tc>
      </w:tr>
      <w:tr>
        <w:trPr>
          <w:trHeight w:val="348"/>
        </w:trPr>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5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c>
          <w:tcPr>
            <w:tcW w:w="5120" w:type="dxa"/>
            <w:vAlign w:val="bottom"/>
          </w:tcPr>
          <w:p>
            <w:pPr>
              <w:spacing w:after="0"/>
              <w:rPr>
                <w:sz w:val="20"/>
                <w:szCs w:val="20"/>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c>
          <w:tcPr>
            <w:tcW w:w="512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51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c>
          <w:tcPr>
            <w:tcW w:w="5120" w:type="dxa"/>
            <w:vAlign w:val="bottom"/>
          </w:tcPr>
          <w:p>
            <w:pPr>
              <w:spacing w:after="0"/>
              <w:rPr>
                <w:sz w:val="20"/>
                <w:szCs w:val="20"/>
                <w:color w:val="auto"/>
              </w:rPr>
            </w:pPr>
          </w:p>
        </w:tc>
      </w:tr>
      <w:tr>
        <w:trPr>
          <w:trHeight w:val="348"/>
        </w:trPr>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September 30, 2015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980" w:right="280" w:hanging="324"/>
        <w:spacing w:after="0" w:line="277" w:lineRule="auto"/>
        <w:tabs>
          <w:tab w:leader="none" w:pos="10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10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5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Michael T. Dugan</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620" w:type="dxa"/>
            <w:vAlign w:val="bottom"/>
          </w:tcPr>
          <w:p>
            <w:pPr>
              <w:spacing w:after="0"/>
              <w:rPr>
                <w:sz w:val="20"/>
                <w:szCs w:val="20"/>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5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620" w:type="dxa"/>
            <w:vAlign w:val="bottom"/>
          </w:tcPr>
          <w:p>
            <w:pPr>
              <w:spacing w:after="0"/>
              <w:rPr>
                <w:sz w:val="20"/>
                <w:szCs w:val="20"/>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 2014, EchoStar Corporation (the terms “we,” “us,” “EchoStar,” and “our” refer to EchoStar Corporation and its subsidiaries)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is comprised of all existing and future businesses of EchoStar and its subsidiaries, excluding the Hughes Retail Group.</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Holders of the Tracking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the Hughes Retail Group and the EchoStar Group, our tracking stock structure does not affect the ownership of or the legal title to our assets or responsibility for our liabilities.</w:t>
      </w:r>
    </w:p>
    <w:p>
      <w:pPr>
        <w:spacing w:after="0" w:line="14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and nine months ended September 30, 2015 and 2014 and the year ended December 31, 2014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tables present our consolidated assets and liabilities as of September 30, 2015 and December 31, 2014 and our consolidated revenue, expenses and cash flows for the three and nine months ended September 30, 2015 and 2014. The tables further present our assets, liabilities, revenue, expenses and cash flows that are attributed to the Hughes Retail Group as if that business and its assets had been attributed to that group at the beginning of each period. As a result of our Policy Statement adopted as of March 1, 2014, we used different attribution methods for certain items in periods prior to March 1, 2014. Therefore, the attributed financial position, results of operations and cash flows of the Hughes Retail Group and all other operations are not directly comparable to the corresponding attributed financial information for periods after March 1, 2014. The financial information in this Exhibit should be read in conjunction with our unaudited condensed consolidated financial statements for the period ended September 30, 2015 included in our Quarterly Report on Form 10-Q.</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ATTRIBUTED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Attributed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Attributed</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9"/>
              </w:rPr>
              <w:t>As of September 30, 2015</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 December 31, 2014</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Hughes</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EchoStar</w:t>
            </w:r>
          </w:p>
        </w:tc>
        <w:tc>
          <w:tcPr>
            <w:tcW w:w="80" w:type="dxa"/>
            <w:vAlign w:val="bottom"/>
          </w:tcPr>
          <w:p>
            <w:pPr>
              <w:spacing w:after="0"/>
              <w:rPr>
                <w:sz w:val="10"/>
                <w:szCs w:val="10"/>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Inter-Group</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EchoStar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Hughes</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EchoStar</w:t>
            </w: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Inter-Group</w:t>
            </w:r>
          </w:p>
        </w:tc>
        <w:tc>
          <w:tcPr>
            <w:tcW w:w="4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EchoStar</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Retail</w:t>
            </w: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Group</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Group</w:t>
            </w: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Group</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ind w:left="15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cash equivalents and marketable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$1,586,767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$1,586,767</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$1,688,156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$1,688,156</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Trade accounts receivable, net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30,909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146,644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177,553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29,086</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134,146</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163,232</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Trade accounts receivable - DISH Network,</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247,453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247,453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251,669</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251,669</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7,396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68,290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73,956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8,282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56,580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62,963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66,572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67,164</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5,796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89,729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95,525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4,982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82,226</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87,208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Inter-group advances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12,623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12,623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2,253,283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(40,218)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2,257,653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(29,348)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Restricted cash and marketable investment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18,945</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169,318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3,165,523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(14,619)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3,320,222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166,145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3,037,002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(8,354)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3,194,793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authorizations,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568,378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568,378</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260,000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250,630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510,630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260,000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250,630</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510,630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51,088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144,574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195,662</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Economic interest in Hughes Retail Group</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(90,266)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93,126</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(93,126)</w:t>
            </w:r>
          </w:p>
        </w:tc>
        <w:tc>
          <w:tcPr>
            <w:tcW w:w="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214,431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159,962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159,962</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Other receivable - DISH Network</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90,793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90,241</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90,241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45,383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40,997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146,946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187,296</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511,089</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4,625,977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(105,576)</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5,031,490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518,230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4,509,804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(102,127)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4,925,907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555,677</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6,879,260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(145,794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7,289,143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561,172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6,824,301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(131,475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7,253,998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78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7874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-121920</wp:posOffset>
            </wp:positionV>
            <wp:extent cx="48367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10,228</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201,677</w:t>
            </w:r>
          </w:p>
        </w:tc>
        <w:tc>
          <w:tcPr>
            <w:tcW w:w="1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211,905</w:t>
            </w:r>
          </w:p>
        </w:tc>
        <w:tc>
          <w:tcPr>
            <w:tcW w:w="1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12,613</w:t>
            </w:r>
          </w:p>
        </w:tc>
        <w:tc>
          <w:tcPr>
            <w:tcW w:w="10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175,669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188,282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payable - DISH Network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180"/>
              <w:spacing w:after="0" w:line="201" w:lineRule="exact"/>
              <w:rPr>
                <w:sz w:val="20"/>
                <w:szCs w:val="20"/>
                <w:color w:val="auto"/>
              </w:rPr>
            </w:pPr>
            <w:r>
              <w:rPr>
                <w:rFonts w:ascii="Arial" w:cs="Arial" w:eastAsia="Arial" w:hAnsi="Arial"/>
                <w:sz w:val="18"/>
                <w:szCs w:val="18"/>
                <w:color w:val="auto"/>
                <w:w w:val="98"/>
              </w:rPr>
              <w:t>Current portion of long-term debt and 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lease obligations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41,912</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41,912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prepayments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71,708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31,658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31,658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32,117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Inter-group advances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26,691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83,801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110,492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99,578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114,745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102,578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478,775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(38,488)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542,865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(27,449)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Long-term debt and capital lease obligations,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current portion</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2,195,985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2,195,985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2,325,775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2,325,775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745,959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745,959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670,067</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679,524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102,977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107,328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3,040,943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3,042,711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3,098,819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3,112,627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3,519,718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3,585,576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3,562,268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3,630,360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Equity/Attributed net assets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451,331</w:t>
            </w:r>
          </w:p>
        </w:tc>
        <w:tc>
          <w:tcPr>
            <w:tcW w:w="8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3,272,406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(107,306)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3,616,431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465,631</w:t>
            </w: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3,171,563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(104,026)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3,533,168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Noncontrolling interest in HSS Tracking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80,457</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80,457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Other noncontrolling interests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10,699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10,013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Equity/Attributed net assets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451,331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3,359,542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(107,306)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3,703,567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465,631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3,262,033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(104,026)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3,623,638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80" w:type="dxa"/>
            <w:vAlign w:val="bottom"/>
          </w:tcPr>
          <w:p>
            <w:pPr>
              <w:ind w:left="520"/>
              <w:spacing w:after="0" w:line="182" w:lineRule="exact"/>
              <w:rPr>
                <w:sz w:val="20"/>
                <w:szCs w:val="20"/>
                <w:color w:val="auto"/>
              </w:rPr>
            </w:pPr>
            <w:r>
              <w:rPr>
                <w:rFonts w:ascii="Arial" w:cs="Arial" w:eastAsia="Arial" w:hAnsi="Arial"/>
                <w:sz w:val="18"/>
                <w:szCs w:val="18"/>
                <w:color w:val="auto"/>
              </w:rPr>
              <w:t>Total liabilities and equity/attributed net</w:t>
            </w:r>
          </w:p>
        </w:tc>
        <w:tc>
          <w:tcPr>
            <w:tcW w:w="180" w:type="dxa"/>
            <w:vAlign w:val="bottom"/>
            <w:gridSpan w:val="2"/>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9"/>
              </w:rPr>
              <w:t>555,677</w:t>
            </w:r>
          </w:p>
        </w:tc>
        <w:tc>
          <w:tcPr>
            <w:tcW w:w="80" w:type="dxa"/>
            <w:vAlign w:val="bottom"/>
          </w:tcPr>
          <w:p>
            <w:pPr>
              <w:spacing w:after="0"/>
              <w:rPr>
                <w:sz w:val="15"/>
                <w:szCs w:val="15"/>
                <w:color w:val="auto"/>
              </w:rPr>
            </w:pP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6,879,260</w:t>
            </w:r>
          </w:p>
        </w:tc>
        <w:tc>
          <w:tcPr>
            <w:tcW w:w="100" w:type="dxa"/>
            <w:vAlign w:val="bottom"/>
          </w:tcPr>
          <w:p>
            <w:pPr>
              <w:spacing w:after="0"/>
              <w:rPr>
                <w:sz w:val="15"/>
                <w:szCs w:val="15"/>
                <w:color w:val="auto"/>
              </w:rPr>
            </w:pPr>
          </w:p>
        </w:tc>
        <w:tc>
          <w:tcPr>
            <w:tcW w:w="1000" w:type="dxa"/>
            <w:vAlign w:val="bottom"/>
            <w:gridSpan w:val="6"/>
            <w:vMerge w:val="restart"/>
          </w:tcPr>
          <w:p>
            <w:pPr>
              <w:jc w:val="right"/>
              <w:ind w:right="20"/>
              <w:spacing w:after="0"/>
              <w:rPr>
                <w:sz w:val="20"/>
                <w:szCs w:val="20"/>
                <w:color w:val="auto"/>
              </w:rPr>
            </w:pPr>
            <w:r>
              <w:rPr>
                <w:rFonts w:ascii="Arial" w:cs="Arial" w:eastAsia="Arial" w:hAnsi="Arial"/>
                <w:sz w:val="18"/>
                <w:szCs w:val="18"/>
                <w:color w:val="auto"/>
                <w:w w:val="95"/>
              </w:rPr>
              <w:t>$ (145,794)</w:t>
            </w: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7,289,143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2"/>
              </w:rPr>
              <w:t>561,172</w:t>
            </w:r>
          </w:p>
        </w:tc>
        <w:tc>
          <w:tcPr>
            <w:tcW w:w="100" w:type="dxa"/>
            <w:vAlign w:val="bottom"/>
          </w:tcPr>
          <w:p>
            <w:pPr>
              <w:spacing w:after="0"/>
              <w:rPr>
                <w:sz w:val="15"/>
                <w:szCs w:val="15"/>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6,824,301</w:t>
            </w:r>
          </w:p>
        </w:tc>
        <w:tc>
          <w:tcPr>
            <w:tcW w:w="160" w:type="dxa"/>
            <w:vAlign w:val="bottom"/>
          </w:tcPr>
          <w:p>
            <w:pPr>
              <w:spacing w:after="0"/>
              <w:rPr>
                <w:sz w:val="15"/>
                <w:szCs w:val="15"/>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w w:val="91"/>
              </w:rPr>
              <w:t>$ (131,475)</w:t>
            </w:r>
          </w:p>
        </w:tc>
        <w:tc>
          <w:tcPr>
            <w:tcW w:w="860" w:type="dxa"/>
            <w:vAlign w:val="bottom"/>
            <w:gridSpan w:val="4"/>
            <w:vMerge w:val="restart"/>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7,253,998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assets (liabilities)</w:t>
            </w:r>
          </w:p>
        </w:tc>
        <w:tc>
          <w:tcPr>
            <w:tcW w:w="1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6"/>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3"/>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gridSpan w:val="2"/>
          </w:tcPr>
          <w:p>
            <w:pPr>
              <w:spacing w:after="0"/>
              <w:rPr>
                <w:sz w:val="11"/>
                <w:szCs w:val="11"/>
                <w:color w:val="auto"/>
              </w:rPr>
            </w:pPr>
          </w:p>
        </w:tc>
        <w:tc>
          <w:tcPr>
            <w:tcW w:w="780" w:type="dxa"/>
            <w:vAlign w:val="bottom"/>
            <w:tcBorders>
              <w:bottom w:val="single" w:sz="8" w:color="808080"/>
            </w:tcBorders>
            <w:gridSpan w:val="3"/>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780" w:type="dxa"/>
            <w:vAlign w:val="bottom"/>
            <w:tcBorders>
              <w:bottom w:val="single" w:sz="8" w:color="808080"/>
            </w:tcBorders>
            <w:gridSpan w:val="3"/>
          </w:tcPr>
          <w:p>
            <w:pPr>
              <w:spacing w:after="0"/>
              <w:rPr>
                <w:sz w:val="11"/>
                <w:szCs w:val="11"/>
                <w:color w:val="auto"/>
              </w:rPr>
            </w:pPr>
          </w:p>
        </w:tc>
        <w:tc>
          <w:tcPr>
            <w:tcW w:w="160" w:type="dxa"/>
            <w:vAlign w:val="bottom"/>
            <w:tcBorders>
              <w:bottom w:val="single" w:sz="8" w:color="808080"/>
            </w:tcBorders>
            <w:gridSpan w:val="3"/>
          </w:tcPr>
          <w:p>
            <w:pPr>
              <w:spacing w:after="0"/>
              <w:rPr>
                <w:sz w:val="11"/>
                <w:szCs w:val="11"/>
                <w:color w:val="auto"/>
              </w:rPr>
            </w:pPr>
          </w:p>
        </w:tc>
        <w:tc>
          <w:tcPr>
            <w:tcW w:w="820" w:type="dxa"/>
            <w:vAlign w:val="bottom"/>
            <w:tcBorders>
              <w:bottom w:val="single" w:sz="8" w:color="808080"/>
            </w:tcBorders>
            <w:gridSpan w:val="3"/>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gridSpan w:val="3"/>
          </w:tcPr>
          <w:p>
            <w:pPr>
              <w:spacing w:after="0"/>
              <w:rPr>
                <w:sz w:val="11"/>
                <w:szCs w:val="11"/>
                <w:color w:val="auto"/>
              </w:rPr>
            </w:pPr>
          </w:p>
        </w:tc>
        <w:tc>
          <w:tcPr>
            <w:tcW w:w="160" w:type="dxa"/>
            <w:vAlign w:val="bottom"/>
            <w:tcBorders>
              <w:bottom w:val="single" w:sz="8" w:color="808080"/>
            </w:tcBorders>
            <w:gridSpan w:val="3"/>
          </w:tcPr>
          <w:p>
            <w:pPr>
              <w:spacing w:after="0"/>
              <w:rPr>
                <w:sz w:val="11"/>
                <w:szCs w:val="11"/>
                <w:color w:val="auto"/>
              </w:rPr>
            </w:pPr>
          </w:p>
        </w:tc>
        <w:tc>
          <w:tcPr>
            <w:tcW w:w="780" w:type="dxa"/>
            <w:vAlign w:val="bottom"/>
            <w:tcBorders>
              <w:bottom w:val="single" w:sz="8" w:color="808080"/>
            </w:tcBorders>
            <w:gridSpan w:val="3"/>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8480" w:type="dxa"/>
            <w:vAlign w:val="bottom"/>
            <w:gridSpan w:val="28"/>
          </w:tcPr>
          <w:p>
            <w:pPr>
              <w:jc w:val="center"/>
              <w:ind w:left="2830"/>
              <w:spacing w:after="0"/>
              <w:rPr>
                <w:sz w:val="20"/>
                <w:szCs w:val="20"/>
                <w:color w:val="auto"/>
              </w:rPr>
            </w:pPr>
            <w:r>
              <w:rPr>
                <w:rFonts w:ascii="Arial" w:cs="Arial" w:eastAsia="Arial" w:hAnsi="Arial"/>
                <w:sz w:val="18"/>
                <w:szCs w:val="18"/>
                <w:b w:val="1"/>
                <w:bCs w:val="1"/>
                <w:color w:val="auto"/>
                <w:w w:val="99"/>
              </w:rPr>
              <w:t>CONDENSED ATTRIBUTED STATEMENTS OF OPERATIONS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9"/>
          </w:tcPr>
          <w:p>
            <w:pPr>
              <w:jc w:val="center"/>
              <w:spacing w:after="0"/>
              <w:rPr>
                <w:sz w:val="20"/>
                <w:szCs w:val="20"/>
                <w:color w:val="auto"/>
              </w:rPr>
            </w:pPr>
            <w:r>
              <w:rPr>
                <w:rFonts w:ascii="Arial" w:cs="Arial" w:eastAsia="Arial" w:hAnsi="Arial"/>
                <w:sz w:val="18"/>
                <w:szCs w:val="18"/>
                <w:color w:val="auto"/>
                <w:w w:val="90"/>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9"/>
          </w:tcPr>
          <w:p>
            <w:pPr>
              <w:jc w:val="center"/>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Attributed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Attributed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8"/>
          </w:tcPr>
          <w:p>
            <w:pPr>
              <w:jc w:val="right"/>
              <w:ind w:right="320"/>
              <w:spacing w:after="0"/>
              <w:rPr>
                <w:sz w:val="20"/>
                <w:szCs w:val="20"/>
                <w:color w:val="auto"/>
              </w:rPr>
            </w:pPr>
            <w:r>
              <w:rPr>
                <w:rFonts w:ascii="Arial" w:cs="Arial" w:eastAsia="Arial" w:hAnsi="Arial"/>
                <w:sz w:val="14"/>
                <w:szCs w:val="14"/>
                <w:b w:val="1"/>
                <w:bCs w:val="1"/>
                <w:color w:val="auto"/>
                <w:w w:val="99"/>
              </w:rPr>
              <w:t>For the Three Months Ended September 30, 2015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4"/>
          </w:tcPr>
          <w:p>
            <w:pPr>
              <w:jc w:val="right"/>
              <w:ind w:right="250"/>
              <w:spacing w:after="0"/>
              <w:rPr>
                <w:sz w:val="20"/>
                <w:szCs w:val="20"/>
                <w:color w:val="auto"/>
              </w:rPr>
            </w:pPr>
            <w:r>
              <w:rPr>
                <w:rFonts w:ascii="Arial" w:cs="Arial" w:eastAsia="Arial" w:hAnsi="Arial"/>
                <w:sz w:val="14"/>
                <w:szCs w:val="14"/>
                <w:b w:val="1"/>
                <w:bCs w:val="1"/>
                <w:color w:val="auto"/>
                <w:w w:val="99"/>
              </w:rPr>
              <w:t>For the Three Months Ended September 30, 2014</w:t>
            </w: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Hughes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EchoStar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Inter-Group</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EchoStar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Hughes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EchoStar</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EchoStar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Retail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Retail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Group</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Group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Group</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Services and equipment revenue - other</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157,706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292,384</w:t>
            </w:r>
          </w:p>
        </w:tc>
        <w:tc>
          <w:tcPr>
            <w:tcW w:w="1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(82,996)</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367,094</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141,761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319,187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(80,093)</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380,855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Services and equipment revenue - DISH</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393,785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393,785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514,985</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514,985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157,706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686,169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(82,996)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760,879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141,761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834,172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(80,093)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180"/>
              <w:spacing w:after="0" w:line="201" w:lineRule="exact"/>
              <w:rPr>
                <w:sz w:val="20"/>
                <w:szCs w:val="20"/>
                <w:color w:val="auto"/>
              </w:rPr>
            </w:pPr>
            <w:r>
              <w:rPr>
                <w:rFonts w:ascii="Arial" w:cs="Arial" w:eastAsia="Arial" w:hAnsi="Arial"/>
                <w:sz w:val="18"/>
                <w:szCs w:val="18"/>
                <w:color w:val="auto"/>
              </w:rPr>
              <w:t>Cost of sales (exclusive of depreciation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91,530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415,772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(79,627)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427,675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84,975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543,860</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(76,378)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552,457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Selling, general and administrative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91,830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19,875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19,875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99,026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132,892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34,831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161,717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591,681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(81,126)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672,272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154,099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726,308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(76,844)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803,563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94,488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(12,338)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2,562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Interest expense, net of amounts capitalized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Loss from partial redemption of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Gains (losses) and other-than-temporary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on marketable investment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net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(5,155)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(5,155)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180"/>
              <w:spacing w:after="0" w:line="201" w:lineRule="exact"/>
              <w:rPr>
                <w:sz w:val="20"/>
                <w:szCs w:val="20"/>
                <w:color w:val="auto"/>
              </w:rPr>
            </w:pPr>
            <w:r>
              <w:rPr>
                <w:rFonts w:ascii="Arial" w:cs="Arial" w:eastAsia="Arial" w:hAnsi="Arial"/>
                <w:sz w:val="18"/>
                <w:szCs w:val="18"/>
                <w:color w:val="auto"/>
                <w:w w:val="93"/>
              </w:rPr>
              <w:t>Economic interest in earnings (loss) of Hughes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Retail Group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(32,121)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(12,353)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(30,187)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(28,577)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(10,970)</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Less: Net loss attributable to 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interests in HSS Tracking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w w:val="99"/>
              </w:rPr>
              <w:t>Net income (loss) attributable to EchoStar</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(2,440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28,835</w:t>
            </w: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-6047105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-6047105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65" w:name="page66"/>
    <w:bookmarkEnd w:id="65"/>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Attributed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8"/>
              </w:rPr>
              <w:t>Attributed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center"/>
              <w:ind w:right="31"/>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tcPr>
          <w:p>
            <w:pPr>
              <w:jc w:val="center"/>
              <w:ind w:right="31"/>
              <w:spacing w:after="0"/>
              <w:rPr>
                <w:sz w:val="20"/>
                <w:szCs w:val="20"/>
                <w:color w:val="auto"/>
              </w:rPr>
            </w:pPr>
            <w:r>
              <w:rPr>
                <w:rFonts w:ascii="Arial" w:cs="Arial" w:eastAsia="Arial" w:hAnsi="Arial"/>
                <w:sz w:val="14"/>
                <w:szCs w:val="14"/>
                <w:b w:val="1"/>
                <w:bCs w:val="1"/>
                <w:color w:val="auto"/>
                <w:w w:val="92"/>
              </w:rPr>
              <w:t>For the Nine Months Ended September 30, 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Hughes</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EchoStar</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Inter-Group</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EchoStar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Hughes</w:t>
            </w:r>
          </w:p>
        </w:tc>
        <w:tc>
          <w:tcPr>
            <w:tcW w:w="8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EchoStar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EchoStar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Retail</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Services and equipment revenue - other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455,692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870,594</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 (245,794)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$1,080,492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417,291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850,847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1"/>
              </w:rPr>
              <w:t>$ (183,465)</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$1,084,673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Services and equipment revenue - DISH</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1,272,635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1,272,635</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1,517,018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1,517,018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455,692</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2,143,229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(245,794)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2,353,127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417,291</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2,367,865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(183,465)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2,601,691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180"/>
              <w:spacing w:after="0" w:line="201" w:lineRule="exact"/>
              <w:rPr>
                <w:sz w:val="20"/>
                <w:szCs w:val="20"/>
                <w:color w:val="auto"/>
              </w:rPr>
            </w:pPr>
            <w:r>
              <w:rPr>
                <w:rFonts w:ascii="Arial" w:cs="Arial" w:eastAsia="Arial" w:hAnsi="Arial"/>
                <w:sz w:val="18"/>
                <w:szCs w:val="18"/>
                <w:color w:val="auto"/>
              </w:rPr>
              <w:t>Cost of sales (exclusive of depreciation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267,737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1,320,686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(235,897)</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1,352,526</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234,294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1,565,370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(174,799)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1,624,865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Selling, general and administrative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107,038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173,424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280,462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103,783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57,432</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57,432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43,963</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104,477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297,828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398,547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100,122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479,252</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1,849,370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(239,655)</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2,088,967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439,077</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2,093,470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(175,423)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2,357,124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(21,786)</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8,012</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7,896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(132,420)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Loss from partial redemption of debt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(5,044)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Gains (losses) and other-than-temporary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on marketable investment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180"/>
              <w:spacing w:after="0" w:line="201" w:lineRule="exact"/>
              <w:rPr>
                <w:sz w:val="20"/>
                <w:szCs w:val="20"/>
                <w:color w:val="auto"/>
              </w:rPr>
            </w:pPr>
            <w:r>
              <w:rPr>
                <w:rFonts w:ascii="Arial" w:cs="Arial" w:eastAsia="Arial" w:hAnsi="Arial"/>
                <w:sz w:val="18"/>
                <w:szCs w:val="18"/>
                <w:color w:val="auto"/>
                <w:w w:val="95"/>
              </w:rPr>
              <w:t>Economic interest in earnings (loss) of Hughes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Retail Group</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(114,094)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(111,350)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(117,943)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(116,310)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(75,217)</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(65,841)</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8,631</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(36,807)</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(13,174)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Less: Net loss attributable to noncontrolling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interests in HSS Tracking Stock</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Net income (loss) attributable to EchoStar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107,562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89,983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122,591</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560" w:type="dxa"/>
            <w:vAlign w:val="bottom"/>
            <w:tcBorders>
              <w:bottom w:val="single" w:sz="8" w:color="808080"/>
            </w:tcBorders>
            <w:gridSpan w:val="16"/>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8560" w:type="dxa"/>
            <w:vAlign w:val="bottom"/>
            <w:gridSpan w:val="16"/>
          </w:tcPr>
          <w:p>
            <w:pPr>
              <w:jc w:val="center"/>
              <w:ind w:left="2730"/>
              <w:spacing w:after="0"/>
              <w:rPr>
                <w:sz w:val="20"/>
                <w:szCs w:val="20"/>
                <w:color w:val="auto"/>
              </w:rPr>
            </w:pPr>
            <w:r>
              <w:rPr>
                <w:rFonts w:ascii="Arial" w:cs="Arial" w:eastAsia="Arial" w:hAnsi="Arial"/>
                <w:sz w:val="18"/>
                <w:szCs w:val="18"/>
                <w:b w:val="1"/>
                <w:bCs w:val="1"/>
                <w:color w:val="auto"/>
                <w:w w:val="99"/>
              </w:rPr>
              <w:t>CONDENSED ATTRIBUTED STATEMENTS OF CASH FLOWS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5"/>
          </w:tcPr>
          <w:p>
            <w:pPr>
              <w:jc w:val="center"/>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Attributed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8"/>
              </w:rPr>
              <w:t>Attributed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center"/>
              <w:ind w:right="31"/>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tcPr>
          <w:p>
            <w:pPr>
              <w:jc w:val="center"/>
              <w:ind w:right="31"/>
              <w:spacing w:after="0"/>
              <w:rPr>
                <w:sz w:val="20"/>
                <w:szCs w:val="20"/>
                <w:color w:val="auto"/>
              </w:rPr>
            </w:pPr>
            <w:r>
              <w:rPr>
                <w:rFonts w:ascii="Arial" w:cs="Arial" w:eastAsia="Arial" w:hAnsi="Arial"/>
                <w:sz w:val="14"/>
                <w:szCs w:val="14"/>
                <w:b w:val="1"/>
                <w:bCs w:val="1"/>
                <w:color w:val="auto"/>
                <w:w w:val="92"/>
              </w:rPr>
              <w:t>For the Nine Months Ended September 30, 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Hughes</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EchoStar</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Inter-Group</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EchoStar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Hughes</w:t>
            </w:r>
          </w:p>
        </w:tc>
        <w:tc>
          <w:tcPr>
            <w:tcW w:w="8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EchoStar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EchoStar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Retail</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104,548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86,969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(13,174)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119,645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Adjustments to reconcile net income (loss) to</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104,477</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297,828</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398,547</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100,122</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316,669</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Equity in losses of unconsolidated affiliates,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(10,137)</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Loss from partial redemption of debt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5,044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Economic interest in loss (earnings) of</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Hughes Retail Group</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360"/>
              <w:spacing w:after="0" w:line="201" w:lineRule="exact"/>
              <w:rPr>
                <w:sz w:val="20"/>
                <w:szCs w:val="20"/>
                <w:color w:val="auto"/>
              </w:rPr>
            </w:pPr>
            <w:r>
              <w:rPr>
                <w:rFonts w:ascii="Arial" w:cs="Arial" w:eastAsia="Arial" w:hAnsi="Arial"/>
                <w:sz w:val="18"/>
                <w:szCs w:val="18"/>
                <w:color w:val="auto"/>
              </w:rPr>
              <w:t>Losses (gains) and other-than-temporary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540"/>
              <w:spacing w:after="0"/>
              <w:rPr>
                <w:sz w:val="20"/>
                <w:szCs w:val="20"/>
                <w:color w:val="auto"/>
              </w:rPr>
            </w:pPr>
            <w:r>
              <w:rPr>
                <w:rFonts w:ascii="Arial" w:cs="Arial" w:eastAsia="Arial" w:hAnsi="Arial"/>
                <w:sz w:val="18"/>
                <w:szCs w:val="18"/>
                <w:color w:val="auto"/>
              </w:rPr>
              <w:t>impairment on marketable investment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540"/>
              <w:spacing w:after="0"/>
              <w:rPr>
                <w:sz w:val="20"/>
                <w:szCs w:val="20"/>
                <w:color w:val="auto"/>
              </w:rPr>
            </w:pPr>
            <w:r>
              <w:rPr>
                <w:rFonts w:ascii="Arial" w:cs="Arial" w:eastAsia="Arial" w:hAnsi="Arial"/>
                <w:sz w:val="18"/>
                <w:szCs w:val="18"/>
                <w:color w:val="auto"/>
              </w:rPr>
              <w:t>securities, net</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11,408</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11,408</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Deferred tax provision (benefit)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82,884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63,421</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18,773</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Changes in current assets and current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 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(9,079)</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99,026</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-3895090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-3895090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w w:val="92"/>
              </w:rPr>
              <w:t>Changes in noncurrent assets and noncurrent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2,222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(17,499)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7,329</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(10,170)</w:t>
            </w:r>
          </w:p>
        </w:tc>
        <w:tc>
          <w:tcPr>
            <w:tcW w:w="40" w:type="dxa"/>
            <w:vAlign w:val="bottom"/>
          </w:tcPr>
          <w:p>
            <w:pPr>
              <w:spacing w:after="0"/>
              <w:rPr>
                <w:sz w:val="18"/>
                <w:szCs w:val="18"/>
                <w:color w:val="auto"/>
              </w:rPr>
            </w:pPr>
          </w:p>
        </w:tc>
      </w:tr>
      <w:tr>
        <w:trPr>
          <w:trHeight w:val="230"/>
        </w:trPr>
        <w:tc>
          <w:tcPr>
            <w:tcW w:w="3780" w:type="dxa"/>
            <w:vAlign w:val="bottom"/>
          </w:tcPr>
          <w:p>
            <w:pPr>
              <w:ind w:left="560"/>
              <w:spacing w:after="0"/>
              <w:rPr>
                <w:sz w:val="20"/>
                <w:szCs w:val="20"/>
                <w:color w:val="auto"/>
              </w:rPr>
            </w:pPr>
            <w:r>
              <w:rPr>
                <w:rFonts w:ascii="Arial" w:cs="Arial" w:eastAsia="Arial" w:hAnsi="Arial"/>
                <w:sz w:val="18"/>
                <w:szCs w:val="18"/>
                <w:color w:val="auto"/>
              </w:rPr>
              <w:t>liabilities, net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26,408</w:t>
            </w:r>
          </w:p>
        </w:tc>
        <w:tc>
          <w:tcPr>
            <w:tcW w:w="40" w:type="dxa"/>
            <w:vAlign w:val="bottom"/>
          </w:tcPr>
          <w:p>
            <w:pPr>
              <w:spacing w:after="0"/>
              <w:rPr>
                <w:sz w:val="18"/>
                <w:szCs w:val="18"/>
                <w:color w:val="auto"/>
              </w:rPr>
            </w:pPr>
          </w:p>
        </w:tc>
      </w:tr>
      <w:tr>
        <w:trPr>
          <w:trHeight w:val="210"/>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flows from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81,910</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536,035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(10,022)</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607,923</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596,262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662,434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w w:val="95"/>
              </w:rPr>
              <w:t>Purchases of marketable investment securities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(345,391)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(345,391)</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(920,672)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(920,672)</w:t>
            </w:r>
          </w:p>
        </w:tc>
        <w:tc>
          <w:tcPr>
            <w:tcW w:w="40" w:type="dxa"/>
            <w:vAlign w:val="bottom"/>
          </w:tcPr>
          <w:p>
            <w:pPr>
              <w:spacing w:after="0"/>
              <w:rPr>
                <w:sz w:val="18"/>
                <w:szCs w:val="18"/>
                <w:color w:val="auto"/>
              </w:rPr>
            </w:pPr>
          </w:p>
        </w:tc>
      </w:tr>
      <w:tr>
        <w:trPr>
          <w:trHeight w:val="202"/>
        </w:trPr>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Sales and maturities of marketable investment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669,393</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669,393</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891,917</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891,917</w:t>
            </w:r>
          </w:p>
        </w:tc>
        <w:tc>
          <w:tcPr>
            <w:tcW w:w="40" w:type="dxa"/>
            <w:vAlign w:val="bottom"/>
          </w:tcPr>
          <w:p>
            <w:pPr>
              <w:spacing w:after="0"/>
              <w:rPr>
                <w:sz w:val="20"/>
                <w:szCs w:val="20"/>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(92,949)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(502,975)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10,022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(585,902)</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(91,357)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(349,327)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(434,428)</w:t>
            </w:r>
          </w:p>
        </w:tc>
        <w:tc>
          <w:tcPr>
            <w:tcW w:w="40" w:type="dxa"/>
            <w:vAlign w:val="bottom"/>
          </w:tcPr>
          <w:p>
            <w:pPr>
              <w:spacing w:after="0"/>
              <w:rPr>
                <w:sz w:val="18"/>
                <w:szCs w:val="18"/>
                <w:color w:val="auto"/>
              </w:rPr>
            </w:pPr>
          </w:p>
        </w:tc>
      </w:tr>
      <w:tr>
        <w:trPr>
          <w:trHeight w:val="202"/>
        </w:trPr>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Refunds and other receipts related to capital</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expenditures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105,750</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105,750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w w:val="91"/>
              </w:rPr>
              <w:t>Changes in restricted cash and cash equivalents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(2,958)</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investments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Acquisition of regulatory authorization</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 to DISH Digital</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(18,569)</w:t>
            </w:r>
          </w:p>
        </w:tc>
        <w:tc>
          <w:tcPr>
            <w:tcW w:w="40" w:type="dxa"/>
            <w:vAlign w:val="bottom"/>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w w:val="97"/>
              </w:rPr>
              <w:t>Expenditures for externally marketed software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(16,905)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(16,905)</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(17,401)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(17,401)</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Inter-group advances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19,494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1,981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1,981</w:t>
            </w:r>
          </w:p>
        </w:tc>
        <w:tc>
          <w:tcPr>
            <w:tcW w:w="40" w:type="dxa"/>
            <w:vAlign w:val="bottom"/>
          </w:tcPr>
          <w:p>
            <w:pPr>
              <w:spacing w:after="0"/>
              <w:rPr>
                <w:sz w:val="18"/>
                <w:szCs w:val="18"/>
                <w:color w:val="auto"/>
              </w:rPr>
            </w:pPr>
          </w:p>
        </w:tc>
      </w:tr>
      <w:tr>
        <w:trPr>
          <w:trHeight w:val="210"/>
        </w:trPr>
        <w:tc>
          <w:tcPr>
            <w:tcW w:w="37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flows from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(92,949)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(169,613)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(91,357)</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(434,523)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(500,130)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8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Repayment of 6 1/2% Senior Notes Due 2019</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related premium</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(113,300)</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(113,300)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w w:val="95"/>
              </w:rPr>
              <w:t>Repayment of other long-term debt and capital</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lease obligations</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(35,303)</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(35,303)</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(52,763)</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(52,763)</w:t>
            </w:r>
          </w:p>
        </w:tc>
        <w:tc>
          <w:tcPr>
            <w:tcW w:w="40" w:type="dxa"/>
            <w:vAlign w:val="bottom"/>
          </w:tcPr>
          <w:p>
            <w:pPr>
              <w:spacing w:after="0"/>
              <w:rPr>
                <w:sz w:val="20"/>
                <w:szCs w:val="20"/>
                <w:color w:val="auto"/>
              </w:rPr>
            </w:pPr>
          </w:p>
        </w:tc>
      </w:tr>
      <w:tr>
        <w:trPr>
          <w:trHeight w:val="202"/>
        </w:trPr>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proceeds from Class A common stock</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options exercised and stock issued under the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Stock Purchase Plan</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19,893</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19,893</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20,678</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20,678</w:t>
            </w:r>
          </w:p>
        </w:tc>
        <w:tc>
          <w:tcPr>
            <w:tcW w:w="40" w:type="dxa"/>
            <w:vAlign w:val="bottom"/>
          </w:tcPr>
          <w:p>
            <w:pPr>
              <w:spacing w:after="0"/>
              <w:rPr>
                <w:sz w:val="20"/>
                <w:szCs w:val="20"/>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w w:val="96"/>
              </w:rPr>
              <w:t>Net proceeds from issuance of Tracking Stock</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7,526</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7,526</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Inter-group advances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19,494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(19,494)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w w:val="97"/>
              </w:rPr>
              <w:t>Inter-group equity contributions (distributions),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(9,752)</w:t>
            </w:r>
          </w:p>
        </w:tc>
        <w:tc>
          <w:tcPr>
            <w:tcW w:w="40" w:type="dxa"/>
            <w:vAlign w:val="bottom"/>
          </w:tcPr>
          <w:p>
            <w:pPr>
              <w:spacing w:after="0"/>
              <w:rPr>
                <w:sz w:val="18"/>
                <w:szCs w:val="18"/>
                <w:color w:val="auto"/>
              </w:rPr>
            </w:pPr>
          </w:p>
        </w:tc>
      </w:tr>
      <w:tr>
        <w:trPr>
          <w:trHeight w:val="210"/>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flows from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(127,185)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(11,039)</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(127,185)</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18,929</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(19,494)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82"/>
        </w:trPr>
        <w:tc>
          <w:tcPr>
            <w:tcW w:w="3780" w:type="dxa"/>
            <w:vAlign w:val="bottom"/>
            <w:shd w:val="clear" w:color="auto" w:fill="CCEEFF"/>
          </w:tcPr>
          <w:p>
            <w:pPr>
              <w:ind w:left="560"/>
              <w:spacing w:after="0" w:line="182" w:lineRule="exact"/>
              <w:rPr>
                <w:sz w:val="20"/>
                <w:szCs w:val="20"/>
                <w:color w:val="auto"/>
              </w:rPr>
            </w:pPr>
            <w:r>
              <w:rPr>
                <w:rFonts w:ascii="Arial" w:cs="Arial" w:eastAsia="Arial" w:hAnsi="Arial"/>
                <w:sz w:val="18"/>
                <w:szCs w:val="18"/>
                <w:color w:val="auto"/>
                <w:w w:val="94"/>
              </w:rPr>
              <w:t>Effect of exchange rates on cash and cash</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(9,185)</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(9,185)</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(1,721)</w:t>
            </w:r>
          </w:p>
        </w:tc>
        <w:tc>
          <w:tcPr>
            <w:tcW w:w="40" w:type="dxa"/>
            <w:vAlign w:val="bottom"/>
          </w:tcPr>
          <w:p>
            <w:pPr>
              <w:spacing w:after="0"/>
              <w:rPr>
                <w:sz w:val="20"/>
                <w:szCs w:val="20"/>
                <w:color w:val="auto"/>
              </w:rPr>
            </w:pP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8"/>
                <w:szCs w:val="18"/>
                <w:color w:val="auto"/>
              </w:rPr>
              <w:t>Net increase (decrease) in cash and cash</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230,052</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230,052</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126,272</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126,272</w:t>
            </w:r>
          </w:p>
        </w:tc>
        <w:tc>
          <w:tcPr>
            <w:tcW w:w="4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beginning of period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549,053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549,053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634,119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634,119</w:t>
            </w:r>
          </w:p>
        </w:tc>
        <w:tc>
          <w:tcPr>
            <w:tcW w:w="40" w:type="dxa"/>
            <w:vAlign w:val="bottom"/>
          </w:tcPr>
          <w:p>
            <w:pPr>
              <w:spacing w:after="0"/>
              <w:rPr>
                <w:sz w:val="18"/>
                <w:szCs w:val="18"/>
                <w:color w:val="auto"/>
              </w:rPr>
            </w:pPr>
          </w:p>
        </w:tc>
      </w:tr>
      <w:tr>
        <w:trPr>
          <w:trHeight w:val="210"/>
        </w:trPr>
        <w:tc>
          <w:tcPr>
            <w:tcW w:w="3780" w:type="dxa"/>
            <w:vAlign w:val="bottom"/>
          </w:tcPr>
          <w:p>
            <w:pPr>
              <w:ind w:left="20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$ 779,105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779,105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$ 760,391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760,391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Hughes Retail Group is generally comprised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EchoStar Group consists of all other operations of EchoStar, including all existing and future businesses other than the Hughes Retail Group. EchoStar has adopted a policy statement (the “Policy Statement”) as described in Note 2 below, which sets forth management and allocation policies for purposes of attributing all of the business and operations of EchoStar to either the Hughes Retail Group or the EchoStar Group (each as fully defined in the Policy Statement and collectively, the “Groups”).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overall objective of the attributed financial information is to present the amounts reported in EchoStar’s condensed consolidated financial statements attributed to the Hughes Retail Group and the EchoStar Group. The Policy Statement contains specific provisions that determine how certain assets, liabilities, revenue and expenses are attributed to the Groups, effective March 1, 2014.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 In addition, because the Policy Statement was not effective in periods prior to March 1, 2014, it has limited applicability to the attributed financial information for such periods.</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accordance with the Policy Statement, all existing and future retail subscribers, including related customer contracts, are attributed to the Hughes Retail Group. Assets and liabilities that are directly related to the Hughes Retail Group are attributed to the Hughes Retail Group, including certain accounts</w:t>
      </w:r>
    </w:p>
    <w:p>
      <w:pPr>
        <w:sectPr>
          <w:pgSz w:w="11900" w:h="16838" w:orient="portrait"/>
          <w:cols w:equalWidth="0" w:num="1">
            <w:col w:w="11460"/>
          </w:cols>
          <w:pgMar w:left="240" w:top="125" w:right="199" w:bottom="0" w:gutter="0" w:footer="0" w:header="0"/>
        </w:sectPr>
      </w:pPr>
    </w:p>
    <w:bookmarkStart w:id="67" w:name="page68"/>
    <w:bookmarkEnd w:id="67"/>
    <w:p>
      <w:pPr>
        <w:spacing w:after="0" w:line="253" w:lineRule="auto"/>
        <w:rPr>
          <w:sz w:val="20"/>
          <w:szCs w:val="20"/>
          <w:color w:val="auto"/>
        </w:rPr>
      </w:pPr>
      <w:r>
        <w:rPr>
          <w:rFonts w:ascii="Arial" w:cs="Arial" w:eastAsia="Arial" w:hAnsi="Arial"/>
          <w:sz w:val="18"/>
          <w:szCs w:val="18"/>
          <w:color w:val="auto"/>
        </w:rPr>
        <w:t>receivable, inventory, property and equipment, deferred subscriber acquisition costs, intangible assets and tax related assets and liabilities. To the extent practicable, costs and expenses are attributed without markup to the Hughes Retail Group or the EchoStar Group based on specific identification. Common or shared costs, including corporate overhead, are allocated between the Hughes Retail Group and the EchoStar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stockholders.</w:t>
      </w:r>
    </w:p>
    <w:p>
      <w:pPr>
        <w:spacing w:after="0" w:line="19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EchoStar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EchoStar Group based on cost plus a fixed margin percentage. Income taxes incurred by EchoStar and its subsidiaries that include operations of the Hughes Retail Group are allocated between the EchoStar Group and the Hughes Retail Group based primarily on the relative amounts of earnings or loss attributable to each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various attributions, allocations and inter-group charges provided for in the Policy Statement generally do not affect the amounts reported in EchoStar’s condensed consolidated financial statements, except for effects on the attribution of equity and net income or loss between the holders of Tracking Stock and EchoStar’s common stockholders.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EchoStar Group, including regulatory authorizations and property and equipment (such as satellites and related terrestrial facilities), because those assets are operated and maintained by the EchoStar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EchoStar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EchoStar.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EchoStar’s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EchoStar on its cash and marketable investment securities portfolio. There is no allocation of EchoStar’s long-term debt or related interest costs to the Hughes Retail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5" w:right="239" w:bottom="0" w:gutter="0" w:footer="0" w:header="0"/>
        </w:sectPr>
      </w:pPr>
    </w:p>
    <w:bookmarkStart w:id="68" w:name="page69"/>
    <w:bookmarkEnd w:id="68"/>
    <w:p>
      <w:pPr>
        <w:spacing w:after="0" w:line="6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EchoStar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Attributions for Periods Prior to Adoption of the Policy Statement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Except as discussed below, attributions of assets, liabilities, revenue, expenses and cash flows to the Hughes Retail Group in periods prior to the adoption of the Policy Statement effective March 1, 2014 are substantially as described above. However, because the Policy Statement was not effective, the attributed financial information for periods prior to March 1, 2014 do not reflect retrospective application of specific pricing terms in the Policy Statement, such as the monthly charge per subscriber or the cost-plus-fixed-margin pricing for equipment transfers. In lieu of charges based on such specific terms, the attributed financial information for periods prior to March 1, 2014 reflect actual costs incurred for specifically identified items or are based on allocations of actual costs incurred for shared resources. In addition, because no arrangement for interest-bearing inter-group receivables or payables existed prior to March 1, 2014, no such accounts or related interest are reflected in the attributed financial information for periods prior to March 1, 2014. In such periods, EchoStar’s equity in the net assets of the Hughes Retail Group is presented as “Equity/Attributed net assets” and periodic changes in such equity are presented as “Inter-group equity contributions (distributions), net” within financing activities in the attributed statements of cash flows. As a result of our use of different attribution methods for certain items in periods prior to March 1, 2014, the attributed financial position, results of operations and cash flows of the Groups are not directly comparable to the corresponding attributed financial information for periods after March 1, 2014. Accordingly, the attributed financial information for periods prior to March 1, 2014 does not purport to present the attributed financial information that would have resulted if the Policy Statement had been adopted in such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Depreciable</w:t>
            </w: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560" w:type="dxa"/>
            <w:vAlign w:val="bottom"/>
          </w:tcPr>
          <w:p>
            <w:pPr>
              <w:spacing w:after="0"/>
              <w:rPr>
                <w:sz w:val="10"/>
                <w:szCs w:val="10"/>
                <w:color w:val="auto"/>
              </w:rPr>
            </w:pPr>
          </w:p>
        </w:tc>
        <w:tc>
          <w:tcPr>
            <w:tcW w:w="16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Life</w:t>
            </w:r>
          </w:p>
        </w:tc>
        <w:tc>
          <w:tcPr>
            <w:tcW w:w="160" w:type="dxa"/>
            <w:vAlign w:val="bottom"/>
          </w:tcPr>
          <w:p>
            <w:pPr>
              <w:spacing w:after="0"/>
              <w:rPr>
                <w:sz w:val="10"/>
                <w:szCs w:val="10"/>
                <w:color w:val="auto"/>
              </w:rPr>
            </w:pPr>
          </w:p>
        </w:tc>
        <w:tc>
          <w:tcPr>
            <w:tcW w:w="14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18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 Years)</w:t>
            </w:r>
          </w:p>
        </w:tc>
        <w:tc>
          <w:tcPr>
            <w:tcW w:w="160" w:type="dxa"/>
            <w:vAlign w:val="bottom"/>
          </w:tcPr>
          <w:p>
            <w:pPr>
              <w:spacing w:after="0"/>
              <w:rPr>
                <w:sz w:val="14"/>
                <w:szCs w:val="14"/>
                <w:color w:val="auto"/>
              </w:rPr>
            </w:pPr>
          </w:p>
        </w:tc>
        <w:tc>
          <w:tcPr>
            <w:tcW w:w="1220" w:type="dxa"/>
            <w:vAlign w:val="bottom"/>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978"/>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482,934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(405,262)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(316,789)</w:t>
            </w:r>
          </w:p>
        </w:tc>
      </w:tr>
      <w:tr>
        <w:trPr>
          <w:trHeight w:val="210"/>
        </w:trPr>
        <w:tc>
          <w:tcPr>
            <w:tcW w:w="3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169,318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Depreciation expense associated with the Hughes Retail Group property and equipment was $30.5 million and $28.8 million for the three months ended September 30, 2015 and 2014, respectively, and $89.8 million and $82.0 million for the nine months ended September 30, 2015 and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September 30, 2015</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(125,909)</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(114,657)</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Technology-based</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 portfolio</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(145,832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(131,132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$4.9 million and $6.0 million for the three months ended September 30, 2015 and 2014, respectively, and $14.7 million and $18.1 million for the nine months ended September 30,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w:t>
      </w:r>
    </w:p>
    <w:p>
      <w:pPr>
        <w:sectPr>
          <w:pgSz w:w="11900" w:h="16898" w:orient="portrait"/>
          <w:cols w:equalWidth="0" w:num="1">
            <w:col w:w="11420"/>
          </w:cols>
          <w:pgMar w:left="240" w:top="125" w:right="239" w:bottom="0" w:gutter="0" w:footer="0" w:header="0"/>
        </w:sectPr>
      </w:pPr>
    </w:p>
    <w:bookmarkStart w:id="69" w:name="page70"/>
    <w:bookmarkEnd w:id="69"/>
    <w:p>
      <w:pPr>
        <w:ind w:right="240"/>
        <w:spacing w:after="0" w:line="277" w:lineRule="auto"/>
        <w:rPr>
          <w:sz w:val="20"/>
          <w:szCs w:val="20"/>
          <w:color w:val="auto"/>
        </w:rPr>
      </w:pPr>
      <w:r>
        <w:rPr>
          <w:rFonts w:ascii="Arial" w:cs="Arial" w:eastAsia="Arial" w:hAnsi="Arial"/>
          <w:sz w:val="18"/>
          <w:szCs w:val="18"/>
          <w:color w:val="auto"/>
        </w:rPr>
        <w:t>tax bases of assets and liabilities. Deferred tax assets are offset by valuation allowances when we determine it is more likely than not that such deferred tax assets will not be realized in the foreseeable future.</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Policy Statement, all income tax obligations and benefits that arose prior to March 1, 2014, except for deferred income taxes related to differences between the financial reporting carrying amounts and tax bases of the Hughes Retail Group assets and liabilities, are attributable to the EchoStar Group. Because no arrangements for inter-group settlement of income taxes existed prior to March 1, 2014, no inter-group receivables or payables were recognized for attributed income tax expenses or benefits related to operations for periods prior to March 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Equity/Attributed Net Assets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reported amounts of equity/attributed net assets for the Hughes Retail Group and EchoStar Group represent the excess of attributed assets over attributed liabilities for the respective groups. EchoStar Group equity includes the 20.0% retained economic interest of EchoStar common stockholders in the net assets of the Hughes Retail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5"/>
          </w:tcPr>
          <w:p>
            <w:pPr>
              <w:jc w:val="right"/>
              <w:ind w:right="956"/>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Attributed paid-in capital</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456,122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456,122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Attributed accumulated earnings (deficit):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Periods prior to March 1, 2014</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33,395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Periods beginning March 1, 2014</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(23,886)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equity/attributed net assets</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465,631</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lowerLetter"/>
      <w:start w:val="2"/>
    </w:lvl>
  </w:abstractNum>
  <w:abstractNum w:abstractNumId="9">
    <w:nsid w:val="6CEAF087"/>
    <w:multiLevelType w:val="hybridMultilevel"/>
    <w:lvl w:ilvl="0">
      <w:lvlJc w:val="left"/>
      <w:lvlText w:val="(%1)"/>
      <w:numFmt w:val="decimal"/>
      <w:start w:val="2"/>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Roman"/>
      <w:start w:val="3"/>
    </w:lvl>
  </w:abstractNum>
  <w:abstractNum w:abstractNumId="14">
    <w:nsid w:val="419AC241"/>
    <w:multiLevelType w:val="hybridMultilevel"/>
    <w:lvl w:ilvl="0">
      <w:lvlJc w:val="left"/>
      <w:lvlText w:val="\emdash "/>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upperLetter"/>
      <w:start w:val="8"/>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2"/>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2"/>
    </w:lvl>
  </w:abstractNum>
  <w:abstractNum w:abstractNumId="21">
    <w:nsid w:val="5C482A97"/>
    <w:multiLevelType w:val="hybridMultilevel"/>
    <w:lvl w:ilvl="0">
      <w:lvlJc w:val="left"/>
      <w:lvlText w:val="(%1)"/>
      <w:numFmt w:val="lowerLetter"/>
      <w:start w:val="3"/>
    </w:lvl>
    <w:lvl w:ilvl="1">
      <w:lvlJc w:val="left"/>
      <w:lvlText w:val="(%2)"/>
      <w:numFmt w:val="lowerLetter"/>
      <w:start w:val="9"/>
    </w:lvl>
  </w:abstractNum>
  <w:abstractNum w:abstractNumId="22">
    <w:nsid w:val="2463B9EA"/>
    <w:multiLevelType w:val="hybridMultilevel"/>
    <w:lvl w:ilvl="0">
      <w:lvlJc w:val="left"/>
      <w:lvlText w:val="(%1)"/>
      <w:numFmt w:val="lowerRoman"/>
      <w:start w:val="2"/>
    </w:lvl>
  </w:abstractNum>
  <w:abstractNum w:abstractNumId="23">
    <w:nsid w:val="5E884ADC"/>
    <w:multiLevelType w:val="hybridMultilevel"/>
    <w:lvl w:ilvl="0">
      <w:lvlJc w:val="left"/>
      <w:lvlText w:val="%1"/>
      <w:numFmt w:val="lowerLetter"/>
      <w:start w:val="1"/>
    </w:lvl>
    <w:lvl w:ilvl="1">
      <w:lvlJc w:val="left"/>
      <w:lvlText w:val="(%2)"/>
      <w:numFmt w:val="lowerRoman"/>
      <w:start w:val="4"/>
    </w:lvl>
  </w:abstractNum>
  <w:abstractNum w:abstractNumId="24">
    <w:nsid w:val="51EAD36B"/>
    <w:multiLevelType w:val="hybridMultilevel"/>
    <w:lvl w:ilvl="0">
      <w:lvlJc w:val="left"/>
      <w:lvlText w:val="(%1)"/>
      <w:numFmt w:val="lowerLetter"/>
      <w:start w:val="5"/>
    </w:lvl>
    <w:lvl w:ilvl="1">
      <w:lvlJc w:val="left"/>
      <w:lvlText w:val="%2"/>
      <w:numFmt w:val="lowerRoman"/>
      <w:start w:val="1"/>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Letter"/>
      <w:start w:val="4"/>
    </w:lvl>
  </w:abstractNum>
  <w:abstractNum w:abstractNumId="28">
    <w:nsid w:val="3855585C"/>
    <w:multiLevelType w:val="hybridMultilevel"/>
    <w:lvl w:ilvl="0">
      <w:lvlJc w:val="left"/>
      <w:lvlText w:val="%1."/>
      <w:numFmt w:val="decimal"/>
      <w:start w:val="4"/>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5"/>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5"/>
    </w:lvl>
  </w:abstractNum>
  <w:abstractNum w:abstractNumId="33">
    <w:nsid w:val="725A06FB"/>
    <w:multiLevelType w:val="hybridMultilevel"/>
    <w:lvl w:ilvl="0">
      <w:lvlJc w:val="left"/>
      <w:lvlText w:val="(%1)"/>
      <w:numFmt w:val="lowerLetter"/>
      <w:start w:val="7"/>
    </w:lvl>
  </w:abstractNum>
  <w:abstractNum w:abstractNumId="34">
    <w:nsid w:val="2CD89A32"/>
    <w:multiLevelType w:val="hybridMultilevel"/>
    <w:lvl w:ilvl="0">
      <w:lvlJc w:val="left"/>
      <w:lvlText w:val="(%1)"/>
      <w:numFmt w:val="lowerLetter"/>
      <w:start w:val="8"/>
    </w:lvl>
  </w:abstractNum>
  <w:abstractNum w:abstractNumId="35">
    <w:nsid w:val="57E4CCAF"/>
    <w:multiLevelType w:val="hybridMultilevel"/>
    <w:lvl w:ilvl="0">
      <w:lvlJc w:val="left"/>
      <w:lvlText w:val="%1."/>
      <w:numFmt w:val="decimal"/>
      <w:start w:val="6"/>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Letter"/>
      <w:start w:val="2"/>
    </w:lvl>
    <w:lvl w:ilvl="1">
      <w:lvlJc w:val="left"/>
      <w:lvlText w:val="(%2)"/>
      <w:numFmt w:val="lowerRoman"/>
      <w:start w:val="1"/>
    </w:lvl>
  </w:abstractNum>
  <w:abstractNum w:abstractNumId="39">
    <w:nsid w:val="6DE91B18"/>
    <w:multiLevelType w:val="hybridMultilevel"/>
    <w:lvl w:ilvl="0">
      <w:lvlJc w:val="left"/>
      <w:lvlText w:val="%1"/>
      <w:numFmt w:val="lowerLetter"/>
      <w:start w:val="1"/>
    </w:lvl>
    <w:lvl w:ilvl="1">
      <w:lvlJc w:val="left"/>
      <w:lvlText w:val="(%2)"/>
      <w:numFmt w:val="lowerRoman"/>
      <w:start w:val="6"/>
    </w:lvl>
  </w:abstractNum>
  <w:abstractNum w:abstractNumId="40">
    <w:nsid w:val="38437FDB"/>
    <w:multiLevelType w:val="hybridMultilevel"/>
    <w:lvl w:ilvl="0">
      <w:lvlJc w:val="left"/>
      <w:lvlText w:val="(%1)"/>
      <w:numFmt w:val="lowerLetter"/>
      <w:start w:val="3"/>
    </w:lvl>
    <w:lvl w:ilvl="1">
      <w:lvlJc w:val="left"/>
      <w:lvlText w:val="(%2)"/>
      <w:numFmt w:val="lowerRoman"/>
      <w:start w:val="1"/>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6"/>
    </w:lvl>
  </w:abstractNum>
  <w:abstractNum w:abstractNumId="43">
    <w:nsid w:val="684A481A"/>
    <w:multiLevelType w:val="hybridMultilevel"/>
    <w:lvl w:ilvl="0">
      <w:lvlJc w:val="left"/>
      <w:lvlText w:val="%1."/>
      <w:numFmt w:val="decimal"/>
      <w:start w:val="7"/>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5"/>
    </w:lvl>
  </w:abstractNum>
  <w:abstractNum w:abstractNumId="46">
    <w:nsid w:val="3DC240FB"/>
    <w:multiLevelType w:val="hybridMultilevel"/>
    <w:lvl w:ilvl="0">
      <w:lvlJc w:val="left"/>
      <w:lvlText w:val="(%1)"/>
      <w:numFmt w:val="lowerLetter"/>
      <w:start w:val="6"/>
    </w:lvl>
  </w:abstractNum>
  <w:abstractNum w:abstractNumId="47">
    <w:nsid w:val="1BA026FA"/>
    <w:multiLevelType w:val="hybridMultilevel"/>
    <w:lvl w:ilvl="0">
      <w:lvlJc w:val="left"/>
      <w:lvlText w:val="(%1)"/>
      <w:numFmt w:val="lowerLetter"/>
      <w:start w:val="11"/>
    </w:lvl>
  </w:abstractNum>
  <w:abstractNum w:abstractNumId="48">
    <w:nsid w:val="79A1DEAA"/>
    <w:multiLevelType w:val="hybridMultilevel"/>
    <w:lvl w:ilvl="0">
      <w:lvlJc w:val="left"/>
      <w:lvlText w:val="(%1)"/>
      <w:numFmt w:val="lowerLetter"/>
      <w:start w:val="13"/>
    </w:lvl>
    <w:lvl w:ilvl="1">
      <w:lvlJc w:val="left"/>
      <w:lvlText w:val="(%2)"/>
      <w:numFmt w:val="lowerRoman"/>
      <w:start w:val="1"/>
    </w:lvl>
  </w:abstractNum>
  <w:abstractNum w:abstractNumId="49">
    <w:nsid w:val="75C6C33A"/>
    <w:multiLevelType w:val="hybridMultilevel"/>
    <w:lvl w:ilvl="0">
      <w:lvlJc w:val="left"/>
      <w:lvlText w:val="%1"/>
      <w:numFmt w:val="lowerLetter"/>
      <w:start w:val="1"/>
    </w:lvl>
    <w:lvl w:ilvl="1">
      <w:lvlJc w:val="left"/>
      <w:lvlText w:val="(%2)"/>
      <w:numFmt w:val="lowerRoman"/>
      <w:start w:val="4"/>
    </w:lvl>
  </w:abstractNum>
  <w:abstractNum w:abstractNumId="50">
    <w:nsid w:val="12E685FB"/>
    <w:multiLevelType w:val="hybridMultilevel"/>
    <w:lvl w:ilvl="0">
      <w:lvlJc w:val="left"/>
      <w:lvlText w:val="(%1)"/>
      <w:numFmt w:val="lowerLetter"/>
      <w:start w:val="15"/>
    </w:lvl>
    <w:lvl w:ilvl="1">
      <w:lvlJc w:val="left"/>
      <w:lvlText w:val="%2"/>
      <w:numFmt w:val="lowerRoman"/>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2019-12-29T13:24:34Z</dcterms:created>
  <dcterms:modified xsi:type="dcterms:W3CDTF">2019-12-29T13:24:34Z</dcterms:modified>
</cp:coreProperties>
</file>