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3220" w:right="2600" w:hanging="3212"/>
        <w:spacing w:after="0" w:line="286" w:lineRule="auto"/>
        <w:tabs>
          <w:tab w:leader="none" w:pos="33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 w:lineRule="exact"/>
        <w:rPr>
          <w:sz w:val="24"/>
          <w:szCs w:val="24"/>
          <w:color w:val="auto"/>
        </w:rPr>
      </w:pPr>
    </w:p>
    <w:p>
      <w:pPr>
        <w:ind w:left="33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4003675</wp:posOffset>
            </wp:positionH>
            <wp:positionV relativeFrom="paragraph">
              <wp:posOffset>-14605</wp:posOffset>
            </wp:positionV>
            <wp:extent cx="1026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001-33807</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15" w:lineRule="exact"/>
        <w:rPr>
          <w:sz w:val="24"/>
          <w:szCs w:val="24"/>
          <w:color w:val="auto"/>
        </w:rPr>
      </w:pPr>
    </w:p>
    <w:tbl>
      <w:tblPr>
        <w:tblLayout w:type="fixed"/>
        <w:tblInd w:w="540" w:type="dxa"/>
        <w:tblCellMar>
          <w:top w:w="0" w:type="dxa"/>
          <w:left w:w="0" w:type="dxa"/>
          <w:bottom w:w="0" w:type="dxa"/>
          <w:right w:w="0" w:type="dxa"/>
        </w:tblCellMar>
      </w:tblPr>
      <w:tr>
        <w:trPr>
          <w:trHeight w:val="239"/>
        </w:trPr>
        <w:tc>
          <w:tcPr>
            <w:tcW w:w="5240" w:type="dxa"/>
            <w:vAlign w:val="bottom"/>
          </w:tcPr>
          <w:p>
            <w:pPr>
              <w:jc w:val="center"/>
              <w:ind w:right="437"/>
              <w:spacing w:after="0"/>
              <w:rPr>
                <w:sz w:val="20"/>
                <w:szCs w:val="20"/>
                <w:color w:val="auto"/>
              </w:rPr>
            </w:pPr>
            <w:r>
              <w:rPr>
                <w:rFonts w:ascii="Arial" w:cs="Arial" w:eastAsia="Arial" w:hAnsi="Arial"/>
                <w:sz w:val="18"/>
                <w:szCs w:val="18"/>
                <w:b w:val="1"/>
                <w:bCs w:val="1"/>
                <w:color w:val="auto"/>
                <w:w w:val="99"/>
              </w:rPr>
              <w:t>Nevada</w:t>
            </w:r>
          </w:p>
        </w:tc>
        <w:tc>
          <w:tcPr>
            <w:tcW w:w="5380" w:type="dxa"/>
            <w:vAlign w:val="bottom"/>
          </w:tcPr>
          <w:p>
            <w:pPr>
              <w:jc w:val="center"/>
              <w:ind w:left="656"/>
              <w:spacing w:after="0"/>
              <w:rPr>
                <w:sz w:val="20"/>
                <w:szCs w:val="20"/>
                <w:color w:val="auto"/>
              </w:rPr>
            </w:pPr>
            <w:r>
              <w:rPr>
                <w:rFonts w:ascii="Arial" w:cs="Arial" w:eastAsia="Arial" w:hAnsi="Arial"/>
                <w:sz w:val="18"/>
                <w:szCs w:val="18"/>
                <w:b w:val="1"/>
                <w:bCs w:val="1"/>
                <w:color w:val="auto"/>
                <w:w w:val="99"/>
              </w:rPr>
              <w:t>26-1232727</w:t>
            </w:r>
          </w:p>
        </w:tc>
      </w:tr>
      <w:tr>
        <w:trPr>
          <w:trHeight w:val="210"/>
        </w:trPr>
        <w:tc>
          <w:tcPr>
            <w:tcW w:w="5240" w:type="dxa"/>
            <w:vAlign w:val="bottom"/>
          </w:tcPr>
          <w:p>
            <w:pPr>
              <w:jc w:val="center"/>
              <w:ind w:right="457"/>
              <w:spacing w:after="0"/>
              <w:rPr>
                <w:sz w:val="20"/>
                <w:szCs w:val="20"/>
                <w:color w:val="auto"/>
              </w:rPr>
            </w:pPr>
            <w:r>
              <w:rPr>
                <w:rFonts w:ascii="Arial" w:cs="Arial" w:eastAsia="Arial" w:hAnsi="Arial"/>
                <w:sz w:val="16"/>
                <w:szCs w:val="16"/>
                <w:color w:val="auto"/>
              </w:rPr>
              <w:t>(State or other jurisdiction of incorporation or organization)</w:t>
            </w:r>
          </w:p>
        </w:tc>
        <w:tc>
          <w:tcPr>
            <w:tcW w:w="5380" w:type="dxa"/>
            <w:vAlign w:val="bottom"/>
          </w:tcPr>
          <w:p>
            <w:pPr>
              <w:jc w:val="center"/>
              <w:ind w:left="656"/>
              <w:spacing w:after="0"/>
              <w:rPr>
                <w:sz w:val="20"/>
                <w:szCs w:val="20"/>
                <w:color w:val="auto"/>
              </w:rPr>
            </w:pPr>
            <w:r>
              <w:rPr>
                <w:rFonts w:ascii="Arial" w:cs="Arial" w:eastAsia="Arial" w:hAnsi="Arial"/>
                <w:sz w:val="16"/>
                <w:szCs w:val="16"/>
                <w:color w:val="auto"/>
              </w:rPr>
              <w:t>(I.R.S. Employer Identification No.)</w:t>
            </w:r>
          </w:p>
        </w:tc>
      </w:tr>
      <w:tr>
        <w:trPr>
          <w:trHeight w:val="357"/>
        </w:trPr>
        <w:tc>
          <w:tcPr>
            <w:tcW w:w="5240" w:type="dxa"/>
            <w:vAlign w:val="bottom"/>
          </w:tcPr>
          <w:p>
            <w:pPr>
              <w:jc w:val="right"/>
              <w:ind w:right="677"/>
              <w:spacing w:after="0"/>
              <w:rPr>
                <w:sz w:val="20"/>
                <w:szCs w:val="20"/>
                <w:color w:val="auto"/>
              </w:rPr>
            </w:pPr>
            <w:r>
              <w:rPr>
                <w:rFonts w:ascii="Arial" w:cs="Arial" w:eastAsia="Arial" w:hAnsi="Arial"/>
                <w:sz w:val="18"/>
                <w:szCs w:val="18"/>
                <w:b w:val="1"/>
                <w:bCs w:val="1"/>
                <w:color w:val="auto"/>
              </w:rPr>
              <w:t>100 Inverness Terrace East,   Englewood, Colorado</w:t>
            </w:r>
          </w:p>
        </w:tc>
        <w:tc>
          <w:tcPr>
            <w:tcW w:w="5380" w:type="dxa"/>
            <w:vAlign w:val="bottom"/>
          </w:tcPr>
          <w:p>
            <w:pPr>
              <w:jc w:val="center"/>
              <w:ind w:left="656"/>
              <w:spacing w:after="0"/>
              <w:rPr>
                <w:sz w:val="20"/>
                <w:szCs w:val="20"/>
                <w:color w:val="auto"/>
              </w:rPr>
            </w:pPr>
            <w:r>
              <w:rPr>
                <w:rFonts w:ascii="Arial" w:cs="Arial" w:eastAsia="Arial" w:hAnsi="Arial"/>
                <w:sz w:val="18"/>
                <w:szCs w:val="18"/>
                <w:b w:val="1"/>
                <w:bCs w:val="1"/>
                <w:color w:val="auto"/>
                <w:w w:val="99"/>
              </w:rPr>
              <w:t>80112-5308</w:t>
            </w:r>
          </w:p>
        </w:tc>
      </w:tr>
      <w:tr>
        <w:trPr>
          <w:trHeight w:val="210"/>
        </w:trPr>
        <w:tc>
          <w:tcPr>
            <w:tcW w:w="5240" w:type="dxa"/>
            <w:vAlign w:val="bottom"/>
          </w:tcPr>
          <w:p>
            <w:pPr>
              <w:jc w:val="center"/>
              <w:ind w:right="437"/>
              <w:spacing w:after="0"/>
              <w:rPr>
                <w:sz w:val="20"/>
                <w:szCs w:val="20"/>
                <w:color w:val="auto"/>
              </w:rPr>
            </w:pPr>
            <w:r>
              <w:rPr>
                <w:rFonts w:ascii="Arial" w:cs="Arial" w:eastAsia="Arial" w:hAnsi="Arial"/>
                <w:sz w:val="16"/>
                <w:szCs w:val="16"/>
                <w:color w:val="auto"/>
              </w:rPr>
              <w:t>(Address of principal executive offices)</w:t>
            </w:r>
          </w:p>
        </w:tc>
        <w:tc>
          <w:tcPr>
            <w:tcW w:w="5380" w:type="dxa"/>
            <w:vAlign w:val="bottom"/>
          </w:tcPr>
          <w:p>
            <w:pPr>
              <w:jc w:val="center"/>
              <w:ind w:left="656"/>
              <w:spacing w:after="0"/>
              <w:rPr>
                <w:sz w:val="20"/>
                <w:szCs w:val="20"/>
                <w:color w:val="auto"/>
              </w:rPr>
            </w:pPr>
            <w:r>
              <w:rPr>
                <w:rFonts w:ascii="Arial" w:cs="Arial" w:eastAsia="Arial" w:hAnsi="Arial"/>
                <w:sz w:val="16"/>
                <w:szCs w:val="16"/>
                <w:color w:val="auto"/>
              </w:rPr>
              <w:t>(Zip Code)</w:t>
            </w:r>
          </w:p>
        </w:tc>
      </w:tr>
      <w:tr>
        <w:trPr>
          <w:trHeight w:val="343"/>
        </w:trPr>
        <w:tc>
          <w:tcPr>
            <w:tcW w:w="5240" w:type="dxa"/>
            <w:vAlign w:val="bottom"/>
          </w:tcPr>
          <w:p>
            <w:pPr>
              <w:jc w:val="right"/>
              <w:ind w:right="2017"/>
              <w:spacing w:after="0"/>
              <w:rPr>
                <w:sz w:val="20"/>
                <w:szCs w:val="20"/>
                <w:color w:val="auto"/>
              </w:rPr>
            </w:pPr>
            <w:r>
              <w:rPr>
                <w:rFonts w:ascii="Arial" w:cs="Arial" w:eastAsia="Arial" w:hAnsi="Arial"/>
                <w:sz w:val="18"/>
                <w:szCs w:val="18"/>
                <w:b w:val="1"/>
                <w:bCs w:val="1"/>
                <w:color w:val="auto"/>
              </w:rPr>
              <w:t>(303) 706-4000</w:t>
            </w:r>
          </w:p>
        </w:tc>
        <w:tc>
          <w:tcPr>
            <w:tcW w:w="5380" w:type="dxa"/>
            <w:vAlign w:val="bottom"/>
          </w:tcPr>
          <w:p>
            <w:pPr>
              <w:jc w:val="center"/>
              <w:ind w:left="636"/>
              <w:spacing w:after="0"/>
              <w:rPr>
                <w:sz w:val="20"/>
                <w:szCs w:val="20"/>
                <w:color w:val="auto"/>
              </w:rPr>
            </w:pPr>
            <w:r>
              <w:rPr>
                <w:rFonts w:ascii="Arial" w:cs="Arial" w:eastAsia="Arial" w:hAnsi="Arial"/>
                <w:sz w:val="18"/>
                <w:szCs w:val="18"/>
                <w:b w:val="1"/>
                <w:bCs w:val="1"/>
                <w:color w:val="auto"/>
                <w:w w:val="99"/>
              </w:rPr>
              <w:t>Not Applicable</w:t>
            </w:r>
          </w:p>
        </w:tc>
      </w:tr>
      <w:tr>
        <w:trPr>
          <w:trHeight w:val="177"/>
        </w:trPr>
        <w:tc>
          <w:tcPr>
            <w:tcW w:w="5240" w:type="dxa"/>
            <w:vAlign w:val="bottom"/>
          </w:tcPr>
          <w:p>
            <w:pPr>
              <w:jc w:val="center"/>
              <w:ind w:right="437"/>
              <w:spacing w:after="0" w:line="178" w:lineRule="exact"/>
              <w:rPr>
                <w:sz w:val="20"/>
                <w:szCs w:val="20"/>
                <w:color w:val="auto"/>
              </w:rPr>
            </w:pPr>
            <w:r>
              <w:rPr>
                <w:rFonts w:ascii="Arial" w:cs="Arial" w:eastAsia="Arial" w:hAnsi="Arial"/>
                <w:sz w:val="16"/>
                <w:szCs w:val="16"/>
                <w:color w:val="auto"/>
              </w:rPr>
              <w:t>(Registrant’s telephone number, including area code)</w:t>
            </w:r>
          </w:p>
        </w:tc>
        <w:tc>
          <w:tcPr>
            <w:tcW w:w="5380" w:type="dxa"/>
            <w:vAlign w:val="bottom"/>
          </w:tcPr>
          <w:p>
            <w:pPr>
              <w:jc w:val="center"/>
              <w:ind w:left="656"/>
              <w:spacing w:after="0" w:line="178" w:lineRule="exact"/>
              <w:rPr>
                <w:sz w:val="20"/>
                <w:szCs w:val="20"/>
                <w:color w:val="auto"/>
              </w:rPr>
            </w:pPr>
            <w:r>
              <w:rPr>
                <w:rFonts w:ascii="Arial" w:cs="Arial" w:eastAsia="Arial" w:hAnsi="Arial"/>
                <w:sz w:val="16"/>
                <w:szCs w:val="16"/>
                <w:color w:val="auto"/>
              </w:rPr>
              <w:t>(Former name, former address and former fiscal year, if changed</w:t>
            </w:r>
          </w:p>
        </w:tc>
      </w:tr>
      <w:tr>
        <w:trPr>
          <w:trHeight w:val="195"/>
        </w:trPr>
        <w:tc>
          <w:tcPr>
            <w:tcW w:w="5240" w:type="dxa"/>
            <w:vAlign w:val="bottom"/>
          </w:tcPr>
          <w:p>
            <w:pPr>
              <w:spacing w:after="0"/>
              <w:rPr>
                <w:sz w:val="16"/>
                <w:szCs w:val="16"/>
                <w:color w:val="auto"/>
              </w:rPr>
            </w:pPr>
          </w:p>
        </w:tc>
        <w:tc>
          <w:tcPr>
            <w:tcW w:w="5380" w:type="dxa"/>
            <w:vAlign w:val="bottom"/>
          </w:tcPr>
          <w:p>
            <w:pPr>
              <w:jc w:val="center"/>
              <w:ind w:left="656"/>
              <w:spacing w:after="0"/>
              <w:rPr>
                <w:sz w:val="20"/>
                <w:szCs w:val="20"/>
                <w:color w:val="auto"/>
              </w:rPr>
            </w:pPr>
            <w:r>
              <w:rPr>
                <w:rFonts w:ascii="Arial" w:cs="Arial" w:eastAsia="Arial" w:hAnsi="Arial"/>
                <w:sz w:val="16"/>
                <w:szCs w:val="16"/>
                <w:color w:val="auto"/>
              </w:rPr>
              <w:t>since last report)</w:t>
            </w:r>
          </w:p>
        </w:tc>
      </w:tr>
      <w:tr>
        <w:trPr>
          <w:trHeight w:val="324"/>
        </w:trPr>
        <w:tc>
          <w:tcPr>
            <w:tcW w:w="5240" w:type="dxa"/>
            <w:vAlign w:val="bottom"/>
          </w:tcPr>
          <w:p>
            <w:pPr>
              <w:jc w:val="center"/>
              <w:ind w:right="437"/>
              <w:spacing w:after="0"/>
              <w:rPr>
                <w:sz w:val="20"/>
                <w:szCs w:val="20"/>
                <w:color w:val="auto"/>
              </w:rPr>
            </w:pPr>
            <w:r>
              <w:rPr>
                <w:rFonts w:ascii="Arial" w:cs="Arial" w:eastAsia="Arial" w:hAnsi="Arial"/>
                <w:sz w:val="16"/>
                <w:szCs w:val="16"/>
                <w:color w:val="auto"/>
              </w:rPr>
              <w:t>Securities registered pursuant to Section 12(b) of the Act:</w:t>
            </w:r>
          </w:p>
        </w:tc>
        <w:tc>
          <w:tcPr>
            <w:tcW w:w="5380" w:type="dxa"/>
            <w:vAlign w:val="bottom"/>
          </w:tcPr>
          <w:p>
            <w:pPr>
              <w:spacing w:after="0"/>
              <w:rPr>
                <w:sz w:val="24"/>
                <w:szCs w:val="24"/>
                <w:color w:val="auto"/>
              </w:rPr>
            </w:pPr>
          </w:p>
        </w:tc>
      </w:tr>
      <w:tr>
        <w:trPr>
          <w:trHeight w:val="216"/>
        </w:trPr>
        <w:tc>
          <w:tcPr>
            <w:tcW w:w="5240" w:type="dxa"/>
            <w:vAlign w:val="bottom"/>
          </w:tcPr>
          <w:p>
            <w:pPr>
              <w:jc w:val="right"/>
              <w:ind w:right="1477"/>
              <w:spacing w:after="0"/>
              <w:rPr>
                <w:sz w:val="20"/>
                <w:szCs w:val="20"/>
                <w:color w:val="auto"/>
              </w:rPr>
            </w:pPr>
            <w:r>
              <w:rPr>
                <w:rFonts w:ascii="Arial" w:cs="Arial" w:eastAsia="Arial" w:hAnsi="Arial"/>
                <w:sz w:val="16"/>
                <w:szCs w:val="16"/>
                <w:b w:val="1"/>
                <w:bCs w:val="1"/>
                <w:color w:val="auto"/>
              </w:rPr>
              <w:t>Class A common stock $0.001 par value</w:t>
            </w:r>
          </w:p>
        </w:tc>
        <w:tc>
          <w:tcPr>
            <w:tcW w:w="5380" w:type="dxa"/>
            <w:vAlign w:val="bottom"/>
          </w:tcPr>
          <w:p>
            <w:pPr>
              <w:jc w:val="center"/>
              <w:ind w:left="656"/>
              <w:spacing w:after="0"/>
              <w:rPr>
                <w:sz w:val="20"/>
                <w:szCs w:val="20"/>
                <w:color w:val="auto"/>
              </w:rPr>
            </w:pPr>
            <w:r>
              <w:rPr>
                <w:rFonts w:ascii="Arial" w:cs="Arial" w:eastAsia="Arial" w:hAnsi="Arial"/>
                <w:sz w:val="16"/>
                <w:szCs w:val="16"/>
                <w:b w:val="1"/>
                <w:bCs w:val="1"/>
                <w:color w:val="auto"/>
              </w:rPr>
              <w:t>The NASDAQ Stock Market LLC</w:t>
            </w:r>
          </w:p>
        </w:tc>
      </w:tr>
      <w:tr>
        <w:trPr>
          <w:trHeight w:val="216"/>
        </w:trPr>
        <w:tc>
          <w:tcPr>
            <w:tcW w:w="5240" w:type="dxa"/>
            <w:vAlign w:val="bottom"/>
          </w:tcPr>
          <w:p>
            <w:pPr>
              <w:jc w:val="center"/>
              <w:ind w:right="437"/>
              <w:spacing w:after="0"/>
              <w:rPr>
                <w:sz w:val="20"/>
                <w:szCs w:val="20"/>
                <w:color w:val="auto"/>
              </w:rPr>
            </w:pPr>
            <w:r>
              <w:rPr>
                <w:rFonts w:ascii="Arial" w:cs="Arial" w:eastAsia="Arial" w:hAnsi="Arial"/>
                <w:sz w:val="16"/>
                <w:szCs w:val="16"/>
                <w:color w:val="auto"/>
              </w:rPr>
              <w:t>(Title of each class)</w:t>
            </w:r>
          </w:p>
        </w:tc>
        <w:tc>
          <w:tcPr>
            <w:tcW w:w="5380" w:type="dxa"/>
            <w:vAlign w:val="bottom"/>
          </w:tcPr>
          <w:p>
            <w:pPr>
              <w:jc w:val="center"/>
              <w:ind w:left="656"/>
              <w:spacing w:after="0"/>
              <w:rPr>
                <w:sz w:val="20"/>
                <w:szCs w:val="20"/>
                <w:color w:val="auto"/>
              </w:rPr>
            </w:pPr>
            <w:r>
              <w:rPr>
                <w:rFonts w:ascii="Arial" w:cs="Arial" w:eastAsia="Arial" w:hAnsi="Arial"/>
                <w:sz w:val="16"/>
                <w:szCs w:val="16"/>
                <w:color w:val="auto"/>
              </w:rPr>
              <w:t>(Name of each exchange on which registered)</w:t>
            </w:r>
          </w:p>
        </w:tc>
      </w:tr>
      <w:tr>
        <w:trPr>
          <w:trHeight w:val="216"/>
        </w:trPr>
        <w:tc>
          <w:tcPr>
            <w:tcW w:w="5240" w:type="dxa"/>
            <w:vAlign w:val="bottom"/>
          </w:tcPr>
          <w:p>
            <w:pPr>
              <w:jc w:val="center"/>
              <w:ind w:right="457"/>
              <w:spacing w:after="0"/>
              <w:rPr>
                <w:sz w:val="20"/>
                <w:szCs w:val="20"/>
                <w:color w:val="auto"/>
              </w:rPr>
            </w:pPr>
            <w:r>
              <w:rPr>
                <w:rFonts w:ascii="Arial" w:cs="Arial" w:eastAsia="Arial" w:hAnsi="Arial"/>
                <w:sz w:val="16"/>
                <w:szCs w:val="16"/>
                <w:b w:val="1"/>
                <w:bCs w:val="1"/>
                <w:color w:val="auto"/>
                <w:w w:val="98"/>
              </w:rPr>
              <w:t>SATS</w:t>
            </w:r>
          </w:p>
        </w:tc>
        <w:tc>
          <w:tcPr>
            <w:tcW w:w="5380" w:type="dxa"/>
            <w:vAlign w:val="bottom"/>
          </w:tcPr>
          <w:p>
            <w:pPr>
              <w:spacing w:after="0"/>
              <w:rPr>
                <w:sz w:val="18"/>
                <w:szCs w:val="18"/>
                <w:color w:val="auto"/>
              </w:rPr>
            </w:pPr>
          </w:p>
        </w:tc>
      </w:tr>
      <w:tr>
        <w:trPr>
          <w:trHeight w:val="216"/>
        </w:trPr>
        <w:tc>
          <w:tcPr>
            <w:tcW w:w="5240" w:type="dxa"/>
            <w:vAlign w:val="bottom"/>
          </w:tcPr>
          <w:p>
            <w:pPr>
              <w:jc w:val="center"/>
              <w:ind w:right="457"/>
              <w:spacing w:after="0"/>
              <w:rPr>
                <w:sz w:val="20"/>
                <w:szCs w:val="20"/>
                <w:color w:val="auto"/>
              </w:rPr>
            </w:pPr>
            <w:r>
              <w:rPr>
                <w:rFonts w:ascii="Arial" w:cs="Arial" w:eastAsia="Arial" w:hAnsi="Arial"/>
                <w:sz w:val="16"/>
                <w:szCs w:val="16"/>
                <w:color w:val="auto"/>
              </w:rPr>
              <w:t>(Ticker symbol)</w:t>
            </w:r>
          </w:p>
        </w:tc>
        <w:tc>
          <w:tcPr>
            <w:tcW w:w="5380" w:type="dxa"/>
            <w:vAlign w:val="bottom"/>
          </w:tcPr>
          <w:p>
            <w:pPr>
              <w:spacing w:after="0"/>
              <w:rPr>
                <w:sz w:val="18"/>
                <w:szCs w:val="18"/>
                <w:color w:val="auto"/>
              </w:rPr>
            </w:pPr>
          </w:p>
        </w:tc>
      </w:tr>
    </w:tbl>
    <w:p>
      <w:pPr>
        <w:spacing w:after="0" w:line="332"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jc w:val="both"/>
        <w:spacing w:after="0" w:line="21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2"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256"/>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8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65"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2"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As of October 29, 2020, the registrant’s outstanding common stock consisted of 50,458,521 shares of Class A common stock and 47,687,039 shares of Class B common stock, each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40" w:type="dxa"/>
            <w:vAlign w:val="bottom"/>
            <w:gridSpan w:val="1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00" w:type="dxa"/>
            <w:vAlign w:val="bottom"/>
          </w:tcPr>
          <w:p>
            <w:pPr>
              <w:spacing w:after="0"/>
              <w:rPr>
                <w:sz w:val="18"/>
                <w:szCs w:val="18"/>
                <w:color w:val="auto"/>
              </w:rPr>
            </w:pPr>
          </w:p>
        </w:tc>
      </w:tr>
      <w:tr>
        <w:trPr>
          <w:trHeight w:val="769"/>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60" w:type="dxa"/>
            <w:vAlign w:val="bottom"/>
            <w:gridSpan w:val="7"/>
          </w:tcPr>
          <w:p>
            <w:pPr>
              <w:ind w:left="2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4"/>
                <w:szCs w:val="24"/>
                <w:color w:val="auto"/>
              </w:rPr>
            </w:pPr>
          </w:p>
        </w:tc>
      </w:tr>
      <w:tr>
        <w:trPr>
          <w:trHeight w:val="567"/>
        </w:trPr>
        <w:tc>
          <w:tcPr>
            <w:tcW w:w="10440" w:type="dxa"/>
            <w:vAlign w:val="bottom"/>
            <w:gridSpan w:val="13"/>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Disclosure Regarding Forward-Looking Statements</w:t>
              </w:r>
            </w:hyperlink>
          </w:p>
        </w:tc>
        <w:tc>
          <w:tcPr>
            <w:tcW w:w="80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459"/>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80" w:type="dxa"/>
            <w:vAlign w:val="bottom"/>
            <w:gridSpan w:val="8"/>
          </w:tcPr>
          <w:p>
            <w:pPr>
              <w:jc w:val="center"/>
              <w:ind w:right="3000"/>
              <w:spacing w:after="0"/>
              <w:rPr>
                <w:rFonts w:ascii="Arial" w:cs="Arial" w:eastAsia="Arial" w:hAnsi="Arial"/>
                <w:sz w:val="18"/>
                <w:szCs w:val="18"/>
                <w:b w:val="1"/>
                <w:bCs w:val="1"/>
                <w:u w:val="single" w:color="auto"/>
                <w:color w:val="0000FF"/>
                <w:w w:val="99"/>
              </w:rPr>
            </w:pPr>
            <w:hyperlink w:anchor="page4">
              <w:r>
                <w:rPr>
                  <w:rFonts w:ascii="Arial" w:cs="Arial" w:eastAsia="Arial" w:hAnsi="Arial"/>
                  <w:sz w:val="18"/>
                  <w:szCs w:val="18"/>
                  <w:b w:val="1"/>
                  <w:bCs w:val="1"/>
                  <w:u w:val="single" w:color="auto"/>
                  <w:color w:val="0000FF"/>
                  <w:w w:val="99"/>
                </w:rPr>
                <w:t>PART I - FINANCIAL INFORMATION</w:t>
              </w:r>
            </w:hyperlink>
          </w:p>
        </w:tc>
        <w:tc>
          <w:tcPr>
            <w:tcW w:w="800" w:type="dxa"/>
            <w:vAlign w:val="bottom"/>
          </w:tcPr>
          <w:p>
            <w:pPr>
              <w:spacing w:after="0"/>
              <w:rPr>
                <w:sz w:val="24"/>
                <w:szCs w:val="24"/>
                <w:color w:val="auto"/>
              </w:rPr>
            </w:pPr>
          </w:p>
        </w:tc>
      </w:tr>
      <w:tr>
        <w:trPr>
          <w:trHeight w:val="459"/>
        </w:trPr>
        <w:tc>
          <w:tcPr>
            <w:tcW w:w="100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8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189"/>
        </w:trPr>
        <w:tc>
          <w:tcPr>
            <w:tcW w:w="1000" w:type="dxa"/>
            <w:vAlign w:val="bottom"/>
          </w:tcPr>
          <w:p>
            <w:pPr>
              <w:spacing w:after="0"/>
              <w:rPr>
                <w:sz w:val="16"/>
                <w:szCs w:val="16"/>
                <w:color w:val="auto"/>
              </w:rPr>
            </w:pPr>
          </w:p>
        </w:tc>
        <w:tc>
          <w:tcPr>
            <w:tcW w:w="9440" w:type="dxa"/>
            <w:vAlign w:val="bottom"/>
            <w:gridSpan w:val="12"/>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September 30, 2020 (unaudited) and December 31, 2019</w:t>
              </w:r>
            </w:hyperlink>
          </w:p>
        </w:tc>
        <w:tc>
          <w:tcPr>
            <w:tcW w:w="800" w:type="dxa"/>
            <w:vAlign w:val="bottom"/>
          </w:tcPr>
          <w:p>
            <w:pPr>
              <w:jc w:val="right"/>
              <w:spacing w:after="0" w:line="189"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155"/>
        </w:trPr>
        <w:tc>
          <w:tcPr>
            <w:tcW w:w="1000" w:type="dxa"/>
            <w:vAlign w:val="bottom"/>
          </w:tcPr>
          <w:p>
            <w:pPr>
              <w:spacing w:after="0"/>
              <w:rPr>
                <w:sz w:val="13"/>
                <w:szCs w:val="13"/>
                <w:color w:val="auto"/>
              </w:rPr>
            </w:pPr>
          </w:p>
        </w:tc>
        <w:tc>
          <w:tcPr>
            <w:tcW w:w="84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(audited)</w:t>
              </w:r>
            </w:hyperlink>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9440" w:type="dxa"/>
            <w:vAlign w:val="bottom"/>
            <w:gridSpan w:val="1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for the three and nine months ended September 30, 2020</w:t>
              </w:r>
            </w:hyperlink>
          </w:p>
        </w:tc>
        <w:tc>
          <w:tcPr>
            <w:tcW w:w="8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3</w:t>
              </w:r>
            </w:hyperlink>
          </w:p>
        </w:tc>
      </w:tr>
      <w:tr>
        <w:trPr>
          <w:trHeight w:val="155"/>
        </w:trPr>
        <w:tc>
          <w:tcPr>
            <w:tcW w:w="1000" w:type="dxa"/>
            <w:vAlign w:val="bottom"/>
          </w:tcPr>
          <w:p>
            <w:pPr>
              <w:spacing w:after="0"/>
              <w:rPr>
                <w:sz w:val="13"/>
                <w:szCs w:val="13"/>
                <w:color w:val="auto"/>
              </w:rPr>
            </w:pPr>
          </w:p>
        </w:tc>
        <w:tc>
          <w:tcPr>
            <w:tcW w:w="87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and 2019 (unaudited)</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944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Comprehensive Income (Loss) for the three and nine months ended</w:t>
              </w:r>
            </w:hyperlink>
          </w:p>
        </w:tc>
        <w:tc>
          <w:tcPr>
            <w:tcW w:w="8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4</w:t>
              </w:r>
            </w:hyperlink>
          </w:p>
        </w:tc>
      </w:tr>
      <w:tr>
        <w:trPr>
          <w:trHeight w:val="155"/>
        </w:trPr>
        <w:tc>
          <w:tcPr>
            <w:tcW w:w="1000" w:type="dxa"/>
            <w:vAlign w:val="bottom"/>
          </w:tcPr>
          <w:p>
            <w:pPr>
              <w:spacing w:after="0"/>
              <w:rPr>
                <w:sz w:val="13"/>
                <w:szCs w:val="13"/>
                <w:color w:val="auto"/>
              </w:rPr>
            </w:pPr>
          </w:p>
        </w:tc>
        <w:tc>
          <w:tcPr>
            <w:tcW w:w="86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September 30, 2020 and 2019 (unaudited)</w:t>
              </w:r>
            </w:hyperlink>
          </w:p>
        </w:tc>
        <w:tc>
          <w:tcPr>
            <w:tcW w:w="1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9440" w:type="dxa"/>
            <w:vAlign w:val="bottom"/>
            <w:gridSpan w:val="1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in Stockholders’ Equity for the three months ended</w:t>
              </w:r>
            </w:hyperlink>
          </w:p>
        </w:tc>
        <w:tc>
          <w:tcPr>
            <w:tcW w:w="8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5</w:t>
              </w:r>
            </w:hyperlink>
          </w:p>
        </w:tc>
      </w:tr>
      <w:tr>
        <w:trPr>
          <w:trHeight w:val="155"/>
        </w:trPr>
        <w:tc>
          <w:tcPr>
            <w:tcW w:w="1000" w:type="dxa"/>
            <w:vAlign w:val="bottom"/>
          </w:tcPr>
          <w:p>
            <w:pPr>
              <w:spacing w:after="0"/>
              <w:rPr>
                <w:sz w:val="13"/>
                <w:szCs w:val="13"/>
                <w:color w:val="auto"/>
              </w:rPr>
            </w:pPr>
          </w:p>
        </w:tc>
        <w:tc>
          <w:tcPr>
            <w:tcW w:w="80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September 30, 2020 and 2019 (unaudited)</w:t>
              </w:r>
            </w:hyperlink>
          </w:p>
        </w:tc>
        <w:tc>
          <w:tcPr>
            <w:tcW w:w="78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9440" w:type="dxa"/>
            <w:vAlign w:val="bottom"/>
            <w:gridSpan w:val="1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Changes in Stockholders’ Equity for the nine months ended September</w:t>
              </w:r>
            </w:hyperlink>
          </w:p>
        </w:tc>
        <w:tc>
          <w:tcPr>
            <w:tcW w:w="80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6</w:t>
              </w:r>
            </w:hyperlink>
          </w:p>
        </w:tc>
      </w:tr>
      <w:tr>
        <w:trPr>
          <w:trHeight w:val="155"/>
        </w:trPr>
        <w:tc>
          <w:tcPr>
            <w:tcW w:w="100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30, 2020 and 2019 (unaudited)</w:t>
              </w:r>
            </w:hyperlink>
          </w:p>
        </w:tc>
        <w:tc>
          <w:tcPr>
            <w:tcW w:w="6420" w:type="dxa"/>
            <w:vAlign w:val="bottom"/>
            <w:tcBorders>
              <w:top w:val="single" w:sz="8" w:color="0000FF"/>
            </w:tcBorders>
            <w:gridSpan w:val="7"/>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0"/>
        </w:trPr>
        <w:tc>
          <w:tcPr>
            <w:tcW w:w="1000" w:type="dxa"/>
            <w:vAlign w:val="bottom"/>
          </w:tcPr>
          <w:p>
            <w:pPr>
              <w:spacing w:after="0"/>
              <w:rPr>
                <w:sz w:val="18"/>
                <w:szCs w:val="18"/>
                <w:color w:val="auto"/>
              </w:rPr>
            </w:pPr>
          </w:p>
        </w:tc>
        <w:tc>
          <w:tcPr>
            <w:tcW w:w="9440" w:type="dxa"/>
            <w:vAlign w:val="bottom"/>
            <w:gridSpan w:val="1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 for the nine months ended September 30, 2020 and 2019</w:t>
              </w:r>
            </w:hyperlink>
          </w:p>
        </w:tc>
        <w:tc>
          <w:tcPr>
            <w:tcW w:w="80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7</w:t>
              </w:r>
            </w:hyperlink>
          </w:p>
        </w:tc>
      </w:tr>
      <w:tr>
        <w:trPr>
          <w:trHeight w:val="155"/>
        </w:trPr>
        <w:tc>
          <w:tcPr>
            <w:tcW w:w="1000" w:type="dxa"/>
            <w:vAlign w:val="bottom"/>
          </w:tcPr>
          <w:p>
            <w:pPr>
              <w:spacing w:after="0"/>
              <w:rPr>
                <w:sz w:val="13"/>
                <w:szCs w:val="13"/>
                <w:color w:val="auto"/>
              </w:rPr>
            </w:pPr>
          </w:p>
        </w:tc>
        <w:tc>
          <w:tcPr>
            <w:tcW w:w="88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0">
              <w:r>
                <w:rPr>
                  <w:rFonts w:ascii="Arial" w:cs="Arial" w:eastAsia="Arial" w:hAnsi="Arial"/>
                  <w:sz w:val="18"/>
                  <w:szCs w:val="18"/>
                  <w:color w:val="0000FF"/>
                </w:rPr>
                <w:t>(unaudited)</w:t>
              </w:r>
            </w:hyperlink>
          </w:p>
        </w:tc>
        <w:tc>
          <w:tcPr>
            <w:tcW w:w="6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54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9440" w:type="dxa"/>
            <w:vAlign w:val="bottom"/>
            <w:gridSpan w:val="12"/>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Condensed Consolidated Financial Statements (unaudited)</w:t>
              </w:r>
            </w:hyperlink>
          </w:p>
        </w:tc>
        <w:tc>
          <w:tcPr>
            <w:tcW w:w="80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8</w:t>
              </w:r>
            </w:hyperlink>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2.</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tc>
      </w:tr>
      <w:tr>
        <w:trPr>
          <w:trHeight w:val="230"/>
        </w:trPr>
        <w:tc>
          <w:tcPr>
            <w:tcW w:w="100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3.</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Quantitative and Qualitative Disclosures about Market Risk</w:t>
              </w:r>
            </w:hyperlink>
          </w:p>
        </w:tc>
        <w:tc>
          <w:tcPr>
            <w:tcW w:w="80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71</w:t>
              </w:r>
            </w:hyperlink>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4.</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Controls and Procedures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71</w:t>
              </w:r>
            </w:hyperlink>
          </w:p>
        </w:tc>
      </w:tr>
      <w:tr>
        <w:trPr>
          <w:trHeight w:val="459"/>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80" w:type="dxa"/>
            <w:vAlign w:val="bottom"/>
            <w:gridSpan w:val="8"/>
          </w:tcPr>
          <w:p>
            <w:pPr>
              <w:jc w:val="center"/>
              <w:ind w:right="2980"/>
              <w:spacing w:after="0"/>
              <w:rPr>
                <w:rFonts w:ascii="Arial" w:cs="Arial" w:eastAsia="Arial" w:hAnsi="Arial"/>
                <w:sz w:val="18"/>
                <w:szCs w:val="18"/>
                <w:b w:val="1"/>
                <w:bCs w:val="1"/>
                <w:u w:val="single" w:color="auto"/>
                <w:color w:val="0000FF"/>
                <w:w w:val="98"/>
              </w:rPr>
            </w:pPr>
            <w:hyperlink w:anchor="page75">
              <w:r>
                <w:rPr>
                  <w:rFonts w:ascii="Arial" w:cs="Arial" w:eastAsia="Arial" w:hAnsi="Arial"/>
                  <w:sz w:val="18"/>
                  <w:szCs w:val="18"/>
                  <w:b w:val="1"/>
                  <w:bCs w:val="1"/>
                  <w:u w:val="single" w:color="auto"/>
                  <w:color w:val="0000FF"/>
                  <w:w w:val="98"/>
                </w:rPr>
                <w:t>PART II - OTHER INFORMATION</w:t>
              </w:r>
            </w:hyperlink>
          </w:p>
        </w:tc>
        <w:tc>
          <w:tcPr>
            <w:tcW w:w="800" w:type="dxa"/>
            <w:vAlign w:val="bottom"/>
          </w:tcPr>
          <w:p>
            <w:pPr>
              <w:spacing w:after="0"/>
              <w:rPr>
                <w:sz w:val="24"/>
                <w:szCs w:val="24"/>
                <w:color w:val="auto"/>
              </w:rPr>
            </w:pPr>
          </w:p>
        </w:tc>
      </w:tr>
      <w:tr>
        <w:trPr>
          <w:trHeight w:val="459"/>
        </w:trPr>
        <w:tc>
          <w:tcPr>
            <w:tcW w:w="100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Legal Proceedings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72</w:t>
              </w:r>
            </w:hyperlink>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1A.</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Risk Factors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72</w:t>
              </w:r>
            </w:hyperlink>
          </w:p>
        </w:tc>
      </w:tr>
      <w:tr>
        <w:trPr>
          <w:trHeight w:val="230"/>
        </w:trPr>
        <w:tc>
          <w:tcPr>
            <w:tcW w:w="100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2.</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Unregistered Sales of Equity Securities and Use of Proceeds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tc>
      </w:tr>
      <w:tr>
        <w:trPr>
          <w:trHeight w:val="230"/>
        </w:trPr>
        <w:tc>
          <w:tcPr>
            <w:tcW w:w="100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3.</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Defaults Upon Senior Securities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74</w:t>
              </w:r>
            </w:hyperlink>
          </w:p>
        </w:tc>
      </w:tr>
      <w:tr>
        <w:trPr>
          <w:trHeight w:val="230"/>
        </w:trPr>
        <w:tc>
          <w:tcPr>
            <w:tcW w:w="100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4.</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Mine Safety Disclosures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74</w:t>
              </w:r>
            </w:hyperlink>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5.</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Other Information</w:t>
              </w:r>
            </w:hyperlink>
          </w:p>
        </w:tc>
        <w:tc>
          <w:tcPr>
            <w:tcW w:w="80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74</w:t>
              </w:r>
            </w:hyperlink>
          </w:p>
        </w:tc>
      </w:tr>
      <w:tr>
        <w:trPr>
          <w:trHeight w:val="230"/>
        </w:trPr>
        <w:tc>
          <w:tcPr>
            <w:tcW w:w="100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6.</w:t>
              </w:r>
            </w:hyperlink>
          </w:p>
        </w:tc>
        <w:tc>
          <w:tcPr>
            <w:tcW w:w="9440" w:type="dxa"/>
            <w:vAlign w:val="bottom"/>
            <w:gridSpan w:val="12"/>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Exhibits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r>
      <w:tr>
        <w:trPr>
          <w:trHeight w:val="230"/>
        </w:trPr>
        <w:tc>
          <w:tcPr>
            <w:tcW w:w="1000" w:type="dxa"/>
            <w:vAlign w:val="bottom"/>
          </w:tcPr>
          <w:p>
            <w:pPr>
              <w:spacing w:after="0"/>
              <w:rPr>
                <w:sz w:val="19"/>
                <w:szCs w:val="19"/>
                <w:color w:val="auto"/>
              </w:rPr>
            </w:pPr>
          </w:p>
        </w:tc>
        <w:tc>
          <w:tcPr>
            <w:tcW w:w="9440" w:type="dxa"/>
            <w:vAlign w:val="bottom"/>
            <w:gridSpan w:val="12"/>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Signatures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r>
      <w:tr>
        <w:trPr>
          <w:trHeight w:val="1208"/>
        </w:trPr>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237" w:lineRule="exact"/>
        <w:rPr>
          <w:sz w:val="20"/>
          <w:szCs w:val="20"/>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the construction and operation of our satellites, such as the risk of not being able to timely complete the construction, or a material malfunction on one or more, of our satellites and our general lack of commercial insurance coverage on our satellites;</w:t>
      </w:r>
    </w:p>
    <w:p>
      <w:pPr>
        <w:spacing w:after="0" w:line="6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in order to operate our business, including customers, suppliers, vendors, financing sources, governmental entities and others, to successfully or fully operate as a result of outbreaks of viruses or widespread illness, including existing, continuing and future impacts and consequences of the COVID-19 pandemic caused by the novel coronavirus;</w:t>
      </w:r>
    </w:p>
    <w:p>
      <w:pPr>
        <w:spacing w:after="0" w:line="6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domestic and/or international investments, commercial alliances, partnerships, joint ventures, acquisitions, dispositions and other strategic initiatives and transactions;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AGR (each as defined herein) matter, which could result in substantial costs and material adverse effects on our business, results of operations, financial condition and prospects;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9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 including changes in foreign exchange rates between foreign currencies and the United States (“U.S.”) dollar, economic instability, political disturbances and the consequences of being subject to foreign regulation and foreign legal proceedings, including increased operations costs and potential fines and penalties for violations, which may be substantial;</w:t>
      </w:r>
    </w:p>
    <w:p>
      <w:pPr>
        <w:spacing w:after="0" w:line="6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forward-looking information contained or incorporated by reference herein or in any documents we file with the SEC, except as required by law.</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line="180"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As of</w:t>
            </w: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158"/>
        </w:trPr>
        <w:tc>
          <w:tcPr>
            <w:tcW w:w="7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4"/>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7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r>
      <w:tr>
        <w:trPr>
          <w:trHeight w:val="197"/>
        </w:trPr>
        <w:tc>
          <w:tcPr>
            <w:tcW w:w="790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1,519,431</w:t>
            </w:r>
          </w:p>
        </w:tc>
        <w:tc>
          <w:tcPr>
            <w:tcW w:w="60" w:type="dxa"/>
            <w:vAlign w:val="bottom"/>
            <w:shd w:val="clear" w:color="auto" w:fill="CCEEFF"/>
          </w:tcPr>
          <w:p>
            <w:pPr>
              <w:spacing w:after="0"/>
              <w:rPr>
                <w:sz w:val="18"/>
                <w:szCs w:val="18"/>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1,950,804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940,623</w:t>
            </w:r>
          </w:p>
        </w:tc>
        <w:tc>
          <w:tcPr>
            <w:tcW w:w="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receivable and contract assets, net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196,629</w:t>
            </w:r>
          </w:p>
        </w:tc>
        <w:tc>
          <w:tcPr>
            <w:tcW w:w="60" w:type="dxa"/>
            <w:vAlign w:val="bottom"/>
            <w:shd w:val="clear" w:color="auto" w:fill="CCEEFF"/>
          </w:tcPr>
          <w:p>
            <w:pPr>
              <w:spacing w:after="0"/>
              <w:rPr>
                <w:sz w:val="19"/>
                <w:szCs w:val="19"/>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 net</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192,724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179,531</w:t>
            </w:r>
          </w:p>
        </w:tc>
        <w:tc>
          <w:tcPr>
            <w:tcW w:w="60" w:type="dxa"/>
            <w:vAlign w:val="bottom"/>
            <w:tcBorders>
              <w:bottom w:val="single" w:sz="8" w:color="auto"/>
            </w:tcBorders>
          </w:tcPr>
          <w:p>
            <w:pPr>
              <w:spacing w:after="0"/>
              <w:rPr>
                <w:sz w:val="18"/>
                <w:szCs w:val="18"/>
                <w:color w:val="auto"/>
              </w:rPr>
            </w:pPr>
          </w:p>
        </w:tc>
      </w:tr>
      <w:tr>
        <w:trPr>
          <w:trHeight w:val="212"/>
        </w:trPr>
        <w:tc>
          <w:tcPr>
            <w:tcW w:w="7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2,890,028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2,836,214</w:t>
            </w:r>
          </w:p>
        </w:tc>
        <w:tc>
          <w:tcPr>
            <w:tcW w:w="60" w:type="dxa"/>
            <w:vAlign w:val="bottom"/>
            <w:tcBorders>
              <w:bottom w:val="single" w:sz="8" w:color="auto"/>
            </w:tcBorders>
            <w:shd w:val="clear" w:color="auto" w:fill="CCEEFF"/>
          </w:tcPr>
          <w:p>
            <w:pPr>
              <w:spacing w:after="0"/>
              <w:rPr>
                <w:sz w:val="18"/>
                <w:szCs w:val="18"/>
                <w:color w:val="auto"/>
              </w:rPr>
            </w:pPr>
          </w:p>
        </w:tc>
      </w:tr>
      <w:tr>
        <w:trPr>
          <w:trHeight w:val="202"/>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2,372,594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2,528,738</w:t>
            </w:r>
          </w:p>
        </w:tc>
        <w:tc>
          <w:tcPr>
            <w:tcW w:w="60" w:type="dxa"/>
            <w:vAlign w:val="bottom"/>
            <w:shd w:val="clear" w:color="auto" w:fill="CCEEFF"/>
          </w:tcPr>
          <w:p>
            <w:pPr>
              <w:spacing w:after="0"/>
              <w:rPr>
                <w:sz w:val="19"/>
                <w:szCs w:val="19"/>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129,073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114,042</w:t>
            </w:r>
          </w:p>
        </w:tc>
        <w:tc>
          <w:tcPr>
            <w:tcW w:w="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506,953</w:t>
            </w:r>
          </w:p>
        </w:tc>
        <w:tc>
          <w:tcPr>
            <w:tcW w:w="60" w:type="dxa"/>
            <w:vAlign w:val="bottom"/>
            <w:shd w:val="clear" w:color="auto" w:fill="CCEEFF"/>
          </w:tcPr>
          <w:p>
            <w:pPr>
              <w:spacing w:after="0"/>
              <w:rPr>
                <w:sz w:val="19"/>
                <w:szCs w:val="19"/>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475,824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478,598</w:t>
            </w:r>
          </w:p>
        </w:tc>
        <w:tc>
          <w:tcPr>
            <w:tcW w:w="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29,507</w:t>
            </w:r>
          </w:p>
        </w:tc>
        <w:tc>
          <w:tcPr>
            <w:tcW w:w="60" w:type="dxa"/>
            <w:vAlign w:val="bottom"/>
            <w:shd w:val="clear" w:color="auto" w:fill="CCEEFF"/>
          </w:tcPr>
          <w:p>
            <w:pPr>
              <w:spacing w:after="0"/>
              <w:rPr>
                <w:sz w:val="19"/>
                <w:szCs w:val="19"/>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284,238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325,405</w:t>
            </w:r>
          </w:p>
        </w:tc>
        <w:tc>
          <w:tcPr>
            <w:tcW w:w="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 net</w:t>
            </w:r>
          </w:p>
        </w:tc>
        <w:tc>
          <w:tcPr>
            <w:tcW w:w="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344,569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334,841</w:t>
            </w:r>
          </w:p>
        </w:tc>
        <w:tc>
          <w:tcPr>
            <w:tcW w:w="60" w:type="dxa"/>
            <w:vAlign w:val="bottom"/>
            <w:tcBorders>
              <w:bottom w:val="single" w:sz="8" w:color="auto"/>
            </w:tcBorders>
            <w:shd w:val="clear" w:color="auto" w:fill="CCEEFF"/>
          </w:tcPr>
          <w:p>
            <w:pPr>
              <w:spacing w:after="0"/>
              <w:rPr>
                <w:sz w:val="19"/>
                <w:szCs w:val="19"/>
                <w:color w:val="auto"/>
              </w:rPr>
            </w:pPr>
          </w:p>
        </w:tc>
      </w:tr>
      <w:tr>
        <w:trPr>
          <w:trHeight w:val="206"/>
        </w:trPr>
        <w:tc>
          <w:tcPr>
            <w:tcW w:w="7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4,135,508</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4,318,084</w:t>
            </w:r>
          </w:p>
        </w:tc>
        <w:tc>
          <w:tcPr>
            <w:tcW w:w="60" w:type="dxa"/>
            <w:vAlign w:val="bottom"/>
            <w:tcBorders>
              <w:bottom w:val="single" w:sz="8" w:color="auto"/>
            </w:tcBorders>
          </w:tcPr>
          <w:p>
            <w:pPr>
              <w:spacing w:after="0"/>
              <w:rPr>
                <w:sz w:val="17"/>
                <w:szCs w:val="17"/>
                <w:color w:val="auto"/>
              </w:rPr>
            </w:pPr>
          </w:p>
        </w:tc>
      </w:tr>
      <w:tr>
        <w:trPr>
          <w:trHeight w:val="235"/>
        </w:trPr>
        <w:tc>
          <w:tcPr>
            <w:tcW w:w="7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7,025,536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7,154,298</w:t>
            </w:r>
          </w:p>
        </w:tc>
        <w:tc>
          <w:tcPr>
            <w:tcW w:w="60" w:type="dxa"/>
            <w:vAlign w:val="bottom"/>
            <w:tcBorders>
              <w:bottom w:val="single" w:sz="8" w:color="auto"/>
            </w:tcBorders>
            <w:shd w:val="clear" w:color="auto" w:fill="CCEEFF"/>
          </w:tcPr>
          <w:p>
            <w:pPr>
              <w:spacing w:after="0"/>
              <w:rPr>
                <w:sz w:val="19"/>
                <w:szCs w:val="19"/>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900" w:type="dxa"/>
            <w:vAlign w:val="bottom"/>
            <w:shd w:val="clear" w:color="auto" w:fill="CCEEFF"/>
          </w:tcPr>
          <w:p>
            <w:pPr>
              <w:ind w:left="25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124,080</w:t>
            </w:r>
          </w:p>
        </w:tc>
        <w:tc>
          <w:tcPr>
            <w:tcW w:w="60" w:type="dxa"/>
            <w:vAlign w:val="bottom"/>
            <w:shd w:val="clear" w:color="auto" w:fill="CCEEFF"/>
          </w:tcPr>
          <w:p>
            <w:pPr>
              <w:spacing w:after="0"/>
              <w:rPr>
                <w:sz w:val="18"/>
                <w:szCs w:val="18"/>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Current portion of long-term debt,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897,303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101,060</w:t>
            </w:r>
          </w:p>
        </w:tc>
        <w:tc>
          <w:tcPr>
            <w:tcW w:w="60" w:type="dxa"/>
            <w:vAlign w:val="bottom"/>
            <w:shd w:val="clear" w:color="auto" w:fill="CCEEFF"/>
          </w:tcPr>
          <w:p>
            <w:pPr>
              <w:spacing w:after="0"/>
              <w:rPr>
                <w:sz w:val="19"/>
                <w:szCs w:val="19"/>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276,703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270,879</w:t>
            </w:r>
          </w:p>
        </w:tc>
        <w:tc>
          <w:tcPr>
            <w:tcW w:w="60" w:type="dxa"/>
            <w:vAlign w:val="bottom"/>
            <w:tcBorders>
              <w:bottom w:val="single" w:sz="8" w:color="auto"/>
            </w:tcBorders>
          </w:tcPr>
          <w:p>
            <w:pPr>
              <w:spacing w:after="0"/>
              <w:rPr>
                <w:sz w:val="18"/>
                <w:szCs w:val="18"/>
                <w:color w:val="auto"/>
              </w:rPr>
            </w:pPr>
          </w:p>
        </w:tc>
      </w:tr>
      <w:tr>
        <w:trPr>
          <w:trHeight w:val="213"/>
        </w:trPr>
        <w:tc>
          <w:tcPr>
            <w:tcW w:w="7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1,374,727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496,019</w:t>
            </w:r>
          </w:p>
        </w:tc>
        <w:tc>
          <w:tcPr>
            <w:tcW w:w="60" w:type="dxa"/>
            <w:vAlign w:val="bottom"/>
            <w:tcBorders>
              <w:bottom w:val="single" w:sz="8" w:color="auto"/>
            </w:tcBorders>
            <w:shd w:val="clear" w:color="auto" w:fill="CCEEFF"/>
          </w:tcPr>
          <w:p>
            <w:pPr>
              <w:spacing w:after="0"/>
              <w:rPr>
                <w:sz w:val="18"/>
                <w:szCs w:val="18"/>
                <w:color w:val="auto"/>
              </w:rPr>
            </w:pPr>
          </w:p>
        </w:tc>
      </w:tr>
      <w:tr>
        <w:trPr>
          <w:trHeight w:val="202"/>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1,495,078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2,389,168</w:t>
            </w:r>
          </w:p>
        </w:tc>
        <w:tc>
          <w:tcPr>
            <w:tcW w:w="60" w:type="dxa"/>
            <w:vAlign w:val="bottom"/>
            <w:shd w:val="clear" w:color="auto" w:fill="CCEEFF"/>
          </w:tcPr>
          <w:p>
            <w:pPr>
              <w:spacing w:after="0"/>
              <w:rPr>
                <w:sz w:val="19"/>
                <w:szCs w:val="19"/>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Deferred tax liabilities,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352,948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351,692</w:t>
            </w:r>
          </w:p>
        </w:tc>
        <w:tc>
          <w:tcPr>
            <w:tcW w:w="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96,941</w:t>
            </w:r>
          </w:p>
        </w:tc>
        <w:tc>
          <w:tcPr>
            <w:tcW w:w="60" w:type="dxa"/>
            <w:vAlign w:val="bottom"/>
            <w:shd w:val="clear" w:color="auto" w:fill="CCEEFF"/>
          </w:tcPr>
          <w:p>
            <w:pPr>
              <w:spacing w:after="0"/>
              <w:rPr>
                <w:sz w:val="19"/>
                <w:szCs w:val="19"/>
                <w:color w:val="auto"/>
              </w:rPr>
            </w:pPr>
          </w:p>
        </w:tc>
      </w:tr>
      <w:tr>
        <w:trPr>
          <w:trHeight w:val="213"/>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74,925</w:t>
            </w:r>
          </w:p>
        </w:tc>
        <w:tc>
          <w:tcPr>
            <w:tcW w:w="60" w:type="dxa"/>
            <w:vAlign w:val="bottom"/>
            <w:tcBorders>
              <w:bottom w:val="single" w:sz="8" w:color="auto"/>
            </w:tcBorders>
          </w:tcPr>
          <w:p>
            <w:pPr>
              <w:spacing w:after="0"/>
              <w:rPr>
                <w:sz w:val="18"/>
                <w:szCs w:val="18"/>
                <w:color w:val="auto"/>
              </w:rPr>
            </w:pPr>
          </w:p>
        </w:tc>
      </w:tr>
      <w:tr>
        <w:trPr>
          <w:trHeight w:val="212"/>
        </w:trPr>
        <w:tc>
          <w:tcPr>
            <w:tcW w:w="7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2,037,673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2,912,726</w:t>
            </w:r>
          </w:p>
        </w:tc>
        <w:tc>
          <w:tcPr>
            <w:tcW w:w="60" w:type="dxa"/>
            <w:vAlign w:val="bottom"/>
            <w:tcBorders>
              <w:bottom w:val="single" w:sz="8" w:color="auto"/>
            </w:tcBorders>
            <w:shd w:val="clear" w:color="auto" w:fill="CCEEFF"/>
          </w:tcPr>
          <w:p>
            <w:pPr>
              <w:spacing w:after="0"/>
              <w:rPr>
                <w:sz w:val="18"/>
                <w:szCs w:val="18"/>
                <w:color w:val="auto"/>
              </w:rPr>
            </w:pPr>
          </w:p>
        </w:tc>
      </w:tr>
      <w:tr>
        <w:trPr>
          <w:trHeight w:val="207"/>
        </w:trPr>
        <w:tc>
          <w:tcPr>
            <w:tcW w:w="790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3,412,400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3,408,745</w:t>
            </w:r>
          </w:p>
        </w:tc>
        <w:tc>
          <w:tcPr>
            <w:tcW w:w="60" w:type="dxa"/>
            <w:vAlign w:val="bottom"/>
            <w:tcBorders>
              <w:bottom w:val="single" w:sz="8" w:color="auto"/>
            </w:tcBorders>
          </w:tcPr>
          <w:p>
            <w:pPr>
              <w:spacing w:after="0"/>
              <w:rPr>
                <w:sz w:val="17"/>
                <w:szCs w:val="17"/>
                <w:color w:val="auto"/>
              </w:rPr>
            </w:pPr>
          </w:p>
        </w:tc>
      </w:tr>
      <w:tr>
        <w:trPr>
          <w:trHeight w:val="240"/>
        </w:trPr>
        <w:tc>
          <w:tcPr>
            <w:tcW w:w="7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52"/>
        </w:trPr>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177"/>
        </w:trPr>
        <w:tc>
          <w:tcPr>
            <w:tcW w:w="7900" w:type="dxa"/>
            <w:vAlign w:val="bottom"/>
          </w:tcPr>
          <w:p>
            <w:pPr>
              <w:ind w:left="220"/>
              <w:spacing w:after="0" w:line="178" w:lineRule="exact"/>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8"/>
        </w:trPr>
        <w:tc>
          <w:tcPr>
            <w:tcW w:w="7900" w:type="dxa"/>
            <w:vAlign w:val="bottom"/>
          </w:tcPr>
          <w:p>
            <w:pPr>
              <w:ind w:left="220"/>
              <w:spacing w:after="0"/>
              <w:rPr>
                <w:sz w:val="20"/>
                <w:szCs w:val="20"/>
                <w:color w:val="auto"/>
              </w:rPr>
            </w:pPr>
            <w:r>
              <w:rPr>
                <w:rFonts w:ascii="Arial" w:cs="Arial" w:eastAsia="Arial" w:hAnsi="Arial"/>
                <w:sz w:val="16"/>
                <w:szCs w:val="16"/>
                <w:color w:val="auto"/>
              </w:rPr>
              <w:t>September 30, 2020 and December 31, 2019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7900" w:type="dxa"/>
            <w:vAlign w:val="bottom"/>
          </w:tcPr>
          <w:p>
            <w:pPr>
              <w:ind w:left="440"/>
              <w:spacing w:after="0" w:line="178" w:lineRule="exact"/>
              <w:rPr>
                <w:sz w:val="20"/>
                <w:szCs w:val="20"/>
                <w:color w:val="auto"/>
              </w:rPr>
            </w:pPr>
            <w:r>
              <w:rPr>
                <w:rFonts w:ascii="Arial" w:cs="Arial" w:eastAsia="Arial" w:hAnsi="Arial"/>
                <w:sz w:val="16"/>
                <w:szCs w:val="16"/>
                <w:color w:val="auto"/>
              </w:rPr>
              <w:t>Class A common stock, $0.001 par value, 1,600,000,000 shares authorized, 57,140,432 shares issued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7900" w:type="dxa"/>
            <w:vAlign w:val="bottom"/>
          </w:tcPr>
          <w:p>
            <w:pPr>
              <w:ind w:left="440"/>
              <w:spacing w:after="0" w:line="162" w:lineRule="exact"/>
              <w:rPr>
                <w:sz w:val="20"/>
                <w:szCs w:val="20"/>
                <w:color w:val="auto"/>
              </w:rPr>
            </w:pPr>
            <w:r>
              <w:rPr>
                <w:rFonts w:ascii="Arial" w:cs="Arial" w:eastAsia="Arial" w:hAnsi="Arial"/>
                <w:sz w:val="16"/>
                <w:szCs w:val="16"/>
                <w:color w:val="auto"/>
              </w:rPr>
              <w:t>and 50,458,512 shares outstanding at September 30, 2020 and 56,592,251 shares issued and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8"/>
        </w:trPr>
        <w:tc>
          <w:tcPr>
            <w:tcW w:w="7900" w:type="dxa"/>
            <w:vAlign w:val="bottom"/>
          </w:tcPr>
          <w:p>
            <w:pPr>
              <w:ind w:left="440"/>
              <w:spacing w:after="0"/>
              <w:rPr>
                <w:sz w:val="20"/>
                <w:szCs w:val="20"/>
                <w:color w:val="auto"/>
              </w:rPr>
            </w:pPr>
            <w:r>
              <w:rPr>
                <w:rFonts w:ascii="Arial" w:cs="Arial" w:eastAsia="Arial" w:hAnsi="Arial"/>
                <w:sz w:val="16"/>
                <w:szCs w:val="16"/>
                <w:color w:val="auto"/>
              </w:rPr>
              <w:t>50,107,330 shares outstanding at December 31, 2019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7"/>
                <w:szCs w:val="17"/>
                <w:color w:val="auto"/>
              </w:rPr>
            </w:pPr>
          </w:p>
        </w:tc>
      </w:tr>
      <w:tr>
        <w:trPr>
          <w:trHeight w:val="180"/>
        </w:trPr>
        <w:tc>
          <w:tcPr>
            <w:tcW w:w="790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Class B convertible common stock, $0.001 par value, 800,000,000 shares authorized, 47,687,039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7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shares issued and outstanding at both September 30, 2020 and December 31, 2019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17"/>
                <w:szCs w:val="17"/>
                <w:color w:val="auto"/>
              </w:rPr>
            </w:pPr>
          </w:p>
        </w:tc>
      </w:tr>
      <w:tr>
        <w:trPr>
          <w:trHeight w:val="177"/>
        </w:trPr>
        <w:tc>
          <w:tcPr>
            <w:tcW w:w="7900" w:type="dxa"/>
            <w:vAlign w:val="bottom"/>
          </w:tcPr>
          <w:p>
            <w:pPr>
              <w:ind w:left="440"/>
              <w:spacing w:after="0" w:line="178" w:lineRule="exact"/>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8"/>
        </w:trPr>
        <w:tc>
          <w:tcPr>
            <w:tcW w:w="7900" w:type="dxa"/>
            <w:vAlign w:val="bottom"/>
          </w:tcPr>
          <w:p>
            <w:pPr>
              <w:ind w:left="440"/>
              <w:spacing w:after="0"/>
              <w:rPr>
                <w:sz w:val="20"/>
                <w:szCs w:val="20"/>
                <w:color w:val="auto"/>
              </w:rPr>
            </w:pPr>
            <w:r>
              <w:rPr>
                <w:rFonts w:ascii="Arial" w:cs="Arial" w:eastAsia="Arial" w:hAnsi="Arial"/>
                <w:sz w:val="16"/>
                <w:szCs w:val="16"/>
                <w:color w:val="auto"/>
              </w:rPr>
              <w:t>outstanding at both September 30, 2020 and December 31, 2019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790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Class D common stock, $0.001 par value, 800,000,000 shares authorized, none issued and outstanding</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7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at both September 30, 2020 and December 31, 2019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3,317,868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3,290,483</w:t>
            </w:r>
          </w:p>
        </w:tc>
        <w:tc>
          <w:tcPr>
            <w:tcW w:w="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(209,538)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(122,138)</w:t>
            </w:r>
          </w:p>
        </w:tc>
        <w:tc>
          <w:tcPr>
            <w:tcW w:w="60" w:type="dxa"/>
            <w:vAlign w:val="bottom"/>
          </w:tcPr>
          <w:p>
            <w:pPr>
              <w:spacing w:after="0"/>
              <w:rPr>
                <w:sz w:val="19"/>
                <w:szCs w:val="19"/>
                <w:color w:val="auto"/>
              </w:rPr>
            </w:pPr>
          </w:p>
        </w:tc>
      </w:tr>
      <w:tr>
        <w:trPr>
          <w:trHeight w:val="213"/>
        </w:trPr>
        <w:tc>
          <w:tcPr>
            <w:tcW w:w="7900" w:type="dxa"/>
            <w:vAlign w:val="bottom"/>
          </w:tcPr>
          <w:p>
            <w:pPr>
              <w:ind w:left="220"/>
              <w:spacing w:after="0"/>
              <w:rPr>
                <w:sz w:val="20"/>
                <w:szCs w:val="20"/>
                <w:color w:val="auto"/>
              </w:rPr>
            </w:pPr>
            <w:r>
              <w:rPr>
                <w:rFonts w:ascii="Arial" w:cs="Arial" w:eastAsia="Arial" w:hAnsi="Arial"/>
                <w:sz w:val="16"/>
                <w:szCs w:val="16"/>
                <w:color w:val="auto"/>
              </w:rPr>
              <w:t>Accumulated earnings (losses)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583,474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632,809</w:t>
            </w:r>
          </w:p>
        </w:tc>
        <w:tc>
          <w:tcPr>
            <w:tcW w:w="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(137,347)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60" w:type="dxa"/>
            <w:vAlign w:val="bottom"/>
          </w:tcPr>
          <w:p>
            <w:pPr>
              <w:spacing w:after="0"/>
              <w:rPr>
                <w:sz w:val="19"/>
                <w:szCs w:val="19"/>
                <w:color w:val="auto"/>
              </w:rPr>
            </w:pPr>
          </w:p>
        </w:tc>
      </w:tr>
      <w:tr>
        <w:trPr>
          <w:trHeight w:val="207"/>
        </w:trPr>
        <w:tc>
          <w:tcPr>
            <w:tcW w:w="790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3,554,562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3,669,805</w:t>
            </w:r>
          </w:p>
        </w:tc>
        <w:tc>
          <w:tcPr>
            <w:tcW w:w="60" w:type="dxa"/>
            <w:vAlign w:val="bottom"/>
          </w:tcPr>
          <w:p>
            <w:pPr>
              <w:spacing w:after="0"/>
              <w:rPr>
                <w:sz w:val="17"/>
                <w:szCs w:val="17"/>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75,748</w:t>
            </w:r>
          </w:p>
        </w:tc>
        <w:tc>
          <w:tcPr>
            <w:tcW w:w="60" w:type="dxa"/>
            <w:vAlign w:val="bottom"/>
          </w:tcPr>
          <w:p>
            <w:pPr>
              <w:spacing w:after="0"/>
              <w:rPr>
                <w:sz w:val="19"/>
                <w:szCs w:val="19"/>
                <w:color w:val="auto"/>
              </w:rPr>
            </w:pPr>
          </w:p>
        </w:tc>
      </w:tr>
      <w:tr>
        <w:trPr>
          <w:trHeight w:val="207"/>
        </w:trPr>
        <w:tc>
          <w:tcPr>
            <w:tcW w:w="7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3,613,136</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3,745,553</w:t>
            </w:r>
          </w:p>
        </w:tc>
        <w:tc>
          <w:tcPr>
            <w:tcW w:w="60" w:type="dxa"/>
            <w:vAlign w:val="bottom"/>
          </w:tcPr>
          <w:p>
            <w:pPr>
              <w:spacing w:after="0"/>
              <w:rPr>
                <w:sz w:val="17"/>
                <w:szCs w:val="17"/>
                <w:color w:val="auto"/>
              </w:rPr>
            </w:pPr>
          </w:p>
        </w:tc>
      </w:tr>
      <w:tr>
        <w:trPr>
          <w:trHeight w:val="22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7,025,536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7,154,298</w:t>
            </w:r>
          </w:p>
        </w:tc>
        <w:tc>
          <w:tcPr>
            <w:tcW w:w="60" w:type="dxa"/>
            <w:vAlign w:val="bottom"/>
          </w:tcPr>
          <w:p>
            <w:pPr>
              <w:spacing w:after="0"/>
              <w:rPr>
                <w:sz w:val="19"/>
                <w:szCs w:val="19"/>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7018" w:orient="portrait"/>
          <w:cols w:equalWidth="0" w:num="1">
            <w:col w:w="11200"/>
          </w:cols>
          <w:pgMar w:left="320" w:top="140" w:right="379" w:bottom="0" w:gutter="0" w:footer="0" w:header="0"/>
        </w:sectPr>
      </w:pP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7018" w:orient="portrait"/>
          <w:cols w:equalWidth="0" w:num="1">
            <w:col w:w="11200"/>
          </w:cols>
          <w:pgMar w:left="320" w:top="140" w:right="37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7"/>
        </w:trPr>
        <w:tc>
          <w:tcPr>
            <w:tcW w:w="7180" w:type="dxa"/>
            <w:vAlign w:val="bottom"/>
            <w:gridSpan w:val="4"/>
          </w:tcPr>
          <w:p>
            <w:pPr>
              <w:jc w:val="center"/>
              <w:ind w:left="3990"/>
              <w:spacing w:after="0"/>
              <w:rPr>
                <w:sz w:val="20"/>
                <w:szCs w:val="20"/>
                <w:color w:val="auto"/>
              </w:rPr>
            </w:pPr>
            <w:r>
              <w:rPr>
                <w:rFonts w:ascii="Arial" w:cs="Arial" w:eastAsia="Arial" w:hAnsi="Arial"/>
                <w:sz w:val="18"/>
                <w:szCs w:val="18"/>
                <w:b w:val="1"/>
                <w:bCs w:val="1"/>
                <w:color w:val="auto"/>
                <w:w w:val="98"/>
              </w:rPr>
              <w:t>ECHOSTAR CORPORATION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540" w:type="dxa"/>
            <w:vAlign w:val="bottom"/>
            <w:gridSpan w:val="7"/>
          </w:tcPr>
          <w:p>
            <w:pPr>
              <w:jc w:val="center"/>
              <w:ind w:left="2610"/>
              <w:spacing w:after="0"/>
              <w:rPr>
                <w:sz w:val="20"/>
                <w:szCs w:val="20"/>
                <w:color w:val="auto"/>
              </w:rPr>
            </w:pPr>
            <w:r>
              <w:rPr>
                <w:rFonts w:ascii="Arial" w:cs="Arial" w:eastAsia="Arial" w:hAnsi="Arial"/>
                <w:sz w:val="18"/>
                <w:szCs w:val="18"/>
                <w:b w:val="1"/>
                <w:bCs w:val="1"/>
                <w:color w:val="auto"/>
                <w:w w:val="99"/>
              </w:rPr>
              <w:t>CONDENSED CONSOLIDATED STATEMENTS OF OPERATIONS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gridSpan w:val="7"/>
          </w:tcPr>
          <w:p>
            <w:pPr>
              <w:jc w:val="center"/>
              <w:ind w:left="2610"/>
              <w:spacing w:after="0"/>
              <w:rPr>
                <w:sz w:val="20"/>
                <w:szCs w:val="20"/>
                <w:color w:val="auto"/>
              </w:rPr>
            </w:pPr>
            <w:r>
              <w:rPr>
                <w:rFonts w:ascii="Arial" w:cs="Arial" w:eastAsia="Arial" w:hAnsi="Arial"/>
                <w:sz w:val="18"/>
                <w:szCs w:val="18"/>
                <w:color w:val="auto"/>
                <w:w w:val="99"/>
              </w:rPr>
              <w:t>(Amounts in thousands, except per share amounts)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gridSpan w:val="4"/>
          </w:tcPr>
          <w:p>
            <w:pPr>
              <w:jc w:val="center"/>
              <w:ind w:left="3990"/>
              <w:spacing w:after="0"/>
              <w:rPr>
                <w:sz w:val="20"/>
                <w:szCs w:val="20"/>
                <w:color w:val="auto"/>
              </w:rPr>
            </w:pPr>
            <w:r>
              <w:rPr>
                <w:rFonts w:ascii="Arial" w:cs="Arial" w:eastAsia="Arial" w:hAnsi="Arial"/>
                <w:sz w:val="18"/>
                <w:szCs w:val="18"/>
                <w:color w:val="auto"/>
                <w:w w:val="99"/>
              </w:rPr>
              <w:t>(Unaudited)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5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5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426,532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406,537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1,251,932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1,211,991</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175,084</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1,398,634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1,387,075</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820" w:type="dxa"/>
            <w:vAlign w:val="bottom"/>
          </w:tcPr>
          <w:p>
            <w:pPr>
              <w:ind w:left="220"/>
              <w:spacing w:after="0" w:line="189" w:lineRule="exact"/>
              <w:rPr>
                <w:sz w:val="20"/>
                <w:szCs w:val="20"/>
                <w:color w:val="auto"/>
              </w:rPr>
            </w:pPr>
            <w:r>
              <w:rPr>
                <w:rFonts w:ascii="Arial" w:cs="Arial" w:eastAsia="Arial" w:hAnsi="Arial"/>
                <w:sz w:val="18"/>
                <w:szCs w:val="18"/>
                <w:color w:val="auto"/>
              </w:rPr>
              <w:t>Cost of sales - services and other (exclusive of depreciation and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146,577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432,848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429,869</w:t>
            </w:r>
          </w:p>
        </w:tc>
        <w:tc>
          <w:tcPr>
            <w:tcW w:w="0" w:type="dxa"/>
            <w:vAlign w:val="bottom"/>
          </w:tcPr>
          <w:p>
            <w:pPr>
              <w:spacing w:after="0"/>
              <w:rPr>
                <w:sz w:val="1"/>
                <w:szCs w:val="1"/>
                <w:color w:val="auto"/>
              </w:rPr>
            </w:pPr>
          </w:p>
        </w:tc>
      </w:tr>
      <w:tr>
        <w:trPr>
          <w:trHeight w:val="188"/>
        </w:trPr>
        <w:tc>
          <w:tcPr>
            <w:tcW w:w="5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Cost of sales - equipment (exclusive of depreciation and</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142,744</w:t>
            </w: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354,437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383,952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361,619</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1,337,595</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49,480</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(156,813)</w:t>
            </w:r>
          </w:p>
        </w:tc>
        <w:tc>
          <w:tcPr>
            <w:tcW w:w="0" w:type="dxa"/>
            <w:vAlign w:val="bottom"/>
          </w:tcPr>
          <w:p>
            <w:pPr>
              <w:spacing w:after="0"/>
              <w:rPr>
                <w:sz w:val="1"/>
                <w:szCs w:val="1"/>
                <w:color w:val="auto"/>
              </w:rPr>
            </w:pP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28,087</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(94,254)</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(44,774)</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w:t>
            </w: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46,223</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(11,158)</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820" w:type="dxa"/>
            <w:vAlign w:val="bottom"/>
          </w:tcPr>
          <w:p>
            <w:pPr>
              <w:ind w:left="220"/>
              <w:spacing w:after="0" w:line="189" w:lineRule="exact"/>
              <w:rPr>
                <w:sz w:val="20"/>
                <w:szCs w:val="20"/>
                <w:color w:val="auto"/>
              </w:rPr>
            </w:pPr>
            <w:r>
              <w:rPr>
                <w:rFonts w:ascii="Arial" w:cs="Arial" w:eastAsia="Arial" w:hAnsi="Arial"/>
                <w:sz w:val="18"/>
                <w:szCs w:val="18"/>
                <w:color w:val="auto"/>
              </w:rPr>
              <w:t>Basic and diluted earnings (losses) from continuing operations per</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95"/>
        </w:trPr>
        <w:tc>
          <w:tcPr>
            <w:tcW w:w="5820" w:type="dxa"/>
            <w:vAlign w:val="bottom"/>
          </w:tcPr>
          <w:p>
            <w:pPr>
              <w:ind w:left="220"/>
              <w:spacing w:after="0" w:line="190" w:lineRule="exact"/>
              <w:rPr>
                <w:sz w:val="20"/>
                <w:szCs w:val="20"/>
                <w:color w:val="auto"/>
              </w:rPr>
            </w:pPr>
            <w:r>
              <w:rPr>
                <w:rFonts w:ascii="Arial" w:cs="Arial" w:eastAsia="Arial" w:hAnsi="Arial"/>
                <w:sz w:val="18"/>
                <w:szCs w:val="18"/>
                <w:color w:val="auto"/>
              </w:rPr>
              <w:t>share</w:t>
            </w:r>
          </w:p>
        </w:tc>
        <w:tc>
          <w:tcPr>
            <w:tcW w:w="1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basic and diluted earnings (losses)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747"/>
        </w:trPr>
        <w:tc>
          <w:tcPr>
            <w:tcW w:w="7180" w:type="dxa"/>
            <w:vAlign w:val="bottom"/>
            <w:gridSpan w:val="4"/>
          </w:tcPr>
          <w:p>
            <w:pPr>
              <w:jc w:val="center"/>
              <w:ind w:left="3990"/>
              <w:spacing w:after="0"/>
              <w:rPr>
                <w:sz w:val="20"/>
                <w:szCs w:val="20"/>
                <w:color w:val="auto"/>
              </w:rPr>
            </w:pPr>
            <w:r>
              <w:rPr>
                <w:rFonts w:ascii="Arial" w:cs="Arial" w:eastAsia="Arial" w:hAnsi="Arial"/>
                <w:sz w:val="18"/>
                <w:szCs w:val="18"/>
                <w:b w:val="1"/>
                <w:bCs w:val="1"/>
                <w:color w:val="auto"/>
                <w:w w:val="98"/>
              </w:rPr>
              <w:t>ECHOSTAR CORPORATION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9940" w:type="dxa"/>
            <w:vAlign w:val="bottom"/>
            <w:gridSpan w:val="10"/>
          </w:tcPr>
          <w:p>
            <w:pPr>
              <w:jc w:val="center"/>
              <w:ind w:left="123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7180" w:type="dxa"/>
            <w:vAlign w:val="bottom"/>
            <w:gridSpan w:val="4"/>
          </w:tcPr>
          <w:p>
            <w:pPr>
              <w:jc w:val="center"/>
              <w:ind w:left="3990"/>
              <w:spacing w:after="0"/>
              <w:rPr>
                <w:sz w:val="20"/>
                <w:szCs w:val="20"/>
                <w:color w:val="auto"/>
              </w:rPr>
            </w:pPr>
            <w:r>
              <w:rPr>
                <w:rFonts w:ascii="Arial" w:cs="Arial" w:eastAsia="Arial" w:hAnsi="Arial"/>
                <w:sz w:val="18"/>
                <w:szCs w:val="18"/>
                <w:color w:val="auto"/>
                <w:w w:val="99"/>
              </w:rPr>
              <w:t>(Amounts 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7180" w:type="dxa"/>
            <w:vAlign w:val="bottom"/>
            <w:gridSpan w:val="4"/>
          </w:tcPr>
          <w:p>
            <w:pPr>
              <w:jc w:val="center"/>
              <w:ind w:left="3990"/>
              <w:spacing w:after="0"/>
              <w:rPr>
                <w:sz w:val="20"/>
                <w:szCs w:val="20"/>
                <w:color w:val="auto"/>
              </w:rPr>
            </w:pPr>
            <w:r>
              <w:rPr>
                <w:rFonts w:ascii="Arial" w:cs="Arial" w:eastAsia="Arial" w:hAnsi="Arial"/>
                <w:sz w:val="18"/>
                <w:szCs w:val="18"/>
                <w:color w:val="auto"/>
                <w:w w:val="99"/>
              </w:rPr>
              <w:t>(Unaudited)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97"/>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4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29"/>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Unrealized gains (losses) on available-for-sale debt securities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b w:val="1"/>
                <w:bCs w:val="1"/>
                <w:color w:val="auto"/>
              </w:rPr>
              <w:t>Amounts reclassified to net income (loss):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losses (gains) on available-for-sale debt securities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3"/>
        </w:trPr>
        <w:tc>
          <w:tcPr>
            <w:tcW w:w="58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w:t>
            </w:r>
          </w:p>
        </w:tc>
      </w:tr>
      <w:tr>
        <w:trPr>
          <w:trHeight w:val="188"/>
        </w:trPr>
        <w:tc>
          <w:tcPr>
            <w:tcW w:w="5820" w:type="dxa"/>
            <w:vAlign w:val="bottom"/>
          </w:tcPr>
          <w:p>
            <w:pPr>
              <w:ind w:left="220"/>
              <w:spacing w:after="0" w:line="189" w:lineRule="exact"/>
              <w:rPr>
                <w:sz w:val="20"/>
                <w:szCs w:val="20"/>
                <w:color w:val="auto"/>
              </w:rPr>
            </w:pPr>
            <w:r>
              <w:rPr>
                <w:rFonts w:ascii="Arial" w:cs="Arial" w:eastAsia="Arial" w:hAnsi="Arial"/>
                <w:sz w:val="18"/>
                <w:szCs w:val="18"/>
                <w:color w:val="auto"/>
              </w:rPr>
              <w:t>Less: Comprehensive loss (income) attributable to non-controlling</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SEPTEMBER 30, 2020 AND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34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at cost</w:t>
            </w:r>
          </w:p>
        </w:tc>
        <w:tc>
          <w:tcPr>
            <w:tcW w:w="2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3,777,499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(119,500)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704,236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4,242,951</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89"/>
        </w:trPr>
        <w:tc>
          <w:tcPr>
            <w:tcW w:w="3200" w:type="dxa"/>
            <w:vAlign w:val="bottom"/>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2,287</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R&amp;D tax credits utilized by DISH Network</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non-controlling interest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BSS Transaction</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(535,103)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(535,103)</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(12,164)</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(21,106)</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1,773</w:t>
            </w:r>
          </w:p>
        </w:tc>
        <w:tc>
          <w:tcPr>
            <w:tcW w:w="0" w:type="dxa"/>
            <w:vAlign w:val="bottom"/>
          </w:tcPr>
          <w:p>
            <w:pPr>
              <w:spacing w:after="0"/>
              <w:rPr>
                <w:sz w:val="1"/>
                <w:szCs w:val="1"/>
                <w:color w:val="auto"/>
              </w:rPr>
            </w:pPr>
          </w:p>
        </w:tc>
      </w:tr>
      <w:tr>
        <w:trPr>
          <w:trHeight w:val="183"/>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3,251,808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(131,664)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685,927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rPr>
              <w:t>(131,454)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9,194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3,683,915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3,311,861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(206,810)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558,034</w:t>
            </w:r>
          </w:p>
        </w:tc>
        <w:tc>
          <w:tcPr>
            <w:tcW w:w="1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ind w:left="220"/>
              <w:spacing w:after="0"/>
              <w:rPr>
                <w:sz w:val="20"/>
                <w:szCs w:val="20"/>
                <w:color w:val="auto"/>
              </w:rPr>
            </w:pPr>
            <w:r>
              <w:rPr>
                <w:rFonts w:ascii="Arial" w:cs="Arial" w:eastAsia="Arial" w:hAnsi="Arial"/>
                <w:sz w:val="14"/>
                <w:szCs w:val="14"/>
                <w:color w:val="auto"/>
              </w:rPr>
              <w:t>(137,347)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58,425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3,584,268</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2,766</w:t>
            </w:r>
          </w:p>
        </w:tc>
        <w:tc>
          <w:tcPr>
            <w:tcW w:w="0" w:type="dxa"/>
            <w:vAlign w:val="bottom"/>
          </w:tcPr>
          <w:p>
            <w:pPr>
              <w:spacing w:after="0"/>
              <w:rPr>
                <w:sz w:val="1"/>
                <w:szCs w:val="1"/>
                <w:color w:val="auto"/>
              </w:rPr>
            </w:pPr>
          </w:p>
        </w:tc>
      </w:tr>
      <w:tr>
        <w:trPr>
          <w:trHeight w:val="189"/>
        </w:trPr>
        <w:tc>
          <w:tcPr>
            <w:tcW w:w="320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2,378</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Contribution by non-controlling interest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4,268</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w:t>
            </w: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(8,601)</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23,273</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3,317,868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583,474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3,613,136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34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at cost</w:t>
            </w:r>
          </w:p>
        </w:tc>
        <w:tc>
          <w:tcPr>
            <w:tcW w:w="2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3,702,522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(125,100)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694,129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4,155,474</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64,143</w:t>
            </w:r>
          </w:p>
        </w:tc>
        <w:tc>
          <w:tcPr>
            <w:tcW w:w="0" w:type="dxa"/>
            <w:vAlign w:val="bottom"/>
          </w:tcPr>
          <w:p>
            <w:pPr>
              <w:spacing w:after="0"/>
              <w:rPr>
                <w:sz w:val="1"/>
                <w:szCs w:val="1"/>
                <w:color w:val="auto"/>
              </w:rPr>
            </w:pPr>
          </w:p>
        </w:tc>
      </w:tr>
      <w:tr>
        <w:trPr>
          <w:trHeight w:val="189"/>
        </w:trPr>
        <w:tc>
          <w:tcPr>
            <w:tcW w:w="3200" w:type="dxa"/>
            <w:vAlign w:val="bottom"/>
          </w:tcPr>
          <w:p>
            <w:pPr>
              <w:ind w:left="480"/>
              <w:spacing w:after="0"/>
              <w:rPr>
                <w:sz w:val="20"/>
                <w:szCs w:val="20"/>
                <w:color w:val="auto"/>
              </w:rPr>
            </w:pPr>
            <w:r>
              <w:rPr>
                <w:rFonts w:ascii="Arial" w:cs="Arial" w:eastAsia="Arial" w:hAnsi="Arial"/>
                <w:sz w:val="14"/>
                <w:szCs w:val="14"/>
                <w:color w:val="auto"/>
              </w:rPr>
              <w:t>Employee benefits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6,654</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7,724</w:t>
            </w:r>
          </w:p>
        </w:tc>
        <w:tc>
          <w:tcPr>
            <w:tcW w:w="0" w:type="dxa"/>
            <w:vAlign w:val="bottom"/>
          </w:tcPr>
          <w:p>
            <w:pPr>
              <w:spacing w:after="0"/>
              <w:rPr>
                <w:sz w:val="1"/>
                <w:szCs w:val="1"/>
                <w:color w:val="auto"/>
              </w:rPr>
            </w:pPr>
          </w:p>
        </w:tc>
      </w:tr>
      <w:tr>
        <w:trPr>
          <w:trHeight w:val="189"/>
        </w:trPr>
        <w:tc>
          <w:tcPr>
            <w:tcW w:w="320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7,120</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R&amp;D tax credits utilized by DISH Network</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Purchase of non-controlling interest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(7,313)</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BSS Transaction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(535,103)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(535,103)</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(6,564)</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(11,158)</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3,251,808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685,927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3,683,915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632,809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3,745,553</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Cumulative effect of accounting changes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(9,308)</w:t>
            </w:r>
          </w:p>
        </w:tc>
        <w:tc>
          <w:tcPr>
            <w:tcW w:w="0" w:type="dxa"/>
            <w:vAlign w:val="bottom"/>
          </w:tcPr>
          <w:p>
            <w:pPr>
              <w:spacing w:after="0"/>
              <w:rPr>
                <w:sz w:val="1"/>
                <w:szCs w:val="1"/>
                <w:color w:val="auto"/>
              </w:rPr>
            </w:pPr>
          </w:p>
        </w:tc>
      </w:tr>
      <w:tr>
        <w:trPr>
          <w:trHeight w:val="18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75,508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3,736,245</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9"/>
        </w:trPr>
        <w:tc>
          <w:tcPr>
            <w:tcW w:w="3200" w:type="dxa"/>
            <w:vAlign w:val="bottom"/>
          </w:tcPr>
          <w:p>
            <w:pPr>
              <w:ind w:left="480"/>
              <w:spacing w:after="0"/>
              <w:rPr>
                <w:sz w:val="20"/>
                <w:szCs w:val="20"/>
                <w:color w:val="auto"/>
              </w:rPr>
            </w:pPr>
            <w:r>
              <w:rPr>
                <w:rFonts w:ascii="Arial" w:cs="Arial" w:eastAsia="Arial" w:hAnsi="Arial"/>
                <w:sz w:val="14"/>
                <w:szCs w:val="14"/>
                <w:color w:val="auto"/>
              </w:rPr>
              <w:t>Employee benefits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6,920</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8,066</w:t>
            </w:r>
          </w:p>
        </w:tc>
        <w:tc>
          <w:tcPr>
            <w:tcW w:w="0" w:type="dxa"/>
            <w:vAlign w:val="bottom"/>
          </w:tcPr>
          <w:p>
            <w:pPr>
              <w:spacing w:after="0"/>
              <w:rPr>
                <w:sz w:val="1"/>
                <w:szCs w:val="1"/>
                <w:color w:val="auto"/>
              </w:rPr>
            </w:pPr>
          </w:p>
        </w:tc>
      </w:tr>
      <w:tr>
        <w:trPr>
          <w:trHeight w:val="189"/>
        </w:trPr>
        <w:tc>
          <w:tcPr>
            <w:tcW w:w="320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Issuance of equity and contribution of</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assets pursuant to the Yahsat JV formation</w:t>
            </w: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260"/>
              <w:spacing w:after="0" w:line="153" w:lineRule="exact"/>
              <w:rPr>
                <w:sz w:val="20"/>
                <w:szCs w:val="20"/>
                <w:color w:val="auto"/>
              </w:rPr>
            </w:pPr>
            <w:r>
              <w:rPr>
                <w:rFonts w:ascii="Arial" w:cs="Arial" w:eastAsia="Arial" w:hAnsi="Arial"/>
                <w:sz w:val="14"/>
                <w:szCs w:val="14"/>
                <w:color w:val="auto"/>
              </w:rPr>
              <w:t>Contribution by non-controlling interest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14,268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14,268</w:t>
            </w:r>
          </w:p>
        </w:tc>
        <w:tc>
          <w:tcPr>
            <w:tcW w:w="0" w:type="dxa"/>
            <w:vAlign w:val="bottom"/>
          </w:tcPr>
          <w:p>
            <w:pPr>
              <w:spacing w:after="0"/>
              <w:rPr>
                <w:sz w:val="1"/>
                <w:szCs w:val="1"/>
                <w:color w:val="auto"/>
              </w:rPr>
            </w:pPr>
          </w:p>
        </w:tc>
      </w:tr>
      <w:tr>
        <w:trPr>
          <w:trHeight w:val="171"/>
        </w:trPr>
        <w:tc>
          <w:tcPr>
            <w:tcW w:w="3200" w:type="dxa"/>
            <w:vAlign w:val="bottom"/>
          </w:tcPr>
          <w:p>
            <w:pPr>
              <w:ind w:left="260"/>
              <w:spacing w:after="0"/>
              <w:rPr>
                <w:sz w:val="20"/>
                <w:szCs w:val="20"/>
                <w:color w:val="auto"/>
              </w:rPr>
            </w:pPr>
            <w:r>
              <w:rPr>
                <w:rFonts w:ascii="Arial" w:cs="Arial" w:eastAsia="Arial" w:hAnsi="Arial"/>
                <w:sz w:val="14"/>
                <w:szCs w:val="14"/>
                <w:color w:val="auto"/>
              </w:rPr>
              <w:t>holder</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(91,342)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(40,267)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(49,307)</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189"/>
        </w:trPr>
        <w:tc>
          <w:tcPr>
            <w:tcW w:w="3200" w:type="dxa"/>
            <w:vAlign w:val="bottom"/>
          </w:tcPr>
          <w:p>
            <w:pPr>
              <w:ind w:left="26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3,317,868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583,474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3,613,136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24"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For the nine months ended</w:t>
      </w:r>
    </w:p>
    <w:p>
      <w:pPr>
        <w:jc w:val="center"/>
        <w:ind w:left="7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4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6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(49,307)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(11,158)</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Adjustments to reconcile net income (loss) to net cash flows from operating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794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392,077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459,054</w:t>
            </w:r>
          </w:p>
        </w:tc>
      </w:tr>
      <w:tr>
        <w:trPr>
          <w:trHeight w:val="189"/>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Losses (gains) on investments, net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(28,087)</w:t>
            </w:r>
          </w:p>
        </w:tc>
      </w:tr>
      <w:tr>
        <w:trPr>
          <w:trHeight w:val="189"/>
        </w:trPr>
        <w:tc>
          <w:tcPr>
            <w:tcW w:w="7940" w:type="dxa"/>
            <w:vAlign w:val="bottom"/>
          </w:tcPr>
          <w:p>
            <w:pPr>
              <w:ind w:left="480"/>
              <w:spacing w:after="0"/>
              <w:rPr>
                <w:sz w:val="20"/>
                <w:szCs w:val="20"/>
                <w:color w:val="auto"/>
              </w:rPr>
            </w:pPr>
            <w:r>
              <w:rPr>
                <w:rFonts w:ascii="Arial" w:cs="Arial" w:eastAsia="Arial" w:hAnsi="Arial"/>
                <w:sz w:val="14"/>
                <w:szCs w:val="14"/>
                <w:color w:val="auto"/>
              </w:rPr>
              <w:t>Equity in losses (earnings) of unconsolidated affiliates, net</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5,866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14,317</w:t>
            </w:r>
          </w:p>
        </w:tc>
      </w:tr>
      <w:tr>
        <w:trPr>
          <w:trHeight w:val="189"/>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transaction losses (gains), net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14,501</w:t>
            </w:r>
          </w:p>
        </w:tc>
      </w:tr>
      <w:tr>
        <w:trPr>
          <w:trHeight w:val="189"/>
        </w:trPr>
        <w:tc>
          <w:tcPr>
            <w:tcW w:w="7940" w:type="dxa"/>
            <w:vAlign w:val="bottom"/>
          </w:tcPr>
          <w:p>
            <w:pPr>
              <w:ind w:left="480"/>
              <w:spacing w:after="0"/>
              <w:rPr>
                <w:sz w:val="20"/>
                <w:szCs w:val="20"/>
                <w:color w:val="auto"/>
              </w:rPr>
            </w:pPr>
            <w:r>
              <w:rPr>
                <w:rFonts w:ascii="Arial" w:cs="Arial" w:eastAsia="Arial" w:hAnsi="Arial"/>
                <w:sz w:val="14"/>
                <w:szCs w:val="14"/>
                <w:color w:val="auto"/>
              </w:rPr>
              <w:t>Deferred tax provision (benefit), net</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22,949</w:t>
            </w:r>
          </w:p>
        </w:tc>
      </w:tr>
      <w:tr>
        <w:trPr>
          <w:trHeight w:val="189"/>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w:t>
            </w:r>
          </w:p>
        </w:tc>
      </w:tr>
      <w:tr>
        <w:trPr>
          <w:trHeight w:val="189"/>
        </w:trPr>
        <w:tc>
          <w:tcPr>
            <w:tcW w:w="7940" w:type="dxa"/>
            <w:vAlign w:val="bottom"/>
          </w:tcPr>
          <w:p>
            <w:pPr>
              <w:ind w:left="4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4,882</w:t>
            </w:r>
          </w:p>
        </w:tc>
      </w:tr>
      <w:tr>
        <w:trPr>
          <w:trHeight w:val="189"/>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Dividends received from unconsolidated affiliates</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r>
      <w:tr>
        <w:trPr>
          <w:trHeight w:val="189"/>
        </w:trPr>
        <w:tc>
          <w:tcPr>
            <w:tcW w:w="7940" w:type="dxa"/>
            <w:vAlign w:val="bottom"/>
          </w:tcPr>
          <w:p>
            <w:pPr>
              <w:ind w:left="48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9,617</w:t>
            </w:r>
          </w:p>
        </w:tc>
      </w:tr>
      <w:tr>
        <w:trPr>
          <w:trHeight w:val="189"/>
        </w:trPr>
        <w:tc>
          <w:tcPr>
            <w:tcW w:w="79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Changes in assets and liabilities, net: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7940" w:type="dxa"/>
            <w:vAlign w:val="bottom"/>
          </w:tcPr>
          <w:p>
            <w:pPr>
              <w:ind w:left="700"/>
              <w:spacing w:after="0"/>
              <w:rPr>
                <w:sz w:val="20"/>
                <w:szCs w:val="20"/>
                <w:color w:val="auto"/>
              </w:rPr>
            </w:pPr>
            <w:r>
              <w:rPr>
                <w:rFonts w:ascii="Arial" w:cs="Arial" w:eastAsia="Arial" w:hAnsi="Arial"/>
                <w:sz w:val="14"/>
                <w:szCs w:val="14"/>
                <w:color w:val="auto"/>
              </w:rPr>
              <w:t>Trade accounts receivable and contract assets, net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(5,439)</w:t>
            </w:r>
          </w:p>
        </w:tc>
      </w:tr>
      <w:tr>
        <w:trPr>
          <w:trHeight w:val="189"/>
        </w:trPr>
        <w:tc>
          <w:tcPr>
            <w:tcW w:w="79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Other current assets, net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(42,140)</w:t>
            </w:r>
          </w:p>
        </w:tc>
      </w:tr>
      <w:tr>
        <w:trPr>
          <w:trHeight w:val="189"/>
        </w:trPr>
        <w:tc>
          <w:tcPr>
            <w:tcW w:w="7940" w:type="dxa"/>
            <w:vAlign w:val="bottom"/>
          </w:tcPr>
          <w:p>
            <w:pPr>
              <w:ind w:left="700"/>
              <w:spacing w:after="0"/>
              <w:rPr>
                <w:sz w:val="20"/>
                <w:szCs w:val="20"/>
                <w:color w:val="auto"/>
              </w:rPr>
            </w:pPr>
            <w:r>
              <w:rPr>
                <w:rFonts w:ascii="Arial" w:cs="Arial" w:eastAsia="Arial" w:hAnsi="Arial"/>
                <w:sz w:val="14"/>
                <w:szCs w:val="14"/>
                <w:color w:val="auto"/>
              </w:rPr>
              <w:t>Trade accounts payable</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18,180</w:t>
            </w:r>
          </w:p>
        </w:tc>
      </w:tr>
      <w:tr>
        <w:trPr>
          <w:trHeight w:val="189"/>
        </w:trPr>
        <w:tc>
          <w:tcPr>
            <w:tcW w:w="79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Contract liabilities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37,273</w:t>
            </w:r>
          </w:p>
        </w:tc>
      </w:tr>
      <w:tr>
        <w:trPr>
          <w:trHeight w:val="189"/>
        </w:trPr>
        <w:tc>
          <w:tcPr>
            <w:tcW w:w="7940" w:type="dxa"/>
            <w:vAlign w:val="bottom"/>
          </w:tcPr>
          <w:p>
            <w:pPr>
              <w:ind w:left="70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29,155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27,972</w:t>
            </w:r>
          </w:p>
        </w:tc>
      </w:tr>
      <w:tr>
        <w:trPr>
          <w:trHeight w:val="189"/>
        </w:trPr>
        <w:tc>
          <w:tcPr>
            <w:tcW w:w="79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Non-current assets and non-current liabilities, net</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flows from operating activities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365,402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533,060</w:t>
            </w:r>
          </w:p>
        </w:tc>
      </w:tr>
      <w:tr>
        <w:trPr>
          <w:trHeight w:val="196"/>
        </w:trPr>
        <w:tc>
          <w:tcPr>
            <w:tcW w:w="7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marketable investment securities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(2,234,671)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(655,265)</w:t>
            </w: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Sales and maturities of marketable investment securities</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1,231,790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1,988,078</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Expenditures for property and equipment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(295,041)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(314,861)</w:t>
            </w: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Expenditures for externally marketed software</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(27,824)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(21,364)</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other investments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Investments in unconsolidated affiliates</w:t>
            </w:r>
          </w:p>
        </w:tc>
        <w:tc>
          <w:tcPr>
            <w:tcW w:w="3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(7,503)</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Dividend received from unconsolidated affiliate</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flows from investing activities</w:t>
            </w: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(1,331,246)</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991,369</w:t>
            </w:r>
          </w:p>
        </w:tc>
      </w:tr>
      <w:tr>
        <w:trPr>
          <w:trHeight w:val="196"/>
        </w:trPr>
        <w:tc>
          <w:tcPr>
            <w:tcW w:w="7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Repurchase and maturity of the 2019 Senior Secured Notes</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(920,923)</w:t>
            </w: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Payment of finance lease obligations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(29,135)</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Payment of in-orbit incentive obligations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(5,269)</w:t>
            </w: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Net proceeds from Class A common stock options exercised</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64,143</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7,724</w:t>
            </w: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Treasury share purchase</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Contribution by non-controlling interest holder</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tcPr>
          <w:p>
            <w:pPr>
              <w:ind w:left="260"/>
              <w:spacing w:after="0"/>
              <w:rPr>
                <w:sz w:val="20"/>
                <w:szCs w:val="20"/>
                <w:color w:val="auto"/>
              </w:rPr>
            </w:pPr>
            <w:r>
              <w:rPr>
                <w:rFonts w:ascii="Arial" w:cs="Arial" w:eastAsia="Arial" w:hAnsi="Arial"/>
                <w:sz w:val="14"/>
                <w:szCs w:val="14"/>
                <w:color w:val="auto"/>
              </w:rPr>
              <w:t>Purchase of non-controlling interest</w:t>
            </w:r>
          </w:p>
        </w:tc>
        <w:tc>
          <w:tcPr>
            <w:tcW w:w="3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(7,313)</w:t>
            </w:r>
          </w:p>
        </w:tc>
      </w:tr>
      <w:tr>
        <w:trPr>
          <w:trHeight w:val="189"/>
        </w:trPr>
        <w:tc>
          <w:tcPr>
            <w:tcW w:w="7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flows from financing activities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16,548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(890,015)</w:t>
            </w:r>
          </w:p>
        </w:tc>
      </w:tr>
      <w:tr>
        <w:trPr>
          <w:trHeight w:val="196"/>
        </w:trPr>
        <w:tc>
          <w:tcPr>
            <w:tcW w:w="7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(957,644)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634,003</w:t>
            </w:r>
          </w:p>
        </w:tc>
      </w:tr>
      <w:tr>
        <w:trPr>
          <w:trHeight w:val="18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1,521,889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929,495</w:t>
            </w:r>
          </w:p>
        </w:tc>
      </w:tr>
      <w:tr>
        <w:trPr>
          <w:trHeight w:val="20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564,245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1,563,498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263" w:lineRule="exact"/>
        <w:rPr>
          <w:sz w:val="20"/>
          <w:szCs w:val="20"/>
          <w:color w:val="auto"/>
        </w:rPr>
      </w:pPr>
    </w:p>
    <w:p>
      <w:pPr>
        <w:jc w:val="both"/>
        <w:ind w:left="660" w:hanging="328"/>
        <w:spacing w:after="0" w:line="25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U.S. government service providers, internet service providers, broadcast news organizations, content providers and private enterprise customers.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14. Segment Reporting</w:t>
      </w:r>
      <w:r>
        <w:rPr>
          <w:rFonts w:ascii="Arial" w:cs="Arial" w:eastAsia="Arial" w:hAnsi="Arial"/>
          <w:sz w:val="18"/>
          <w:szCs w:val="18"/>
          <w:color w:val="auto"/>
        </w:rPr>
        <w:t xml:space="preserve"> for further detail</w:t>
      </w:r>
      <w:r>
        <w:rPr>
          <w:rFonts w:ascii="Arial" w:cs="Arial" w:eastAsia="Arial" w:hAnsi="Arial"/>
          <w:sz w:val="18"/>
          <w:szCs w:val="18"/>
          <w:i w:val="1"/>
          <w:iCs w:val="1"/>
          <w:color w:val="auto"/>
        </w:rPr>
        <w:t>.</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as such, excluded from continuing operations and segment results for the three and nine months ended September 30, 2019, as presented in these unaudited Condensed Consolidated Financial Statements and the accompanying notes (collectively, the “Condensed Consolidated Financial Statements”).</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All amounts in the following footnotes reference results from continuing operations unless otherwise noted. Refer to </w:t>
      </w:r>
      <w:r>
        <w:rPr>
          <w:rFonts w:ascii="Arial" w:cs="Arial" w:eastAsia="Arial" w:hAnsi="Arial"/>
          <w:sz w:val="18"/>
          <w:szCs w:val="18"/>
          <w:i w:val="1"/>
          <w:iCs w:val="1"/>
          <w:color w:val="auto"/>
        </w:rPr>
        <w:t>Note 4.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further detail.</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Condensed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amounts presented in these Condensed Consolidated Financial Statements are expressed in thousands of U.S. dollars, except share and per share amounts and unless otherwise noted.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Condensed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consolidated financial statements. Additionally, changing economic and other conditions may increase the inherent uncertainty in the estimates and assumptions indicated above. We review our estimates and assumptions periodically and the effects of revisions thereto are reflected in the period they occur or prospectively if the revised estimates or assumptions affect future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2020, we adopted Accounting Standards Update (“ASU”) No. 2016-13 -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 amended, and codified in Accounting Standards Codification Topic 326 (“ASC 326”). ASC 326 introduces a new approach to the periodic estimation of credit losses for certain financial assets based on expected losses instead of incurred losses. It also modifies the impairment model for available-for-sale debt securities and provides a simplified accounting model for purchased financial assets that have experienced credit deterioration since their original purchase. We have elected to apply the requirements of the new standard prospectively and we recognized a cumulative effect of adoption of $9.1 million to </w:t>
      </w:r>
      <w:r>
        <w:rPr>
          <w:rFonts w:ascii="Arial" w:cs="Arial" w:eastAsia="Arial" w:hAnsi="Arial"/>
          <w:sz w:val="18"/>
          <w:szCs w:val="18"/>
          <w:i w:val="1"/>
          <w:iCs w:val="1"/>
          <w:color w:val="auto"/>
        </w:rPr>
        <w:t>Accumulated earnings (losses)</w:t>
      </w:r>
      <w:r>
        <w:rPr>
          <w:rFonts w:ascii="Arial" w:cs="Arial" w:eastAsia="Arial" w:hAnsi="Arial"/>
          <w:sz w:val="18"/>
          <w:szCs w:val="18"/>
          <w:color w:val="auto"/>
        </w:rPr>
        <w:t xml:space="preserve"> as of January 1, 2020. Based on this election, we did not restate our comparative Condensed Consolidated Financial Statements and they continue to be reported under the accounting standards in effect for the periods before January 1, 2020.</w:t>
      </w:r>
    </w:p>
    <w:p>
      <w:pPr>
        <w:spacing w:after="0" w:line="2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describes the accounting impacts, by major balance sheet line item, of our adoption of this new standard based on the relevant types of losses that we and our equity method investees may be subject to:</w:t>
      </w:r>
    </w:p>
    <w:p>
      <w:pPr>
        <w:spacing w:after="0" w:line="203" w:lineRule="exact"/>
        <w:rPr>
          <w:sz w:val="20"/>
          <w:szCs w:val="20"/>
          <w:color w:val="auto"/>
        </w:rPr>
      </w:pPr>
    </w:p>
    <w:p>
      <w:pPr>
        <w:jc w:val="both"/>
        <w:ind w:left="660" w:hanging="328"/>
        <w:spacing w:after="0" w:line="257"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and Contract Assets, Net </w:t>
      </w:r>
      <w:r>
        <w:rPr>
          <w:rFonts w:ascii="Arial" w:cs="Arial" w:eastAsia="Arial" w:hAnsi="Arial"/>
          <w:sz w:val="18"/>
          <w:szCs w:val="18"/>
          <w:color w:val="auto"/>
        </w:rPr>
        <w:t>— Our trade accounts receivables and contract assets consist of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from both our consumer and enterprise customers. Our receivables and related credit losses for our consumer customers are limited due to policies that require advance payment for services, predominant use of credit card and ACH payment processes, and our ability to promptly terminate service when timely payments are not received. However, for our enterprise customers, we estimate expected credit losses on a collective basis based on our historical loss experience, as adjusted to reflect changes in relevant factors, such as macroeconomic conditions and customer mix, that can significantly impact collectability.</w:t>
      </w:r>
    </w:p>
    <w:p>
      <w:pPr>
        <w:spacing w:after="0" w:line="231" w:lineRule="exact"/>
        <w:rPr>
          <w:rFonts w:ascii="Arial" w:cs="Arial" w:eastAsia="Arial" w:hAnsi="Arial"/>
          <w:sz w:val="18"/>
          <w:szCs w:val="18"/>
          <w:b w:val="1"/>
          <w:bCs w:val="1"/>
          <w:i w:val="1"/>
          <w:iCs w:val="1"/>
          <w:color w:val="auto"/>
        </w:rPr>
      </w:pPr>
    </w:p>
    <w:p>
      <w:pPr>
        <w:jc w:val="both"/>
        <w:ind w:left="66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apply our collective estimation processes separately to several pools of receivables that share common risk characteristics, generally based on the customers’ geographical location. Customers with significant past-due balances or other atypical characteristics are excluded from our collective analysis and evaluated on a case-by-case basis. Our estimates of expected credit losses for such receivables reflect significant judgments that consider customer-specific matters such as the customer’s financial condition, payment history, and recent developments in the customer’s business and industry. Due to the short-term nature of our trade receivables and contract assets, forecasts about the future have limited relevance to our expected credit loss estimates.</w:t>
      </w:r>
    </w:p>
    <w:p>
      <w:pPr>
        <w:spacing w:after="0" w:line="216"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customer related estimated credit losses as a component of our bad debt expense as reported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p>
    <w:p>
      <w:pPr>
        <w:spacing w:after="0" w:line="184"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Other Non-current Assets, Net </w:t>
      </w:r>
      <w:r>
        <w:rPr>
          <w:rFonts w:ascii="Arial" w:cs="Arial" w:eastAsia="Arial" w:hAnsi="Arial"/>
          <w:sz w:val="18"/>
          <w:szCs w:val="18"/>
          <w:color w:val="auto"/>
        </w:rPr>
        <w:t>— We estimate expected credit losses for receivables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terms longer than one year separately by borrower, due to the unique risk characteristics of such receivables.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non-current receivables are from entities in the telecommunications industry. The collection of contractual principal and interest on these receivables is highly dependent on the future business operations of those entities. Our estimation of expected credit losses for such receivables requires significant judgment about matters specific to the borrower and their industry. Accordingly, our actual collection experience may differ from the assumptions reflected in our expected credit loss estimates.</w:t>
      </w:r>
    </w:p>
    <w:p>
      <w:pPr>
        <w:spacing w:after="0" w:line="215"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estimated credit losses as a component of our bad debt expense as reported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p>
    <w:p>
      <w:pPr>
        <w:spacing w:after="0" w:line="184"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Investments, Net </w:t>
      </w:r>
      <w:r>
        <w:rPr>
          <w:rFonts w:ascii="Arial" w:cs="Arial" w:eastAsia="Arial" w:hAnsi="Arial"/>
          <w:sz w:val="18"/>
          <w:szCs w:val="18"/>
          <w:color w:val="auto"/>
        </w:rPr>
        <w:t>— We estimate expected credit losses on our other debt investments with payment terms longer than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separately by debtor, due to the unique risk characteristics of such debt investments. We generally use discounted cash flow techniques to estimate such credit losses.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applying such techniques, we may estimate principal and interest cash flows under probability-weighted scenarios that consider entity-specific matters and forecasted economic conditions. The majority of our other debt investments are with entities in the telecommunications industry. The collection of contractual principal and interest on these debt investments are highly dependent on the future business operations of those entities. Our estimation of expected credit losses for such debt investments require significant judgment about matters specific to the debtor and their industry. Accordingly, our actual collection experience may differ from the assumptions reflected in our expected credit loss estimates.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record our other debt investments related estimated credit losses as a reduction of </w:t>
      </w:r>
      <w:r>
        <w:rPr>
          <w:rFonts w:ascii="Arial" w:cs="Arial" w:eastAsia="Arial" w:hAnsi="Arial"/>
          <w:sz w:val="18"/>
          <w:szCs w:val="18"/>
          <w:i w:val="1"/>
          <w:iCs w:val="1"/>
          <w:color w:val="auto"/>
        </w:rPr>
        <w:t>Interest income, net.</w:t>
      </w:r>
    </w:p>
    <w:p>
      <w:pPr>
        <w:spacing w:after="0" w:line="2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Our adoption of this new standard resulted in the following adjustments to our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220" w:type="dxa"/>
            <w:vAlign w:val="bottom"/>
          </w:tcPr>
          <w:p>
            <w:pPr>
              <w:spacing w:after="0"/>
              <w:rPr>
                <w:sz w:val="17"/>
                <w:szCs w:val="17"/>
                <w:color w:val="auto"/>
              </w:rPr>
            </w:pPr>
          </w:p>
        </w:tc>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Adoption of</w:t>
            </w:r>
          </w:p>
        </w:tc>
        <w:tc>
          <w:tcPr>
            <w:tcW w:w="260" w:type="dxa"/>
            <w:vAlign w:val="bottom"/>
          </w:tcPr>
          <w:p>
            <w:pPr>
              <w:spacing w:after="0"/>
              <w:rPr>
                <w:sz w:val="17"/>
                <w:szCs w:val="17"/>
                <w:color w:val="auto"/>
              </w:rPr>
            </w:pPr>
          </w:p>
        </w:tc>
        <w:tc>
          <w:tcPr>
            <w:tcW w:w="192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ASC 326 Increase</w:t>
            </w:r>
          </w:p>
        </w:tc>
        <w:tc>
          <w:tcPr>
            <w:tcW w:w="26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(Decrease)</w:t>
            </w:r>
          </w:p>
        </w:tc>
        <w:tc>
          <w:tcPr>
            <w:tcW w:w="260" w:type="dxa"/>
            <w:vAlign w:val="bottom"/>
          </w:tcPr>
          <w:p>
            <w:pPr>
              <w:spacing w:after="0"/>
              <w:rPr>
                <w:sz w:val="19"/>
                <w:szCs w:val="19"/>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January 1, 2020</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contract assets, net</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182,957</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current assets, net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179,531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186,254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net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318,024</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334,841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338,891</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351,692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350,720</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 (losses)</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623,741</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75,748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75,508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3,736,245</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7,154,298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application of ASC 326 requirements did not materially affect our Condensed Consolidated Statements of Operations for the three and nine months ended September 30,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FASB’s overall simplification initiative and seeks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updating certain guidance and removing certain exceptions. The updated guidance is effective for fiscal years beginning after December 15, 2020 and interim periods within those fiscal years. Early adoption is permitted. We have assessed the impact of adopting this new guidance and do not expect it to have a material impact on our consolidated financial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8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58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59"/>
        </w:trPr>
        <w:tc>
          <w:tcPr>
            <w:tcW w:w="758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1"/>
        </w:trPr>
        <w:tc>
          <w:tcPr>
            <w:tcW w:w="7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540" w:type="dxa"/>
            <w:vAlign w:val="bottom"/>
            <w:tcBorders>
              <w:bottom w:val="single" w:sz="8" w:color="auto"/>
            </w:tcBorders>
          </w:tcPr>
          <w:p>
            <w:pPr>
              <w:spacing w:after="0"/>
              <w:rPr>
                <w:sz w:val="24"/>
                <w:szCs w:val="24"/>
                <w:color w:val="auto"/>
              </w:rPr>
            </w:pPr>
          </w:p>
        </w:tc>
      </w:tr>
      <w:tr>
        <w:trPr>
          <w:trHeight w:val="169"/>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4"/>
                <w:szCs w:val="14"/>
                <w:color w:val="auto"/>
              </w:rPr>
            </w:pPr>
          </w:p>
        </w:tc>
        <w:tc>
          <w:tcPr>
            <w:tcW w:w="154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75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162,390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152,632</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23"/>
        </w:trPr>
        <w:tc>
          <w:tcPr>
            <w:tcW w:w="7580" w:type="dxa"/>
            <w:vAlign w:val="bottom"/>
          </w:tcPr>
          <w:p>
            <w:pPr>
              <w:ind w:left="460"/>
              <w:spacing w:after="0"/>
              <w:rPr>
                <w:sz w:val="20"/>
                <w:szCs w:val="20"/>
                <w:color w:val="auto"/>
              </w:rPr>
            </w:pPr>
            <w:r>
              <w:rPr>
                <w:rFonts w:ascii="Arial" w:cs="Arial" w:eastAsia="Arial" w:hAnsi="Arial"/>
                <w:sz w:val="18"/>
                <w:szCs w:val="18"/>
                <w:color w:val="auto"/>
              </w:rPr>
              <w:t>Total trade accounts receivable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156,648</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63,758</w:t>
            </w:r>
          </w:p>
        </w:tc>
      </w:tr>
      <w:tr>
        <w:trPr>
          <w:trHeight w:val="229"/>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(23,777)</w:t>
            </w:r>
          </w:p>
        </w:tc>
      </w:tr>
      <w:tr>
        <w:trPr>
          <w:trHeight w:val="248"/>
        </w:trPr>
        <w:tc>
          <w:tcPr>
            <w:tcW w:w="7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trade accounts receivable and contract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89,622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101,060</w:t>
            </w:r>
          </w:p>
        </w:tc>
      </w:tr>
      <w:tr>
        <w:trPr>
          <w:trHeight w:val="229"/>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r>
      <w:tr>
        <w:trPr>
          <w:trHeight w:val="223"/>
        </w:trPr>
        <w:tc>
          <w:tcPr>
            <w:tcW w:w="7580" w:type="dxa"/>
            <w:vAlign w:val="bottom"/>
          </w:tcPr>
          <w:p>
            <w:pPr>
              <w:ind w:left="460"/>
              <w:spacing w:after="0"/>
              <w:rPr>
                <w:sz w:val="20"/>
                <w:szCs w:val="20"/>
                <w:color w:val="auto"/>
              </w:rPr>
            </w:pPr>
            <w:r>
              <w:rPr>
                <w:rFonts w:ascii="Arial" w:cs="Arial" w:eastAsia="Arial" w:hAnsi="Arial"/>
                <w:sz w:val="18"/>
                <w:szCs w:val="18"/>
                <w:color w:val="auto"/>
              </w:rPr>
              <w:t>Total contract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111,632</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revenue recognized in the Condensed Consolidated Statements of Operations that was previously included within contract liabilities: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99"/>
              </w:rPr>
              <w:t>For the 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For the nine months ended</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67,263</w:t>
            </w:r>
          </w:p>
        </w:tc>
        <w:tc>
          <w:tcPr>
            <w:tcW w:w="20" w:type="dxa"/>
            <w:vAlign w:val="bottom"/>
          </w:tcPr>
          <w:p>
            <w:pPr>
              <w:spacing w:after="0"/>
              <w:rPr>
                <w:sz w:val="21"/>
                <w:szCs w:val="21"/>
                <w:color w:val="auto"/>
              </w:rPr>
            </w:pPr>
          </w:p>
        </w:tc>
      </w:tr>
      <w:tr>
        <w:trPr>
          <w:trHeight w:val="20"/>
        </w:trPr>
        <w:tc>
          <w:tcPr>
            <w:tcW w:w="58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7240" w:type="dxa"/>
            <w:vAlign w:val="bottom"/>
            <w:gridSpan w:val="5"/>
          </w:tcPr>
          <w:p>
            <w:pPr>
              <w:spacing w:after="0"/>
              <w:rPr>
                <w:sz w:val="20"/>
                <w:szCs w:val="20"/>
                <w:color w:val="auto"/>
              </w:rPr>
            </w:pPr>
            <w:r>
              <w:rPr>
                <w:rFonts w:ascii="Arial" w:cs="Arial" w:eastAsia="Arial" w:hAnsi="Arial"/>
                <w:sz w:val="18"/>
                <w:szCs w:val="18"/>
                <w:color w:val="auto"/>
              </w:rPr>
              <w:t>The following table presents the activity in our allowance for doubtful accounts: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80" w:type="dxa"/>
            <w:vAlign w:val="bottom"/>
            <w:gridSpan w:val="9"/>
          </w:tcPr>
          <w:p>
            <w:pPr>
              <w:jc w:val="center"/>
              <w:ind w:right="390"/>
              <w:spacing w:after="0" w:line="202" w:lineRule="exact"/>
              <w:rPr>
                <w:sz w:val="20"/>
                <w:szCs w:val="20"/>
                <w:color w:val="auto"/>
              </w:rPr>
            </w:pPr>
            <w:r>
              <w:rPr>
                <w:rFonts w:ascii="Arial" w:cs="Arial" w:eastAsia="Arial" w:hAnsi="Arial"/>
                <w:sz w:val="18"/>
                <w:szCs w:val="18"/>
                <w:b w:val="1"/>
                <w:bCs w:val="1"/>
                <w:color w:val="auto"/>
                <w:w w:val="99"/>
              </w:rPr>
              <w:t>For the nine months ended</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center"/>
              <w:ind w:left="130"/>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beginning of period</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22,031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0" w:type="dxa"/>
            <w:vAlign w:val="bottom"/>
            <w:tcBorders>
              <w:bottom w:val="single" w:sz="8" w:color="auto"/>
            </w:tcBorders>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20" w:type="dxa"/>
            <w:vAlign w:val="bottom"/>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line="220" w:lineRule="auto"/>
        <w:tabs>
          <w:tab w:leader="none" w:pos="17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The impact of adopting ASC 326 on January 1, 2020 was a net decrease to our allowance for doubtful accounts largely driven by a $13.4 million reclassification to </w:t>
      </w:r>
      <w:r>
        <w:rPr>
          <w:rFonts w:ascii="Arial" w:cs="Arial" w:eastAsia="Arial" w:hAnsi="Arial"/>
          <w:sz w:val="14"/>
          <w:szCs w:val="14"/>
          <w:i w:val="1"/>
          <w:iCs w:val="1"/>
          <w:color w:val="auto"/>
        </w:rPr>
        <w:t>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current assets, net </w:t>
      </w:r>
      <w:r>
        <w:rPr>
          <w:rFonts w:ascii="Arial" w:cs="Arial" w:eastAsia="Arial" w:hAnsi="Arial"/>
          <w:sz w:val="14"/>
          <w:szCs w:val="14"/>
          <w:color w:val="auto"/>
        </w:rPr>
        <w:t>and</w:t>
      </w:r>
      <w:r>
        <w:rPr>
          <w:rFonts w:ascii="Arial" w:cs="Arial" w:eastAsia="Arial" w:hAnsi="Arial"/>
          <w:sz w:val="14"/>
          <w:szCs w:val="14"/>
          <w:i w:val="1"/>
          <w:iCs w:val="1"/>
          <w:color w:val="auto"/>
        </w:rPr>
        <w:t xml:space="preserve"> Other non-current assets, net</w:t>
      </w:r>
      <w:r>
        <w:rPr>
          <w:rFonts w:ascii="Arial" w:cs="Arial" w:eastAsia="Arial" w:hAnsi="Arial"/>
          <w:sz w:val="14"/>
          <w:szCs w:val="14"/>
          <w:color w:val="auto"/>
        </w:rPr>
        <w:t>, offset by a $2.9 million adjustment to</w:t>
      </w:r>
      <w:r>
        <w:rPr>
          <w:rFonts w:ascii="Arial" w:cs="Arial" w:eastAsia="Arial" w:hAnsi="Arial"/>
          <w:sz w:val="14"/>
          <w:szCs w:val="14"/>
          <w:i w:val="1"/>
          <w:iCs w:val="1"/>
          <w:color w:val="auto"/>
        </w:rPr>
        <w:t xml:space="preserve"> Accumulated earnings (losses)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18"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nine months ended</w:t>
      </w:r>
    </w:p>
    <w:p>
      <w:pPr>
        <w:jc w:val="center"/>
        <w:ind w:left="792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114,306</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71,651</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(72,412)</w:t>
            </w:r>
          </w:p>
        </w:tc>
      </w:tr>
      <w:tr>
        <w:trPr>
          <w:trHeight w:val="22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recognized amortization expenses related to contract acquisition costs of $25.7 million and $24.7 million for the three months ended September 30, 2020 and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2020, the remaining performance obligations for our customer contracts with original expected durations of more than one year was $677.9 million. We expect to recognize 38.9% of our remaining performance obligations of these contracts as revenue in the next twelve months. This amount excludes agreements with consumer customers in our Hughes segment, our leasing arrangements and agreements with certain customers under which collectability of all amounts due through the term of contracts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Corporate and</w:t>
            </w:r>
          </w:p>
        </w:tc>
        <w:tc>
          <w:tcPr>
            <w:tcW w:w="18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2020</w:t>
            </w: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392,950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399,650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38,618</w:t>
            </w: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35,234</w:t>
            </w:r>
          </w:p>
        </w:tc>
        <w:tc>
          <w:tcPr>
            <w:tcW w:w="0" w:type="dxa"/>
            <w:vAlign w:val="bottom"/>
          </w:tcPr>
          <w:p>
            <w:pPr>
              <w:spacing w:after="0"/>
              <w:rPr>
                <w:sz w:val="1"/>
                <w:szCs w:val="1"/>
                <w:color w:val="auto"/>
              </w:rPr>
            </w:pPr>
          </w:p>
        </w:tc>
      </w:tr>
      <w:tr>
        <w:trPr>
          <w:trHeight w:val="235"/>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2019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389,264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4,098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397,685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31,853</w:t>
            </w: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42,724</w:t>
            </w:r>
          </w:p>
        </w:tc>
        <w:tc>
          <w:tcPr>
            <w:tcW w:w="0" w:type="dxa"/>
            <w:vAlign w:val="bottom"/>
          </w:tcPr>
          <w:p>
            <w:pPr>
              <w:spacing w:after="0"/>
              <w:rPr>
                <w:sz w:val="1"/>
                <w:szCs w:val="1"/>
                <w:color w:val="auto"/>
              </w:rPr>
            </w:pPr>
          </w:p>
        </w:tc>
      </w:tr>
      <w:tr>
        <w:trPr>
          <w:trHeight w:val="234"/>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472,262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1,160,288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6,753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1,180,274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106,727</w:t>
            </w: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111,633</w:t>
            </w:r>
          </w:p>
        </w:tc>
        <w:tc>
          <w:tcPr>
            <w:tcW w:w="0" w:type="dxa"/>
            <w:vAlign w:val="bottom"/>
          </w:tcPr>
          <w:p>
            <w:pPr>
              <w:spacing w:after="0"/>
              <w:rPr>
                <w:sz w:val="1"/>
                <w:szCs w:val="1"/>
                <w:color w:val="auto"/>
              </w:rPr>
            </w:pPr>
          </w:p>
        </w:tc>
      </w:tr>
      <w:tr>
        <w:trPr>
          <w:trHeight w:val="235"/>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2019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1,129,491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11,873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13,934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1,155,298</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89,354</w:t>
            </w: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142,423</w:t>
            </w:r>
          </w:p>
        </w:tc>
        <w:tc>
          <w:tcPr>
            <w:tcW w:w="0" w:type="dxa"/>
            <w:vAlign w:val="bottom"/>
          </w:tcPr>
          <w:p>
            <w:pPr>
              <w:spacing w:after="0"/>
              <w:rPr>
                <w:sz w:val="1"/>
                <w:szCs w:val="1"/>
                <w:color w:val="auto"/>
              </w:rPr>
            </w:pPr>
          </w:p>
        </w:tc>
      </w:tr>
      <w:tr>
        <w:trPr>
          <w:trHeight w:val="234"/>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1,360,919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1,387,075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7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tables presents our revenue disaggregated by the nature of products and services and by segment for the three and nine months ended September 30, 2020 and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Corporate and</w:t>
            </w:r>
          </w:p>
        </w:tc>
        <w:tc>
          <w:tcPr>
            <w:tcW w:w="18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2020</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412,960</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419,792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426,532</w:t>
            </w:r>
          </w:p>
        </w:tc>
        <w:tc>
          <w:tcPr>
            <w:tcW w:w="0" w:type="dxa"/>
            <w:vAlign w:val="bottom"/>
          </w:tcPr>
          <w:p>
            <w:pPr>
              <w:spacing w:after="0"/>
              <w:rPr>
                <w:sz w:val="1"/>
                <w:szCs w:val="1"/>
                <w:color w:val="auto"/>
              </w:rPr>
            </w:pPr>
          </w:p>
        </w:tc>
      </w:tr>
      <w:tr>
        <w:trPr>
          <w:trHeight w:val="195"/>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29,387</w:t>
            </w:r>
          </w:p>
        </w:tc>
        <w:tc>
          <w:tcPr>
            <w:tcW w:w="0" w:type="dxa"/>
            <w:vAlign w:val="bottom"/>
          </w:tcPr>
          <w:p>
            <w:pPr>
              <w:spacing w:after="0"/>
              <w:rPr>
                <w:sz w:val="1"/>
                <w:szCs w:val="1"/>
                <w:color w:val="auto"/>
              </w:rPr>
            </w:pPr>
          </w:p>
        </w:tc>
      </w:tr>
      <w:tr>
        <w:trPr>
          <w:trHeight w:val="213"/>
        </w:trPr>
        <w:tc>
          <w:tcPr>
            <w:tcW w:w="4760" w:type="dxa"/>
            <w:vAlign w:val="bottom"/>
          </w:tcPr>
          <w:p>
            <w:pPr>
              <w:ind w:left="46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16,375</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7"/>
        </w:trPr>
        <w:tc>
          <w:tcPr>
            <w:tcW w:w="4760" w:type="dxa"/>
            <w:vAlign w:val="bottom"/>
          </w:tcPr>
          <w:p>
            <w:pPr>
              <w:ind w:left="66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46,970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46,970</w:t>
            </w:r>
          </w:p>
        </w:tc>
        <w:tc>
          <w:tcPr>
            <w:tcW w:w="0" w:type="dxa"/>
            <w:vAlign w:val="bottom"/>
          </w:tcPr>
          <w:p>
            <w:pPr>
              <w:spacing w:after="0"/>
              <w:rPr>
                <w:sz w:val="1"/>
                <w:szCs w:val="1"/>
                <w:color w:val="auto"/>
              </w:rPr>
            </w:pPr>
          </w:p>
        </w:tc>
      </w:tr>
      <w:tr>
        <w:trPr>
          <w:trHeight w:val="234"/>
        </w:trPr>
        <w:tc>
          <w:tcPr>
            <w:tcW w:w="476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2019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389,946</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16,591</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398,010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406,537</w:t>
            </w:r>
          </w:p>
        </w:tc>
        <w:tc>
          <w:tcPr>
            <w:tcW w:w="0" w:type="dxa"/>
            <w:vAlign w:val="bottom"/>
          </w:tcPr>
          <w:p>
            <w:pPr>
              <w:spacing w:after="0"/>
              <w:rPr>
                <w:sz w:val="1"/>
                <w:szCs w:val="1"/>
                <w:color w:val="auto"/>
              </w:rPr>
            </w:pPr>
          </w:p>
        </w:tc>
      </w:tr>
      <w:tr>
        <w:trPr>
          <w:trHeight w:val="195"/>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21,106</w:t>
            </w:r>
          </w:p>
        </w:tc>
        <w:tc>
          <w:tcPr>
            <w:tcW w:w="0" w:type="dxa"/>
            <w:vAlign w:val="bottom"/>
          </w:tcPr>
          <w:p>
            <w:pPr>
              <w:spacing w:after="0"/>
              <w:rPr>
                <w:sz w:val="1"/>
                <w:szCs w:val="1"/>
                <w:color w:val="auto"/>
              </w:rPr>
            </w:pPr>
          </w:p>
        </w:tc>
      </w:tr>
      <w:tr>
        <w:trPr>
          <w:trHeight w:val="213"/>
        </w:trPr>
        <w:tc>
          <w:tcPr>
            <w:tcW w:w="4760" w:type="dxa"/>
            <w:vAlign w:val="bottom"/>
          </w:tcPr>
          <w:p>
            <w:pPr>
              <w:ind w:left="46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42,328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42,328</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06"/>
        </w:trPr>
        <w:tc>
          <w:tcPr>
            <w:tcW w:w="4760" w:type="dxa"/>
            <w:vAlign w:val="bottom"/>
          </w:tcPr>
          <w:p>
            <w:pPr>
              <w:ind w:left="66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65,725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65,725</w:t>
            </w:r>
          </w:p>
        </w:tc>
        <w:tc>
          <w:tcPr>
            <w:tcW w:w="0" w:type="dxa"/>
            <w:vAlign w:val="bottom"/>
          </w:tcPr>
          <w:p>
            <w:pPr>
              <w:spacing w:after="0"/>
              <w:rPr>
                <w:sz w:val="1"/>
                <w:szCs w:val="1"/>
                <w:color w:val="auto"/>
              </w:rPr>
            </w:pPr>
          </w:p>
        </w:tc>
      </w:tr>
      <w:tr>
        <w:trPr>
          <w:trHeight w:val="235"/>
        </w:trPr>
        <w:tc>
          <w:tcPr>
            <w:tcW w:w="476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472,262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2"/>
            <w:vMerge w:val="restart"/>
          </w:tcPr>
          <w:p>
            <w:pPr>
              <w:jc w:val="right"/>
              <w:ind w:right="370"/>
              <w:spacing w:after="0"/>
              <w:rPr>
                <w:sz w:val="20"/>
                <w:szCs w:val="20"/>
                <w:color w:val="auto"/>
              </w:rPr>
            </w:pPr>
            <w:r>
              <w:rPr>
                <w:rFonts w:ascii="Arial" w:cs="Arial" w:eastAsia="Arial" w:hAnsi="Arial"/>
                <w:sz w:val="16"/>
                <w:szCs w:val="16"/>
                <w:b w:val="1"/>
                <w:bCs w:val="1"/>
                <w:color w:val="auto"/>
              </w:rPr>
              <w:t>Hughes</w:t>
            </w:r>
          </w:p>
        </w:tc>
        <w:tc>
          <w:tcPr>
            <w:tcW w:w="120" w:type="dxa"/>
            <w:vAlign w:val="bottom"/>
          </w:tcPr>
          <w:p>
            <w:pPr>
              <w:spacing w:after="0"/>
              <w:rPr>
                <w:sz w:val="16"/>
                <w:szCs w:val="16"/>
                <w:color w:val="auto"/>
              </w:rPr>
            </w:pPr>
          </w:p>
        </w:tc>
        <w:tc>
          <w:tcPr>
            <w:tcW w:w="1460" w:type="dxa"/>
            <w:vAlign w:val="bottom"/>
            <w:gridSpan w:val="3"/>
            <w:vMerge w:val="restart"/>
          </w:tcPr>
          <w:p>
            <w:pPr>
              <w:jc w:val="right"/>
              <w:ind w:right="458"/>
              <w:spacing w:after="0"/>
              <w:rPr>
                <w:sz w:val="20"/>
                <w:szCs w:val="20"/>
                <w:color w:val="auto"/>
              </w:rPr>
            </w:pPr>
            <w:r>
              <w:rPr>
                <w:rFonts w:ascii="Arial" w:cs="Arial" w:eastAsia="Arial" w:hAnsi="Arial"/>
                <w:sz w:val="16"/>
                <w:szCs w:val="16"/>
                <w:b w:val="1"/>
                <w:bCs w:val="1"/>
                <w:color w:val="auto"/>
              </w:rPr>
              <w:t>ESS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jc w:val="right"/>
              <w:ind w:right="76"/>
              <w:spacing w:after="0"/>
              <w:rPr>
                <w:sz w:val="20"/>
                <w:szCs w:val="20"/>
                <w:color w:val="auto"/>
              </w:rPr>
            </w:pPr>
            <w:r>
              <w:rPr>
                <w:rFonts w:ascii="Arial" w:cs="Arial" w:eastAsia="Arial" w:hAnsi="Arial"/>
                <w:sz w:val="16"/>
                <w:szCs w:val="16"/>
                <w:b w:val="1"/>
                <w:bCs w:val="1"/>
                <w:color w:val="auto"/>
              </w:rPr>
              <w:t>Corporate 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right"/>
              <w:ind w:right="177"/>
              <w:spacing w:after="0"/>
              <w:rPr>
                <w:sz w:val="20"/>
                <w:szCs w:val="20"/>
                <w:color w:val="auto"/>
              </w:rPr>
            </w:pPr>
            <w:r>
              <w:rPr>
                <w:rFonts w:ascii="Arial" w:cs="Arial" w:eastAsia="Arial" w:hAnsi="Arial"/>
                <w:sz w:val="16"/>
                <w:szCs w:val="16"/>
                <w:b w:val="1"/>
                <w:bCs w:val="1"/>
                <w:color w:val="auto"/>
              </w:rPr>
              <w:t>Consolidated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6"/>
                <w:szCs w:val="16"/>
                <w:b w:val="1"/>
                <w:bCs w:val="1"/>
                <w:color w:val="auto"/>
              </w:rPr>
              <w:t>Other</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2020</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Services and other revenue: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1,198,816</w:t>
            </w:r>
          </w:p>
        </w:tc>
        <w:tc>
          <w:tcPr>
            <w:tcW w:w="860" w:type="dxa"/>
            <w:vAlign w:val="bottom"/>
            <w:gridSpan w:val="2"/>
            <w:shd w:val="clear" w:color="auto" w:fill="CCEEFF"/>
          </w:tcPr>
          <w:p>
            <w:pPr>
              <w:jc w:val="right"/>
              <w:ind w:right="55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w:t>
            </w:r>
          </w:p>
        </w:tc>
        <w:tc>
          <w:tcPr>
            <w:tcW w:w="64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32,898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services and other revenue</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1,231,714</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Equipment revenue:</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72,744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70,600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3,358</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equipment revenue</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146,702</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Total revenue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1,378,416</w:t>
            </w:r>
          </w:p>
        </w:tc>
        <w:tc>
          <w:tcPr>
            <w:tcW w:w="860" w:type="dxa"/>
            <w:vAlign w:val="bottom"/>
            <w:gridSpan w:val="2"/>
            <w:shd w:val="clear" w:color="auto" w:fill="CCEEFF"/>
          </w:tcPr>
          <w:p>
            <w:pPr>
              <w:jc w:val="right"/>
              <w:ind w:right="55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64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1,398,634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2019</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Services and other revenue: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1,147,868</w:t>
            </w:r>
          </w:p>
        </w:tc>
        <w:tc>
          <w:tcPr>
            <w:tcW w:w="860" w:type="dxa"/>
            <w:vAlign w:val="bottom"/>
            <w:gridSpan w:val="2"/>
            <w:shd w:val="clear" w:color="auto" w:fill="CCEEFF"/>
          </w:tcPr>
          <w:p>
            <w:pPr>
              <w:jc w:val="right"/>
              <w:ind w:right="55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7,953</w:t>
            </w:r>
          </w:p>
        </w:tc>
        <w:tc>
          <w:tcPr>
            <w:tcW w:w="64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37,967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4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services and other revenue</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1,185,835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Equipment revenue:</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77,663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93,254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equipment revenue</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175,084</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1,360,919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1,387,075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Lease Revenue</w:t>
            </w: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gridSpan w:val="3"/>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gridSpan w:val="8"/>
          </w:tcPr>
          <w:p>
            <w:pPr>
              <w:jc w:val="right"/>
              <w:ind w:right="39"/>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jc w:val="right"/>
              <w:ind w:right="17"/>
              <w:spacing w:after="0"/>
              <w:rPr>
                <w:sz w:val="20"/>
                <w:szCs w:val="20"/>
                <w:color w:val="auto"/>
              </w:rPr>
            </w:pPr>
            <w:r>
              <w:rPr>
                <w:rFonts w:ascii="Arial" w:cs="Arial" w:eastAsia="Arial" w:hAnsi="Arial"/>
                <w:sz w:val="18"/>
                <w:szCs w:val="18"/>
                <w:b w:val="1"/>
                <w:bCs w:val="1"/>
                <w:color w:val="auto"/>
              </w:rPr>
              <w:t>For the 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7"/>
          </w:tcPr>
          <w:p>
            <w:pPr>
              <w:jc w:val="right"/>
              <w:ind w:right="557"/>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CCEEFF"/>
            </w:tcBorders>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Sales-type lease revenue: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Revenue at lease commencement</w:t>
            </w:r>
          </w:p>
        </w:tc>
        <w:tc>
          <w:tcPr>
            <w:tcW w:w="400" w:type="dxa"/>
            <w:vAlign w:val="bottom"/>
          </w:tcPr>
          <w:p>
            <w:pPr>
              <w:spacing w:after="0"/>
              <w:rPr>
                <w:sz w:val="19"/>
                <w:szCs w:val="19"/>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620" w:type="dxa"/>
            <w:vAlign w:val="bottom"/>
          </w:tcPr>
          <w:p>
            <w:pPr>
              <w:jc w:val="right"/>
              <w:ind w:right="418"/>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3,358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Total sales-type lease revenue</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revenue</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16,385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41,487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Total lease revenue</w:t>
            </w:r>
          </w:p>
        </w:tc>
        <w:tc>
          <w:tcPr>
            <w:tcW w:w="400" w:type="dxa"/>
            <w:vAlign w:val="bottom"/>
          </w:tcPr>
          <w:p>
            <w:pPr>
              <w:spacing w:after="0"/>
              <w:rPr>
                <w:sz w:val="19"/>
                <w:szCs w:val="19"/>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14,780</w:t>
            </w:r>
          </w:p>
        </w:tc>
        <w:tc>
          <w:tcPr>
            <w:tcW w:w="100" w:type="dxa"/>
            <w:vAlign w:val="bottom"/>
          </w:tcPr>
          <w:p>
            <w:pPr>
              <w:spacing w:after="0"/>
              <w:rPr>
                <w:sz w:val="19"/>
                <w:szCs w:val="19"/>
                <w:color w:val="auto"/>
              </w:rPr>
            </w:pPr>
          </w:p>
        </w:tc>
        <w:tc>
          <w:tcPr>
            <w:tcW w:w="620" w:type="dxa"/>
            <w:vAlign w:val="bottom"/>
          </w:tcPr>
          <w:p>
            <w:pPr>
              <w:jc w:val="right"/>
              <w:ind w:right="418"/>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18,882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45,023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55,152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$10.6 million and $6.5 million as of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presents future operating lease payments to be received as of September 30, 2020:</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2020 (remainder)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11,977</w:t>
            </w: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37,729</w:t>
            </w:r>
          </w:p>
        </w:tc>
      </w:tr>
      <w:tr>
        <w:trPr>
          <w:trHeight w:val="230"/>
        </w:trPr>
        <w:tc>
          <w:tcPr>
            <w:tcW w:w="9020" w:type="dxa"/>
            <w:vAlign w:val="bottom"/>
            <w:gridSpan w:val="2"/>
          </w:tcPr>
          <w:p>
            <w:pPr>
              <w:ind w:left="2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34,207</w:t>
            </w: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32,100</w:t>
            </w:r>
          </w:p>
        </w:tc>
      </w:tr>
      <w:tr>
        <w:trPr>
          <w:trHeight w:val="229"/>
        </w:trPr>
        <w:tc>
          <w:tcPr>
            <w:tcW w:w="9020" w:type="dxa"/>
            <w:vAlign w:val="bottom"/>
            <w:gridSpan w:val="2"/>
          </w:tcPr>
          <w:p>
            <w:pPr>
              <w:ind w:left="2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29,771</w:t>
            </w:r>
          </w:p>
        </w:tc>
      </w:tr>
      <w:tr>
        <w:trPr>
          <w:trHeight w:val="230"/>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2025 and beyond</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127,485</w:t>
            </w:r>
          </w:p>
        </w:tc>
      </w:tr>
      <w:tr>
        <w:trPr>
          <w:trHeight w:val="223"/>
        </w:trPr>
        <w:tc>
          <w:tcPr>
            <w:tcW w:w="20" w:type="dxa"/>
            <w:vAlign w:val="bottom"/>
          </w:tcPr>
          <w:p>
            <w:pPr>
              <w:spacing w:after="0"/>
              <w:rPr>
                <w:sz w:val="19"/>
                <w:szCs w:val="19"/>
                <w:color w:val="auto"/>
              </w:rPr>
            </w:pPr>
          </w:p>
        </w:tc>
        <w:tc>
          <w:tcPr>
            <w:tcW w:w="9000" w:type="dxa"/>
            <w:vAlign w:val="bottom"/>
          </w:tcPr>
          <w:p>
            <w:pPr>
              <w:ind w:left="440"/>
              <w:spacing w:after="0"/>
              <w:rPr>
                <w:sz w:val="20"/>
                <w:szCs w:val="20"/>
                <w:color w:val="auto"/>
              </w:rPr>
            </w:pPr>
            <w:r>
              <w:rPr>
                <w:rFonts w:ascii="Arial" w:cs="Arial" w:eastAsia="Arial" w:hAnsi="Arial"/>
                <w:sz w:val="18"/>
                <w:szCs w:val="18"/>
                <w:color w:val="auto"/>
              </w:rPr>
              <w:t>Total lease payments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273,269</w:t>
            </w:r>
          </w:p>
        </w:tc>
      </w:tr>
      <w:tr>
        <w:trPr>
          <w:trHeight w:val="21"/>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September 30, 2020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December 31, 2019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340" w:type="dxa"/>
            <w:vAlign w:val="bottom"/>
          </w:tcPr>
          <w:p>
            <w:pPr>
              <w:spacing w:after="0"/>
              <w:rPr>
                <w:sz w:val="14"/>
                <w:szCs w:val="14"/>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Depreciation</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Depreciation</w:t>
            </w: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1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Customer premises</w:t>
            </w: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334,483</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Satellites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73,260</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30,882</w:t>
            </w:r>
          </w:p>
        </w:tc>
        <w:tc>
          <w:tcPr>
            <w:tcW w:w="0" w:type="dxa"/>
            <w:vAlign w:val="bottom"/>
          </w:tcPr>
          <w:p>
            <w:pPr>
              <w:spacing w:after="0"/>
              <w:rPr>
                <w:sz w:val="1"/>
                <w:szCs w:val="1"/>
                <w:color w:val="auto"/>
              </w:rPr>
            </w:pPr>
          </w:p>
        </w:tc>
      </w:tr>
      <w:tr>
        <w:trPr>
          <w:trHeight w:val="223"/>
        </w:trPr>
        <w:tc>
          <w:tcPr>
            <w:tcW w:w="216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1,690,169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(1,251,502)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438,667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1,529,464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(1,090,839)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438,625</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8"/>
                <w:szCs w:val="18"/>
                <w:color w:val="auto"/>
              </w:rPr>
            </w:pPr>
          </w:p>
        </w:tc>
        <w:tc>
          <w:tcPr>
            <w:tcW w:w="25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5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138,197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5,277</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144,171</w:t>
            </w: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BSS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results of our discontinued operations for the BSS Business: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For the three</w:t>
            </w:r>
          </w:p>
        </w:tc>
        <w:tc>
          <w:tcPr>
            <w:tcW w:w="180" w:type="dxa"/>
            <w:vAlign w:val="bottom"/>
          </w:tcPr>
          <w:p>
            <w:pPr>
              <w:spacing w:after="0"/>
              <w:rPr>
                <w:sz w:val="17"/>
                <w:szCs w:val="17"/>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For the nine</w:t>
            </w:r>
          </w:p>
        </w:tc>
      </w:tr>
      <w:tr>
        <w:trPr>
          <w:trHeight w:val="175"/>
        </w:trPr>
        <w:tc>
          <w:tcPr>
            <w:tcW w:w="7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rPr>
              <w:t>months ended</w:t>
            </w:r>
          </w:p>
        </w:tc>
        <w:tc>
          <w:tcPr>
            <w:tcW w:w="180" w:type="dxa"/>
            <w:vAlign w:val="bottom"/>
          </w:tcPr>
          <w:p>
            <w:pPr>
              <w:spacing w:after="0"/>
              <w:rPr>
                <w:sz w:val="15"/>
                <w:szCs w:val="15"/>
                <w:color w:val="auto"/>
              </w:rPr>
            </w:pPr>
          </w:p>
        </w:tc>
        <w:tc>
          <w:tcPr>
            <w:tcW w:w="154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rPr>
              <w:t>months ended</w:t>
            </w:r>
          </w:p>
        </w:tc>
      </w:tr>
      <w:tr>
        <w:trPr>
          <w:trHeight w:val="230"/>
        </w:trPr>
        <w:tc>
          <w:tcPr>
            <w:tcW w:w="7680" w:type="dxa"/>
            <w:vAlign w:val="bottom"/>
          </w:tcPr>
          <w:p>
            <w:pPr>
              <w:spacing w:after="0"/>
              <w:rPr>
                <w:sz w:val="19"/>
                <w:szCs w:val="19"/>
                <w:color w:val="auto"/>
              </w:rPr>
            </w:pP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2019</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September 30, 2019</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Services and other revenue - DISH Network</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54,297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195,942</w:t>
            </w: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other revenue - other</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16,261</w:t>
            </w:r>
          </w:p>
        </w:tc>
      </w:tr>
      <w:tr>
        <w:trPr>
          <w:trHeight w:val="223"/>
        </w:trPr>
        <w:tc>
          <w:tcPr>
            <w:tcW w:w="7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212,203</w:t>
            </w: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28,057</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r>
      <w:tr>
        <w:trPr>
          <w:trHeight w:val="229"/>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97,435</w:t>
            </w:r>
          </w:p>
        </w:tc>
      </w:tr>
      <w:tr>
        <w:trPr>
          <w:trHeight w:val="223"/>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134,302</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77,901</w:t>
            </w: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(17,865)</w:t>
            </w:r>
          </w:p>
        </w:tc>
      </w:tr>
      <w:tr>
        <w:trPr>
          <w:trHeight w:val="223"/>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(17,865)</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60,036</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(13,813)</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46,223</w:t>
            </w: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assets or liabilities attributable to our discontinued operations of the BSS Business were held by us as of September 30, 2020 or December 31, 2019.</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significant supplemental cash flow information and adjustments to reconcile net income to net cash flow from operating activities for discontinued operations of the BSS Business for the nine months ended September 30, 2019:</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46,223</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Expenditures for property and equipment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9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55"/>
        </w:trPr>
        <w:tc>
          <w:tcPr>
            <w:tcW w:w="9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 of finance lease obligations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000" w:type="dxa"/>
            <w:vAlign w:val="bottom"/>
          </w:tcPr>
          <w:p>
            <w:pPr>
              <w:ind w:left="200"/>
              <w:spacing w:after="0" w:line="203" w:lineRule="exact"/>
              <w:rPr>
                <w:sz w:val="20"/>
                <w:szCs w:val="20"/>
                <w:color w:val="auto"/>
              </w:rPr>
            </w:pPr>
            <w:r>
              <w:rPr>
                <w:rFonts w:ascii="Arial" w:cs="Arial" w:eastAsia="Arial" w:hAnsi="Arial"/>
                <w:sz w:val="18"/>
                <w:szCs w:val="18"/>
                <w:color w:val="auto"/>
              </w:rPr>
              <w:t>Payment of in-orbit incentive obligations</w:t>
            </w: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4,474</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Terminated or Transferred Related Party Agreements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September 10, 2019, the following agreements were terminated or transferred to DISH Network as part of the BSS Transaction. Unless noted differently below, we have no further obligations and have neither earned additional revenue nor incurred additional expense, as applicable, under or in connection with these agreements after the consummation of the BSS Transaction.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entered into certain agreements to lease satellite capacity pursuant to which we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services to DISH Network on certain satellites, as listed below, owned or leased by us. The fees for the services provided under these agreements depended, among other things, upon the orbital location of the applicable satellite, the number of transponders that provided services on the applicable satellite and the length of the service arrangements. The terms of each of the agreements are set forth below:</w:t>
      </w:r>
    </w:p>
    <w:p>
      <w:pPr>
        <w:spacing w:after="0" w:line="206"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VII, EchoStar X, EchoStar XI and EchoStar XIV </w:t>
      </w:r>
      <w:r>
        <w:rPr>
          <w:rFonts w:ascii="Arial" w:cs="Arial" w:eastAsia="Arial" w:hAnsi="Arial"/>
          <w:sz w:val="18"/>
          <w:szCs w:val="18"/>
          <w:color w:val="auto"/>
        </w:rPr>
        <w:t>— In March 2014, we began leasing certain satellite capacity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on the EchoStar VII satellite, the EchoStar X satellite, the EchoStar XI satellite and the EchoStar XIV satellite.</w:t>
      </w:r>
    </w:p>
    <w:p>
      <w:pPr>
        <w:spacing w:after="0" w:line="17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XII </w:t>
      </w:r>
      <w:r>
        <w:rPr>
          <w:rFonts w:ascii="Arial" w:cs="Arial" w:eastAsia="Arial" w:hAnsi="Arial"/>
          <w:sz w:val="18"/>
          <w:szCs w:val="18"/>
          <w:color w:val="auto"/>
        </w:rPr>
        <w:t>— DISH Network leased satellite capacity from us on the EchoStar XII satellite.</w:t>
      </w:r>
    </w:p>
    <w:p>
      <w:pPr>
        <w:spacing w:after="0" w:line="252" w:lineRule="exact"/>
        <w:rPr>
          <w:rFonts w:ascii="Arial" w:cs="Arial" w:eastAsia="Arial" w:hAnsi="Arial"/>
          <w:sz w:val="18"/>
          <w:szCs w:val="18"/>
          <w:i w:val="1"/>
          <w:iCs w:val="1"/>
          <w:color w:val="auto"/>
        </w:rPr>
      </w:pPr>
    </w:p>
    <w:p>
      <w:pPr>
        <w:ind w:left="660" w:hanging="328"/>
        <w:spacing w:after="0" w:line="28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XVI </w:t>
      </w:r>
      <w:r>
        <w:rPr>
          <w:rFonts w:ascii="Arial" w:cs="Arial" w:eastAsia="Arial" w:hAnsi="Arial"/>
          <w:sz w:val="18"/>
          <w:szCs w:val="18"/>
          <w:color w:val="auto"/>
        </w:rPr>
        <w:t>— In December 2009, we entered into an agreement to lease satellite capacity to DISH Network,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leased satellite capacity from us on the EchoStar XVI satellite beginning in January 2013.</w:t>
      </w:r>
    </w:p>
    <w:p>
      <w:pPr>
        <w:spacing w:after="0" w:line="179" w:lineRule="exact"/>
        <w:rPr>
          <w:rFonts w:ascii="Arial" w:cs="Arial" w:eastAsia="Arial" w:hAnsi="Arial"/>
          <w:sz w:val="18"/>
          <w:szCs w:val="18"/>
          <w:i w:val="1"/>
          <w:iCs w:val="1"/>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Nimiq 5 Agreement </w:t>
      </w:r>
      <w:r>
        <w:rPr>
          <w:rFonts w:ascii="Arial" w:cs="Arial" w:eastAsia="Arial" w:hAnsi="Arial"/>
          <w:sz w:val="18"/>
          <w:szCs w:val="18"/>
          <w:color w:val="auto"/>
        </w:rPr>
        <w:t>— 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Following the consummation of the BSS Transaction, we retained certain obligations related to DISH Network’s performance under the Telesat Transponder Agreement.</w:t>
      </w:r>
    </w:p>
    <w:p>
      <w:pPr>
        <w:spacing w:after="0" w:line="211" w:lineRule="exact"/>
        <w:rPr>
          <w:rFonts w:ascii="Arial" w:cs="Arial" w:eastAsia="Arial" w:hAnsi="Arial"/>
          <w:sz w:val="18"/>
          <w:szCs w:val="18"/>
          <w:i w:val="1"/>
          <w:iCs w:val="1"/>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QuetzSat-1 Agreement </w:t>
      </w:r>
      <w:r>
        <w:rPr>
          <w:rFonts w:ascii="Arial" w:cs="Arial" w:eastAsia="Arial" w:hAnsi="Arial"/>
          <w:sz w:val="18"/>
          <w:szCs w:val="18"/>
          <w:color w:val="auto"/>
        </w:rPr>
        <w:t>— In November 2008, we entered into an agreement to lease satellite capacity from SES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provided, among other things, for the provision by SES Latin America to us of leased satellite capacity on 32 DBS transponders on the QuetzSat-1 satellite. Concurrently, in 2008, we 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TT&amp;C agreement pursuant to which we provided TT&amp;C services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which we subsequently amended (the “2012 TT&amp;C Agreement”). The fees for services provided under the 2012 TT&amp;C Agreement were calculated at either: (i) a fixed fee or (ii) cost plus a fixed margin, which varied depending on the nature of the services provided.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entered into lease agreements pursuant to which DISH Network leased certain real estate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The rent on a per square foot basis for each of the leases or subsequent amendments was comparable to per square foot rental rates of similar commercial property in the same geographic area at the time of the leases or subsequent amendments and DISH Network was responsible for its portion of the taxes, insurance, utilities and maintenance of the premises. These components of the BSS Transaction do not qualify for discontinued operations treatment, and therefore the revenue from these lease agreements has not been treated as discontinued operations. The terms of each of the leases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Santa Fe Lease Agreement </w:t>
      </w:r>
      <w:r>
        <w:rPr>
          <w:rFonts w:ascii="Arial" w:cs="Arial" w:eastAsia="Arial" w:hAnsi="Arial"/>
          <w:sz w:val="18"/>
          <w:szCs w:val="18"/>
          <w:color w:val="auto"/>
        </w:rPr>
        <w:t>— DISH Network leased from us all of 5701 S. Santa Fe Dr., Littleton, Colorado.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BSS Transaction, we transferred this property to DISH Network.</w:t>
      </w:r>
    </w:p>
    <w:p>
      <w:pPr>
        <w:spacing w:after="0" w:line="179" w:lineRule="exact"/>
        <w:rPr>
          <w:rFonts w:ascii="Arial" w:cs="Arial" w:eastAsia="Arial" w:hAnsi="Arial"/>
          <w:sz w:val="18"/>
          <w:szCs w:val="18"/>
          <w:i w:val="1"/>
          <w:iCs w:val="1"/>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During 2017, we and certain of our subsidiaries entered into a share exchange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Exchange Agreement”) with DISH and certain of its subsidiaries whereby we and certain of our subsidiaries received all the shares of preferred tracking stock previously issued by us and one of our subsidiaries (the “Tracking Stock”) in exchange for 100% of the equity interests of certain of our subsidiaries that held substantially all of our former EchoStar Technologies businesses and certain other assets (collectively, the “Share Exchange”). Prior to the Share Exchange, we leased to DISH Network certain space at 530 EchoStar Drive, Cheyenne, Wyoming. In connection with the Share Exchange, we transferred ownership of a portion of this property to DISH Network and we and DISH Network amended this agreement to, among other things, provide for a continued lease to DISH Network of the portion of the property we retained (the “Cheyenne Data Center”). In connection with the BSS Transaction, we transferred the Cheyenne Data Center to DISH Network.</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We entered into a lease agreement pursuant to which we leased from DISH Network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at 801 N. DISH Dr. in Gilbert, Arizona for the Satellite Operations Center and Satellite Access Center. The rent on a per square foot basis was comparable to per square foot rental rates of similar commercial property in the same geographic area at the time of the leases or subsequent amendments and included our portion of the taxes, insurance, utilities and certain maintenance of the premises. In connection with the BSS Transaction, we terminated this lease and transferred the Gilbert Satellite Operations Center, including any and all equipment, software, processes, software licenses, hardware licenses, furniture and technical documentation located within, to DISH Network.</w:t>
      </w: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BUSINESS COMBINATIONS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 The combined business provides broadband internet services and enterprise solutions in Brazil using the Telesat T19V satellite, the Eutelsat 65W satellite and Yahsat’s Al Yah 3 satellite. The results of operations related to the business we acquired from Yahsat have been included in these Condensed Consolidated Financial Statements from the date of acquisition. Through September 30, 2020, we have incurred $1.6 million of costs associated with the closing of the Yahsat Brazil JV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assets and liabilities acquired from Yahsat have been recorded at fair value. The following table presents our updated preliminary allocation of the purchase price:</w:t>
      </w:r>
    </w:p>
    <w:p>
      <w:pPr>
        <w:spacing w:after="0" w:line="95"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89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89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8,110</w:t>
            </w:r>
          </w:p>
        </w:tc>
      </w:tr>
      <w:tr>
        <w:trPr>
          <w:trHeight w:val="230"/>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29"/>
        </w:trPr>
        <w:tc>
          <w:tcPr>
            <w:tcW w:w="890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86,983</w:t>
            </w:r>
          </w:p>
        </w:tc>
      </w:tr>
      <w:tr>
        <w:trPr>
          <w:trHeight w:val="229"/>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authorization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30"/>
        </w:trPr>
        <w:tc>
          <w:tcPr>
            <w:tcW w:w="89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6,076</w:t>
            </w:r>
          </w:p>
        </w:tc>
      </w:tr>
      <w:tr>
        <w:trPr>
          <w:trHeight w:val="229"/>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23"/>
        </w:trPr>
        <w:tc>
          <w:tcPr>
            <w:tcW w:w="8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114,275</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8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29"/>
        </w:trPr>
        <w:tc>
          <w:tcPr>
            <w:tcW w:w="8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9"/>
        </w:trPr>
        <w:tc>
          <w:tcPr>
            <w:tcW w:w="8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w:t>
            </w:r>
          </w:p>
        </w:tc>
      </w:tr>
      <w:tr>
        <w:trPr>
          <w:trHeight w:val="248"/>
        </w:trPr>
        <w:tc>
          <w:tcPr>
            <w:tcW w:w="8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5"/>
        </w:trPr>
        <w:tc>
          <w:tcPr>
            <w:tcW w:w="890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8"/>
                <w:szCs w:val="18"/>
                <w:color w:val="auto"/>
              </w:rPr>
              <w:t xml:space="preserve">Total purchase price </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line="258" w:lineRule="auto"/>
        <w:tabs>
          <w:tab w:leader="none" w:pos="304" w:val="left"/>
        </w:tabs>
        <w:numPr>
          <w:ilvl w:val="0"/>
          <w:numId w:val="9"/>
        </w:numPr>
        <w:rPr>
          <w:rFonts w:ascii="Arial" w:cs="Arial" w:eastAsia="Arial" w:hAnsi="Arial"/>
          <w:sz w:val="9"/>
          <w:szCs w:val="9"/>
          <w:color w:val="auto"/>
        </w:rPr>
      </w:pPr>
      <w:r>
        <w:rPr>
          <w:rFonts w:ascii="Arial" w:cs="Arial" w:eastAsia="Arial" w:hAnsi="Arial"/>
          <w:sz w:val="14"/>
          <w:szCs w:val="14"/>
          <w:color w:val="auto"/>
        </w:rPr>
        <w:t>Based on the value determined for the equity ownership interest issued by our Brazilian subsidiary as consideration for the business acquired by us in the Yahsat Brazil JV Transaction.</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preliminary valuation of the acquired assets was derived using primarily unobservable Level 3 inputs, which require significant management judgment and estimation: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 payload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49,363</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Regulatory authorization</w:t>
            </w:r>
          </w:p>
        </w:tc>
        <w:tc>
          <w:tcPr>
            <w:tcW w:w="4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r>
      <w:tr>
        <w:trPr>
          <w:trHeight w:val="248"/>
        </w:trPr>
        <w:tc>
          <w:tcPr>
            <w:tcW w:w="9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satellite payload and regulatory authorization were valued using an income approach and are being amortized over seven and 11 years, respectively.</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goodwill we recognized was allocated entirely to our Hughes segment and attributed to expected synergies, projected long-term business growth in current and new markets and an assembled workforce.</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EARNINGS PER SHARE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present basic and diluted earnings or losses per share (“EPS”) for our Class A and Class B common stock. Basic EPS for our Class A and Class B common stock excludes potential dilution and is computed by dividing </w:t>
      </w:r>
      <w:r>
        <w:rPr>
          <w:rFonts w:ascii="Arial" w:cs="Arial" w:eastAsia="Arial" w:hAnsi="Arial"/>
          <w:sz w:val="18"/>
          <w:szCs w:val="18"/>
          <w:i w:val="1"/>
          <w:iCs w:val="1"/>
          <w:color w:val="auto"/>
        </w:rPr>
        <w:t>Net income (loss) attributable to EchoStar 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by the weighted-average number of common shares outstanding for the period. Diluted EPS reflects the potential dilution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occur if shares of common stock were issued pursuant to our stock-based compensation awards. The potential dilution from common stock awards is computed using the treasury stock method based on the average market value of our Class A common stock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gridSpan w:val="2"/>
          </w:tcPr>
          <w:p>
            <w:pPr>
              <w:spacing w:after="0"/>
              <w:rPr>
                <w:sz w:val="20"/>
                <w:szCs w:val="20"/>
                <w:color w:val="auto"/>
              </w:rPr>
            </w:pPr>
            <w:r>
              <w:rPr>
                <w:rFonts w:ascii="Arial" w:cs="Arial" w:eastAsia="Arial" w:hAnsi="Arial"/>
                <w:sz w:val="18"/>
                <w:szCs w:val="18"/>
                <w:color w:val="auto"/>
              </w:rPr>
              <w:t>The following table presents the calculation of basic and diluted EPS: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19"/>
                <w:szCs w:val="19"/>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156"/>
        </w:trPr>
        <w:tc>
          <w:tcPr>
            <w:tcW w:w="20" w:type="dxa"/>
            <w:vAlign w:val="bottom"/>
          </w:tcPr>
          <w:p>
            <w:pPr>
              <w:spacing w:after="0"/>
              <w:rPr>
                <w:sz w:val="13"/>
                <w:szCs w:val="13"/>
                <w:color w:val="auto"/>
              </w:rPr>
            </w:pPr>
          </w:p>
        </w:tc>
        <w:tc>
          <w:tcPr>
            <w:tcW w:w="5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EchoStar Corporation common</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(40,267)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(56,022)</w:t>
            </w: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46,223</w:t>
            </w:r>
          </w:p>
        </w:tc>
      </w:tr>
      <w:tr>
        <w:trPr>
          <w:trHeight w:val="223"/>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(9,799)</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A and B common stock:</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96,426</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A and B common stock:</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440"/>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20" w:type="dxa"/>
            <w:vAlign w:val="bottom"/>
          </w:tcPr>
          <w:p>
            <w:pPr>
              <w:spacing w:after="0"/>
              <w:rPr>
                <w:sz w:val="19"/>
                <w:szCs w:val="19"/>
                <w:color w:val="auto"/>
              </w:rPr>
            </w:pPr>
          </w:p>
        </w:tc>
        <w:tc>
          <w:tcPr>
            <w:tcW w:w="5860" w:type="dxa"/>
            <w:vAlign w:val="bottom"/>
          </w:tcPr>
          <w:p>
            <w:pPr>
              <w:ind w:left="64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48"/>
        </w:trPr>
        <w:tc>
          <w:tcPr>
            <w:tcW w:w="20" w:type="dxa"/>
            <w:vAlign w:val="bottom"/>
          </w:tcPr>
          <w:p>
            <w:pPr>
              <w:spacing w:after="0"/>
              <w:rPr>
                <w:sz w:val="21"/>
                <w:szCs w:val="21"/>
                <w:color w:val="auto"/>
              </w:rPr>
            </w:pPr>
          </w:p>
        </w:tc>
        <w:tc>
          <w:tcPr>
            <w:tcW w:w="586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basic and diluted earnings (losses)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diluted weighted-average common shares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2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2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30"/>
        </w:trPr>
        <w:tc>
          <w:tcPr>
            <w:tcW w:w="5920" w:type="dxa"/>
            <w:vAlign w:val="bottom"/>
          </w:tcPr>
          <w:p>
            <w:pPr>
              <w:spacing w:after="0"/>
              <w:rPr>
                <w:sz w:val="19"/>
                <w:szCs w:val="19"/>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September 30,</w:t>
            </w:r>
          </w:p>
        </w:tc>
        <w:tc>
          <w:tcPr>
            <w:tcW w:w="2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59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20" w:type="dxa"/>
            <w:vAlign w:val="bottom"/>
          </w:tcPr>
          <w:p>
            <w:pPr>
              <w:spacing w:after="0"/>
              <w:rPr>
                <w:sz w:val="20"/>
                <w:szCs w:val="20"/>
                <w:color w:val="auto"/>
              </w:rPr>
            </w:pPr>
            <w:r>
              <w:rPr>
                <w:rFonts w:ascii="Arial" w:cs="Arial" w:eastAsia="Arial" w:hAnsi="Arial"/>
                <w:sz w:val="18"/>
                <w:szCs w:val="18"/>
                <w:b w:val="1"/>
                <w:bCs w:val="1"/>
                <w:color w:val="auto"/>
              </w:rPr>
              <w:t>NOTE 7.  MARKETABLE INVESTMENT SECURITIES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1"/>
        </w:trPr>
        <w:tc>
          <w:tcPr>
            <w:tcW w:w="7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60" w:type="dxa"/>
            <w:vAlign w:val="bottom"/>
            <w:tcBorders>
              <w:bottom w:val="single" w:sz="8" w:color="auto"/>
            </w:tcBorders>
          </w:tcPr>
          <w:p>
            <w:pPr>
              <w:spacing w:after="0"/>
              <w:rPr>
                <w:sz w:val="24"/>
                <w:szCs w:val="24"/>
                <w:color w:val="auto"/>
              </w:rPr>
            </w:pPr>
          </w:p>
        </w:tc>
      </w:tr>
      <w:tr>
        <w:trPr>
          <w:trHeight w:val="169"/>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6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29"/>
        </w:trPr>
        <w:tc>
          <w:tcPr>
            <w:tcW w:w="7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investment securities: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b w:val="1"/>
                <w:bCs w:val="1"/>
                <w:color w:val="auto"/>
              </w:rPr>
              <w:t>Debt securities: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Available-for-sale: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20" w:type="dxa"/>
            <w:vAlign w:val="bottom"/>
          </w:tcPr>
          <w:p>
            <w:pPr>
              <w:ind w:left="6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305,775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568,442</w:t>
            </w:r>
          </w:p>
        </w:tc>
      </w:tr>
      <w:tr>
        <w:trPr>
          <w:trHeight w:val="229"/>
        </w:trPr>
        <w:tc>
          <w:tcPr>
            <w:tcW w:w="7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321,706</w:t>
            </w:r>
          </w:p>
        </w:tc>
      </w:tr>
      <w:tr>
        <w:trPr>
          <w:trHeight w:val="230"/>
        </w:trPr>
        <w:tc>
          <w:tcPr>
            <w:tcW w:w="78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debt securities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w:t>
            </w:r>
          </w:p>
        </w:tc>
      </w:tr>
      <w:tr>
        <w:trPr>
          <w:trHeight w:val="223"/>
        </w:trPr>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available-for-sale debt securities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904,022</w:t>
            </w:r>
          </w:p>
        </w:tc>
      </w:tr>
      <w:tr>
        <w:trPr>
          <w:trHeight w:val="229"/>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Fair value option - corporate bonds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w:t>
            </w:r>
          </w:p>
        </w:tc>
      </w:tr>
      <w:tr>
        <w:trPr>
          <w:trHeight w:val="223"/>
        </w:trPr>
        <w:tc>
          <w:tcPr>
            <w:tcW w:w="7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debt securities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913,150</w:t>
            </w: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35,566</w:t>
            </w:r>
          </w:p>
        </w:tc>
      </w:tr>
      <w:tr>
        <w:trPr>
          <w:trHeight w:val="223"/>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948,716</w:t>
            </w: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Restricted marketable investment securities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r>
      <w:tr>
        <w:trPr>
          <w:trHeight w:val="248"/>
        </w:trPr>
        <w:tc>
          <w:tcPr>
            <w:tcW w:w="7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marketable investment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940,623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commercial paper portfolio includes instruments issued by individual corporations, primarily in the industrial, financial services and utilities industries. Our other debt securities portfolio includes investments in various debt instruments, including U.S. government bonds and mutual funds. We consider all liquid investments purchased with an original maturity of 90 days or less to be cash equivalents.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Estimated</w:t>
            </w:r>
          </w:p>
        </w:tc>
      </w:tr>
      <w:tr>
        <w:trPr>
          <w:trHeight w:val="223"/>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2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2020</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305,628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305,775</w:t>
            </w: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1,330,726</w:t>
            </w: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270,444</w:t>
            </w:r>
          </w:p>
        </w:tc>
      </w:tr>
      <w:tr>
        <w:trPr>
          <w:trHeight w:val="248"/>
        </w:trPr>
        <w:tc>
          <w:tcPr>
            <w:tcW w:w="47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1,906,945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567,926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568,442</w:t>
            </w: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321,706</w:t>
            </w: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13,874</w:t>
            </w:r>
          </w:p>
        </w:tc>
      </w:tr>
      <w:tr>
        <w:trPr>
          <w:trHeight w:val="248"/>
        </w:trPr>
        <w:tc>
          <w:tcPr>
            <w:tcW w:w="47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904,022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4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29"/>
        </w:trPr>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6"/>
        </w:trPr>
        <w:tc>
          <w:tcPr>
            <w:tcW w:w="5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Proceeds from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435,978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8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sales, net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2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549</w:t>
            </w: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2020, we have $1.9 billion of available-for-sale debt securities with contractual maturities of one year or less and $7.9 million with contractual maturities greater than one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80" w:type="dxa"/>
            <w:vAlign w:val="bottom"/>
            <w:gridSpan w:val="3"/>
          </w:tcPr>
          <w:p>
            <w:pPr>
              <w:spacing w:after="0"/>
              <w:rPr>
                <w:sz w:val="20"/>
                <w:szCs w:val="20"/>
                <w:color w:val="auto"/>
              </w:rPr>
            </w:pPr>
            <w:r>
              <w:rPr>
                <w:rFonts w:ascii="Arial" w:cs="Arial" w:eastAsia="Arial" w:hAnsi="Arial"/>
                <w:sz w:val="18"/>
                <w:szCs w:val="18"/>
                <w:i w:val="1"/>
                <w:iCs w:val="1"/>
                <w:color w:val="auto"/>
              </w:rPr>
              <w:t>Fair Value Option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40" w:type="dxa"/>
            <w:vAlign w:val="bottom"/>
            <w:gridSpan w:val="7"/>
          </w:tcPr>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4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19"/>
                <w:szCs w:val="19"/>
                <w:color w:val="auto"/>
              </w:rPr>
            </w:pPr>
          </w:p>
        </w:tc>
        <w:tc>
          <w:tcPr>
            <w:tcW w:w="24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Gains (losses) on investments, net</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11,377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1"/>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80" w:type="dxa"/>
            <w:vAlign w:val="bottom"/>
            <w:gridSpan w:val="3"/>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24"/>
                <w:szCs w:val="24"/>
                <w:color w:val="auto"/>
              </w:rPr>
            </w:pPr>
          </w:p>
        </w:tc>
        <w:tc>
          <w:tcPr>
            <w:tcW w:w="24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4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Gains (losses) on investments, net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8,473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(8,535)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9"/>
              </w:rPr>
              <w:t>September 30, 2020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8"/>
              </w:rPr>
              <w:t>December 31, 2019</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equivalents</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49,755</w:t>
            </w:r>
          </w:p>
        </w:tc>
        <w:tc>
          <w:tcPr>
            <w:tcW w:w="4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425,893</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475,648</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31,451</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1,408,043</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1,439,494</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(including restricted)</w:t>
            </w:r>
          </w:p>
        </w:tc>
        <w:tc>
          <w:tcPr>
            <w:tcW w:w="2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Debt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Available-for-sale: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460"/>
              <w:spacing w:after="0"/>
              <w:rPr>
                <w:sz w:val="20"/>
                <w:szCs w:val="20"/>
                <w:color w:val="auto"/>
              </w:rPr>
            </w:pPr>
            <w:r>
              <w:rPr>
                <w:rFonts w:ascii="Arial" w:cs="Arial" w:eastAsia="Arial" w:hAnsi="Arial"/>
                <w:sz w:val="18"/>
                <w:szCs w:val="18"/>
                <w:color w:val="auto"/>
              </w:rPr>
              <w:t>Corporate bonds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305,775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305,775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568,442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568,442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321,706</w:t>
            </w:r>
          </w:p>
        </w:tc>
        <w:tc>
          <w:tcPr>
            <w:tcW w:w="0" w:type="dxa"/>
            <w:vAlign w:val="bottom"/>
          </w:tcPr>
          <w:p>
            <w:pPr>
              <w:spacing w:after="0"/>
              <w:rPr>
                <w:sz w:val="1"/>
                <w:szCs w:val="1"/>
                <w:color w:val="auto"/>
              </w:rPr>
            </w:pPr>
          </w:p>
        </w:tc>
      </w:tr>
      <w:tr>
        <w:trPr>
          <w:trHeight w:val="229"/>
        </w:trPr>
        <w:tc>
          <w:tcPr>
            <w:tcW w:w="24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debt securities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w:t>
            </w:r>
          </w:p>
        </w:tc>
        <w:tc>
          <w:tcPr>
            <w:tcW w:w="0" w:type="dxa"/>
            <w:vAlign w:val="bottom"/>
          </w:tcPr>
          <w:p>
            <w:pPr>
              <w:spacing w:after="0"/>
              <w:rPr>
                <w:sz w:val="1"/>
                <w:szCs w:val="1"/>
                <w:color w:val="auto"/>
              </w:rPr>
            </w:pPr>
          </w:p>
        </w:tc>
      </w:tr>
      <w:tr>
        <w:trPr>
          <w:trHeight w:val="168"/>
        </w:trPr>
        <w:tc>
          <w:tcPr>
            <w:tcW w:w="2460" w:type="dxa"/>
            <w:vAlign w:val="bottom"/>
            <w:shd w:val="clear" w:color="auto" w:fill="CCEEFF"/>
          </w:tcPr>
          <w:p>
            <w:pPr>
              <w:ind w:left="660"/>
              <w:spacing w:after="0" w:line="168" w:lineRule="exact"/>
              <w:rPr>
                <w:sz w:val="20"/>
                <w:szCs w:val="20"/>
                <w:color w:val="auto"/>
              </w:rPr>
            </w:pPr>
            <w:r>
              <w:rPr>
                <w:rFonts w:ascii="Arial" w:cs="Arial" w:eastAsia="Arial" w:hAnsi="Arial"/>
                <w:sz w:val="18"/>
                <w:szCs w:val="18"/>
                <w:color w:val="auto"/>
              </w:rPr>
              <w:t>Total available-for-</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sale debt securities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904,022</w:t>
            </w:r>
          </w:p>
        </w:tc>
        <w:tc>
          <w:tcPr>
            <w:tcW w:w="0" w:type="dxa"/>
            <w:vAlign w:val="bottom"/>
          </w:tcPr>
          <w:p>
            <w:pPr>
              <w:spacing w:after="0"/>
              <w:rPr>
                <w:sz w:val="1"/>
                <w:szCs w:val="1"/>
                <w:color w:val="auto"/>
              </w:rPr>
            </w:pPr>
          </w:p>
        </w:tc>
      </w:tr>
      <w:tr>
        <w:trPr>
          <w:trHeight w:val="188"/>
        </w:trPr>
        <w:tc>
          <w:tcPr>
            <w:tcW w:w="2460" w:type="dxa"/>
            <w:vAlign w:val="bottom"/>
          </w:tcPr>
          <w:p>
            <w:pPr>
              <w:ind w:left="220"/>
              <w:spacing w:after="0" w:line="189" w:lineRule="exact"/>
              <w:rPr>
                <w:sz w:val="20"/>
                <w:szCs w:val="20"/>
                <w:color w:val="auto"/>
              </w:rPr>
            </w:pPr>
            <w:r>
              <w:rPr>
                <w:rFonts w:ascii="Arial" w:cs="Arial" w:eastAsia="Arial" w:hAnsi="Arial"/>
                <w:sz w:val="18"/>
                <w:szCs w:val="18"/>
                <w:color w:val="auto"/>
              </w:rPr>
              <w:t>Fair value option -</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debt securities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913,150</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168"/>
        </w:trPr>
        <w:tc>
          <w:tcPr>
            <w:tcW w:w="246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Total marketable</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including restricted</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948,716</w:t>
            </w:r>
          </w:p>
        </w:tc>
        <w:tc>
          <w:tcPr>
            <w:tcW w:w="0" w:type="dxa"/>
            <w:vAlign w:val="bottom"/>
          </w:tcPr>
          <w:p>
            <w:pPr>
              <w:spacing w:after="0"/>
              <w:rPr>
                <w:sz w:val="1"/>
                <w:szCs w:val="1"/>
                <w:color w:val="auto"/>
              </w:rPr>
            </w:pPr>
          </w:p>
        </w:tc>
      </w:tr>
      <w:tr>
        <w:trPr>
          <w:trHeight w:val="188"/>
        </w:trPr>
        <w:tc>
          <w:tcPr>
            <w:tcW w:w="2460" w:type="dxa"/>
            <w:vAlign w:val="bottom"/>
          </w:tcPr>
          <w:p>
            <w:pPr>
              <w:ind w:left="20"/>
              <w:spacing w:after="0" w:line="189" w:lineRule="exact"/>
              <w:rPr>
                <w:sz w:val="20"/>
                <w:szCs w:val="20"/>
                <w:color w:val="auto"/>
              </w:rPr>
            </w:pPr>
            <w:r>
              <w:rPr>
                <w:rFonts w:ascii="Arial" w:cs="Arial" w:eastAsia="Arial" w:hAnsi="Arial"/>
                <w:sz w:val="18"/>
                <w:szCs w:val="18"/>
                <w:color w:val="auto"/>
              </w:rPr>
              <w:t>Less: Restricted marketable</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securities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168"/>
        </w:trPr>
        <w:tc>
          <w:tcPr>
            <w:tcW w:w="246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Total marketable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277,837</w:t>
            </w:r>
          </w:p>
        </w:tc>
        <w:tc>
          <w:tcPr>
            <w:tcW w:w="4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1,672,967</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1,950,804</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912,690</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940,623</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investment securities</w:t>
            </w:r>
          </w:p>
        </w:tc>
        <w:tc>
          <w:tcPr>
            <w:tcW w:w="2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September 30, 2020 and December 31, 2019, we did not have any investments that were categorized within Level 3 of the fair value hierarchy.</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8.</w:t>
        <w:tab/>
        <w:t>PROPERTY AND EQUIPMENT</w:t>
      </w:r>
    </w:p>
    <w:p>
      <w:pPr>
        <w:sectPr>
          <w:pgSz w:w="11900" w:h="16838" w:orient="portrait"/>
          <w:cols w:equalWidth="0" w:num="1">
            <w:col w:w="11240"/>
          </w:cols>
          <w:pgMar w:left="320" w:top="140"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property and equipment, net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As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43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1,613,465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1,749,576</w:t>
            </w:r>
          </w:p>
        </w:tc>
      </w:tr>
      <w:tr>
        <w:trPr>
          <w:trHeight w:val="230"/>
        </w:trPr>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759,129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779,162</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2,372,594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2,528,738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our operating satellite fleet consisted of 10 satellites, seven of which are owned and three of which are leased.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They are all in geosynchronous orbit, approximately 22,300 miles above the equator.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satellite fleet as of September 30, 2020 which consists of both owned and leased satellites: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Depreciable Life</w:t>
            </w:r>
          </w:p>
        </w:tc>
        <w:tc>
          <w:tcPr>
            <w:tcW w:w="0" w:type="dxa"/>
            <w:vAlign w:val="bottom"/>
          </w:tcPr>
          <w:p>
            <w:pPr>
              <w:spacing w:after="0"/>
              <w:rPr>
                <w:sz w:val="1"/>
                <w:szCs w:val="1"/>
                <w:color w:val="auto"/>
              </w:rPr>
            </w:pPr>
          </w:p>
        </w:tc>
      </w:tr>
      <w:tr>
        <w:trPr>
          <w:trHeight w:val="176"/>
        </w:trPr>
        <w:tc>
          <w:tcPr>
            <w:tcW w:w="3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Satellite</w:t>
            </w:r>
          </w:p>
        </w:tc>
        <w:tc>
          <w:tcPr>
            <w:tcW w:w="22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9"/>
              </w:rPr>
              <w:t>Segment</w:t>
            </w: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Launch Date</w:t>
            </w:r>
          </w:p>
        </w:tc>
        <w:tc>
          <w:tcPr>
            <w:tcW w:w="226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00" w:type="dxa"/>
            <w:vAlign w:val="bottom"/>
            <w:gridSpan w:val="2"/>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6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August 2007</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EchoStar XVII</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July 2012</w:t>
            </w:r>
          </w:p>
        </w:tc>
        <w:tc>
          <w:tcPr>
            <w:tcW w:w="2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20"/>
              <w:spacing w:after="0"/>
              <w:rPr>
                <w:sz w:val="20"/>
                <w:szCs w:val="20"/>
                <w:color w:val="auto"/>
              </w:rPr>
            </w:pPr>
            <w:r>
              <w:rPr>
                <w:rFonts w:ascii="Arial" w:cs="Arial" w:eastAsia="Arial" w:hAnsi="Arial"/>
                <w:sz w:val="18"/>
                <w:szCs w:val="18"/>
                <w:color w:val="auto"/>
              </w:rPr>
              <w:t>EchoStar XIX</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December 2016</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color w:val="auto"/>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January 2018</w:t>
            </w:r>
          </w:p>
        </w:tc>
        <w:tc>
          <w:tcPr>
            <w:tcW w:w="2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33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w:t>
            </w: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ESS</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August 2003</w:t>
            </w: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EUTELSAT 10A </w:t>
            </w:r>
            <w:r>
              <w:rPr>
                <w:rFonts w:ascii="Arial" w:cs="Arial" w:eastAsia="Arial" w:hAnsi="Arial"/>
                <w:sz w:val="23"/>
                <w:szCs w:val="23"/>
                <w:color w:val="auto"/>
                <w:vertAlign w:val="superscript"/>
              </w:rPr>
              <w:t>(4)</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Corporate and Other</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April 2009</w:t>
            </w:r>
          </w:p>
        </w:tc>
        <w:tc>
          <w:tcPr>
            <w:tcW w:w="2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00" w:type="dxa"/>
            <w:vAlign w:val="bottom"/>
            <w:gridSpan w:val="2"/>
          </w:tcPr>
          <w:p>
            <w:pPr>
              <w:ind w:left="220"/>
              <w:spacing w:after="0"/>
              <w:rPr>
                <w:sz w:val="20"/>
                <w:szCs w:val="20"/>
                <w:color w:val="auto"/>
              </w:rPr>
            </w:pPr>
            <w:r>
              <w:rPr>
                <w:rFonts w:ascii="Arial" w:cs="Arial" w:eastAsia="Arial" w:hAnsi="Arial"/>
                <w:sz w:val="18"/>
                <w:szCs w:val="18"/>
                <w:color w:val="auto"/>
              </w:rPr>
              <w:t>EchoStar XXI</w:t>
            </w: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Corporate and Other</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June 2017</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Eutelsat 65 West A</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8"/>
              </w:rPr>
              <w:t>March 2016</w:t>
            </w:r>
          </w:p>
        </w:tc>
        <w:tc>
          <w:tcPr>
            <w:tcW w:w="2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20"/>
              <w:spacing w:after="0"/>
              <w:rPr>
                <w:sz w:val="20"/>
                <w:szCs w:val="20"/>
                <w:color w:val="auto"/>
              </w:rPr>
            </w:pPr>
            <w:r>
              <w:rPr>
                <w:rFonts w:ascii="Arial" w:cs="Arial" w:eastAsia="Arial" w:hAnsi="Arial"/>
                <w:sz w:val="18"/>
                <w:szCs w:val="18"/>
                <w:color w:val="auto"/>
              </w:rPr>
              <w:t>Telesat T19V</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July 2018</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EchoStar 105/SES-11</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ESS</w:t>
            </w: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October 2017</w:t>
            </w:r>
          </w:p>
        </w:tc>
        <w:tc>
          <w:tcPr>
            <w:tcW w:w="2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right="20" w:hanging="332"/>
        <w:spacing w:after="0" w:line="241" w:lineRule="auto"/>
        <w:tabs>
          <w:tab w:leader="none" w:pos="323" w:val="left"/>
        </w:tabs>
        <w:numPr>
          <w:ilvl w:val="0"/>
          <w:numId w:val="10"/>
        </w:numPr>
        <w:rPr>
          <w:rFonts w:ascii="Arial" w:cs="Arial" w:eastAsia="Arial" w:hAnsi="Arial"/>
          <w:sz w:val="9"/>
          <w:szCs w:val="9"/>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ind w:left="340" w:hanging="332"/>
        <w:spacing w:after="0" w:line="241" w:lineRule="auto"/>
        <w:tabs>
          <w:tab w:leader="none" w:pos="292" w:val="left"/>
        </w:tabs>
        <w:numPr>
          <w:ilvl w:val="0"/>
          <w:numId w:val="10"/>
        </w:numPr>
        <w:rPr>
          <w:rFonts w:ascii="Arial" w:cs="Arial" w:eastAsia="Arial" w:hAnsi="Arial"/>
          <w:sz w:val="9"/>
          <w:szCs w:val="9"/>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280" w:hanging="272"/>
        <w:spacing w:after="0"/>
        <w:tabs>
          <w:tab w:leader="none" w:pos="280" w:val="left"/>
        </w:tabs>
        <w:numPr>
          <w:ilvl w:val="0"/>
          <w:numId w:val="10"/>
        </w:numPr>
        <w:rPr>
          <w:rFonts w:ascii="Arial" w:cs="Arial" w:eastAsia="Arial" w:hAnsi="Arial"/>
          <w:sz w:val="9"/>
          <w:szCs w:val="9"/>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9"/>
          <w:szCs w:val="9"/>
          <w:color w:val="auto"/>
        </w:rPr>
      </w:pPr>
    </w:p>
    <w:p>
      <w:pPr>
        <w:ind w:left="340" w:hanging="332"/>
        <w:spacing w:after="0" w:line="258" w:lineRule="auto"/>
        <w:tabs>
          <w:tab w:leader="none" w:pos="297" w:val="left"/>
        </w:tabs>
        <w:numPr>
          <w:ilvl w:val="0"/>
          <w:numId w:val="10"/>
        </w:numPr>
        <w:rPr>
          <w:rFonts w:ascii="Arial" w:cs="Arial" w:eastAsia="Arial" w:hAnsi="Arial"/>
          <w:sz w:val="9"/>
          <w:szCs w:val="9"/>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91"/>
        </w:trPr>
        <w:tc>
          <w:tcPr>
            <w:tcW w:w="6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83"/>
        </w:trPr>
        <w:tc>
          <w:tcPr>
            <w:tcW w:w="6120" w:type="dxa"/>
            <w:vAlign w:val="bottom"/>
          </w:tcPr>
          <w:p>
            <w:pPr>
              <w:spacing w:after="0"/>
              <w:rPr>
                <w:sz w:val="15"/>
                <w:szCs w:val="15"/>
                <w:color w:val="auto"/>
              </w:rPr>
            </w:pPr>
          </w:p>
        </w:tc>
        <w:tc>
          <w:tcPr>
            <w:tcW w:w="1740" w:type="dxa"/>
            <w:vAlign w:val="bottom"/>
            <w:gridSpan w:val="2"/>
          </w:tcPr>
          <w:p>
            <w:pPr>
              <w:jc w:val="center"/>
              <w:ind w:right="140"/>
              <w:spacing w:after="0" w:line="182" w:lineRule="exact"/>
              <w:rPr>
                <w:sz w:val="20"/>
                <w:szCs w:val="20"/>
                <w:color w:val="auto"/>
              </w:rPr>
            </w:pPr>
            <w:r>
              <w:rPr>
                <w:rFonts w:ascii="Arial" w:cs="Arial" w:eastAsia="Arial" w:hAnsi="Arial"/>
                <w:sz w:val="18"/>
                <w:szCs w:val="18"/>
                <w:b w:val="1"/>
                <w:bCs w:val="1"/>
                <w:color w:val="auto"/>
              </w:rPr>
              <w:t>Depreciable Life</w:t>
            </w:r>
          </w:p>
        </w:tc>
        <w:tc>
          <w:tcPr>
            <w:tcW w:w="160" w:type="dxa"/>
            <w:vAlign w:val="bottom"/>
          </w:tcPr>
          <w:p>
            <w:pPr>
              <w:spacing w:after="0"/>
              <w:rPr>
                <w:sz w:val="15"/>
                <w:szCs w:val="15"/>
                <w:color w:val="auto"/>
              </w:rPr>
            </w:pPr>
          </w:p>
        </w:tc>
        <w:tc>
          <w:tcPr>
            <w:tcW w:w="158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6120" w:type="dxa"/>
            <w:vAlign w:val="bottom"/>
          </w:tcPr>
          <w:p>
            <w:pPr>
              <w:spacing w:after="0"/>
              <w:rPr>
                <w:sz w:val="19"/>
                <w:szCs w:val="19"/>
                <w:color w:val="auto"/>
              </w:rPr>
            </w:pPr>
          </w:p>
        </w:tc>
        <w:tc>
          <w:tcPr>
            <w:tcW w:w="1740" w:type="dxa"/>
            <w:vAlign w:val="bottom"/>
            <w:gridSpan w:val="2"/>
          </w:tcPr>
          <w:p>
            <w:pPr>
              <w:ind w:left="420"/>
              <w:spacing w:after="0"/>
              <w:rPr>
                <w:sz w:val="20"/>
                <w:szCs w:val="20"/>
                <w:color w:val="auto"/>
              </w:rPr>
            </w:pPr>
            <w:r>
              <w:rPr>
                <w:rFonts w:ascii="Arial" w:cs="Arial" w:eastAsia="Arial" w:hAnsi="Arial"/>
                <w:sz w:val="18"/>
                <w:szCs w:val="18"/>
                <w:b w:val="1"/>
                <w:bCs w:val="1"/>
                <w:color w:val="auto"/>
              </w:rPr>
              <w:t>(In Years)</w:t>
            </w:r>
          </w:p>
        </w:tc>
        <w:tc>
          <w:tcPr>
            <w:tcW w:w="160" w:type="dxa"/>
            <w:vAlign w:val="bottom"/>
          </w:tcPr>
          <w:p>
            <w:pPr>
              <w:spacing w:after="0"/>
              <w:rPr>
                <w:sz w:val="19"/>
                <w:szCs w:val="19"/>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Satellites - owned</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rPr>
              <w:t>7 to 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1,800,735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1,816,303</w:t>
            </w: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Satellites - acquired under finance leases</w:t>
            </w:r>
          </w:p>
        </w:tc>
        <w:tc>
          <w:tcPr>
            <w:tcW w:w="16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381,163</w:t>
            </w:r>
          </w:p>
        </w:tc>
      </w:tr>
      <w:tr>
        <w:trPr>
          <w:trHeight w:val="230"/>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Construction in progress</w:t>
            </w:r>
          </w:p>
        </w:tc>
        <w:tc>
          <w:tcPr>
            <w:tcW w:w="17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365,133</w:t>
            </w:r>
          </w:p>
        </w:tc>
      </w:tr>
      <w:tr>
        <w:trPr>
          <w:trHeight w:val="223"/>
        </w:trPr>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satellites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2,562,599</w:t>
            </w: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Accumulated depreciation:</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Satellites - owned</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(756,635)</w:t>
            </w:r>
          </w:p>
        </w:tc>
      </w:tr>
      <w:tr>
        <w:trPr>
          <w:trHeight w:val="230"/>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Satellites - acquired under finance leases</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(56,388)</w:t>
            </w:r>
          </w:p>
        </w:tc>
      </w:tr>
      <w:tr>
        <w:trPr>
          <w:trHeight w:val="223"/>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accumulated depreciation</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(813,023)</w:t>
            </w:r>
          </w:p>
        </w:tc>
      </w:tr>
      <w:tr>
        <w:trPr>
          <w:trHeight w:val="223"/>
        </w:trPr>
        <w:tc>
          <w:tcPr>
            <w:tcW w:w="6120" w:type="dxa"/>
            <w:vAlign w:val="bottom"/>
          </w:tcPr>
          <w:p>
            <w:pPr>
              <w:ind w:left="860"/>
              <w:spacing w:after="0"/>
              <w:rPr>
                <w:sz w:val="20"/>
                <w:szCs w:val="20"/>
                <w:color w:val="auto"/>
              </w:rPr>
            </w:pPr>
            <w:r>
              <w:rPr>
                <w:rFonts w:ascii="Arial" w:cs="Arial" w:eastAsia="Arial" w:hAnsi="Arial"/>
                <w:sz w:val="18"/>
                <w:szCs w:val="18"/>
                <w:color w:val="auto"/>
              </w:rPr>
              <w:t>Total satellites, net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1,749,576</w:t>
            </w:r>
          </w:p>
        </w:tc>
      </w:tr>
      <w:tr>
        <w:trPr>
          <w:trHeight w:val="21"/>
        </w:trPr>
        <w:tc>
          <w:tcPr>
            <w:tcW w:w="6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and capitalized interest associated with our satellites,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5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5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Satellites - owned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32,073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96,220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Satellites acquired under finance leases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w:t>
            </w:r>
          </w:p>
        </w:tc>
      </w:tr>
      <w:tr>
        <w:trPr>
          <w:trHeight w:val="223"/>
        </w:trPr>
        <w:tc>
          <w:tcPr>
            <w:tcW w:w="5860" w:type="dxa"/>
            <w:vAlign w:val="bottom"/>
          </w:tcPr>
          <w:p>
            <w:pPr>
              <w:ind w:left="460"/>
              <w:spacing w:after="0"/>
              <w:rPr>
                <w:sz w:val="20"/>
                <w:szCs w:val="20"/>
                <w:color w:val="auto"/>
              </w:rPr>
            </w:pPr>
            <w:r>
              <w:rPr>
                <w:rFonts w:ascii="Arial" w:cs="Arial" w:eastAsia="Arial" w:hAnsi="Arial"/>
                <w:sz w:val="18"/>
                <w:szCs w:val="18"/>
                <w:color w:val="auto"/>
              </w:rPr>
              <w:t>Total depreciation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115,919</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w:t>
            </w:r>
          </w:p>
        </w:tc>
      </w:tr>
      <w:tr>
        <w:trPr>
          <w:trHeight w:val="21"/>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Space Systems/Loral, LLC, the manufacturer of our EchoStar XXIV satellite has notified us of a delay in completion of the satellite. The EchoStar XXIV satellite is</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expected to be launched no earlier than the first quarter of 2022. Capital expenditures associated with the construction and launch of the EchoStar XXIV satellite are included in Corporate and Other in our segment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Commitments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2020 and December 31, 2019, our satellite-related obligations were $391.0 million and $419.0 million, respectively. These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and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September 30, 2020 and December 31, 2019, the fair values of our in-orbit incentive obligations from our continuing operations approximated their carrying amounts of $55.7 million and $57.0 million, respectively.</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REGULATORY AUTHORIZATIONS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our </w:t>
      </w:r>
      <w:r>
        <w:rPr>
          <w:rFonts w:ascii="Arial" w:cs="Arial" w:eastAsia="Arial" w:hAnsi="Arial"/>
          <w:sz w:val="18"/>
          <w:szCs w:val="18"/>
          <w:i w:val="1"/>
          <w:iCs w:val="1"/>
          <w:color w:val="auto"/>
        </w:rPr>
        <w:t>Regulatory authorizations, net</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Finite lived</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430,039</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Disposals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399,999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478,598</w:t>
            </w: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(24,254)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441,020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475,824</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Weighted average useful life (in years)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 Lived Assets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November 2019, we were granted an S-Band spectrum license for terrestrial rights in Mexico for $7.9 million. The acquired asset is subject to amortization over a period of 15 years.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also acquired Ka-band spectrum rights for $4.5 million, upon consummation of the Yahsat Brazil JV Transaction, which are subject to amortization over a period of 11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10.   OTHER INVESTMENTS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7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151,899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166,209</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equity investments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66,627</w:t>
            </w:r>
          </w:p>
        </w:tc>
      </w:tr>
      <w:tr>
        <w:trPr>
          <w:trHeight w:val="230"/>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 investments,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92,569</w:t>
            </w:r>
          </w:p>
        </w:tc>
      </w:tr>
      <w:tr>
        <w:trPr>
          <w:trHeight w:val="248"/>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investments,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325,405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49% of Dish Mexico and its subsidiaries, a joint venture that we entered into in 2008 to provide direct-to-home satellite services in Mexico. Historically, we provided certain satellite services to Dish Mexico. However, following the consummation of the BSS Transaction, we no longer provide these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0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right"/>
              <w:spacing w:after="0" w:line="202" w:lineRule="exact"/>
              <w:rPr>
                <w:sz w:val="20"/>
                <w:szCs w:val="20"/>
                <w:color w:val="auto"/>
              </w:rPr>
            </w:pPr>
            <w:r>
              <w:rPr>
                <w:rFonts w:ascii="Arial" w:cs="Arial" w:eastAsia="Arial" w:hAnsi="Arial"/>
                <w:sz w:val="18"/>
                <w:szCs w:val="18"/>
                <w:b w:val="1"/>
                <w:bCs w:val="1"/>
                <w:color w:val="auto"/>
                <w:w w:val="99"/>
              </w:rPr>
              <w:t>For the three months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7"/>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7"/>
          </w:tcPr>
          <w:p>
            <w:pPr>
              <w:ind w:left="5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BCS</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2,190</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1,690</w:t>
            </w:r>
          </w:p>
        </w:tc>
        <w:tc>
          <w:tcPr>
            <w:tcW w:w="3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6,643</w:t>
            </w:r>
          </w:p>
        </w:tc>
        <w:tc>
          <w:tcPr>
            <w:tcW w:w="3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
        </w:trPr>
        <w:tc>
          <w:tcPr>
            <w:tcW w:w="5900" w:type="dxa"/>
            <w:vAlign w:val="bottom"/>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As of</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6"/>
          </w:tcPr>
          <w:p>
            <w:pPr>
              <w:ind w:left="200"/>
              <w:spacing w:after="0" w:line="169" w:lineRule="exact"/>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4"/>
                <w:szCs w:val="14"/>
                <w:color w:val="auto"/>
              </w:rPr>
            </w:pPr>
          </w:p>
        </w:tc>
        <w:tc>
          <w:tcPr>
            <w:tcW w:w="1420" w:type="dxa"/>
            <w:vAlign w:val="bottom"/>
            <w:gridSpan w:val="4"/>
          </w:tcPr>
          <w:p>
            <w:pPr>
              <w:jc w:val="right"/>
              <w:ind w:right="15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BCS</w:t>
            </w: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39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6,981</w:t>
            </w:r>
          </w:p>
        </w:tc>
        <w:tc>
          <w:tcPr>
            <w:tcW w:w="12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reductions to the carrying amount of our investments based on circumstances that indicated the fair value of the investments was less than their carrying amount: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28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248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5860" w:type="dxa"/>
            <w:vAlign w:val="bottom"/>
          </w:tcPr>
          <w:p>
            <w:pPr>
              <w:spacing w:after="0"/>
              <w:rPr>
                <w:sz w:val="19"/>
                <w:szCs w:val="19"/>
                <w:color w:val="auto"/>
              </w:rPr>
            </w:pPr>
          </w:p>
        </w:tc>
        <w:tc>
          <w:tcPr>
            <w:tcW w:w="228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investments, net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  $</w:t>
            </w:r>
          </w:p>
        </w:tc>
        <w:tc>
          <w:tcPr>
            <w:tcW w:w="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Other Debt Investments, Net</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our other debt investments, net: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investments,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Cost basis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110,893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102,878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debt investments,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activity in our allowance for credit losses for these investments: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9"/>
              </w:rPr>
              <w:t>For the nine months</w:t>
            </w:r>
          </w:p>
        </w:tc>
        <w:tc>
          <w:tcPr>
            <w:tcW w:w="0" w:type="dxa"/>
            <w:vAlign w:val="bottom"/>
          </w:tcPr>
          <w:p>
            <w:pPr>
              <w:spacing w:after="0"/>
              <w:rPr>
                <w:sz w:val="1"/>
                <w:szCs w:val="1"/>
                <w:color w:val="auto"/>
              </w:rPr>
            </w:pPr>
          </w:p>
        </w:tc>
      </w:tr>
      <w:tr>
        <w:trPr>
          <w:trHeight w:val="175"/>
        </w:trPr>
        <w:tc>
          <w:tcPr>
            <w:tcW w:w="7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40" w:type="dxa"/>
            <w:vAlign w:val="bottom"/>
            <w:gridSpan w:val="4"/>
          </w:tcPr>
          <w:p>
            <w:pPr>
              <w:jc w:val="center"/>
              <w:spacing w:after="0" w:line="176" w:lineRule="exact"/>
              <w:rPr>
                <w:sz w:val="20"/>
                <w:szCs w:val="20"/>
                <w:color w:val="auto"/>
              </w:rPr>
            </w:pPr>
            <w:r>
              <w:rPr>
                <w:rFonts w:ascii="Arial" w:cs="Arial" w:eastAsia="Arial" w:hAnsi="Arial"/>
                <w:sz w:val="18"/>
                <w:szCs w:val="18"/>
                <w:b w:val="1"/>
                <w:bCs w:val="1"/>
                <w:color w:val="auto"/>
                <w:w w:val="99"/>
              </w:rPr>
              <w:t>ended September 30,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tcPr>
          <w:p>
            <w:pPr>
              <w:ind w:left="240"/>
              <w:spacing w:after="0" w:line="230" w:lineRule="exact"/>
              <w:rPr>
                <w:sz w:val="20"/>
                <w:szCs w:val="20"/>
                <w:color w:val="auto"/>
              </w:rPr>
            </w:pPr>
            <w:r>
              <w:rPr>
                <w:rFonts w:ascii="Arial" w:cs="Arial" w:eastAsia="Arial" w:hAnsi="Arial"/>
                <w:sz w:val="18"/>
                <w:szCs w:val="18"/>
                <w:color w:val="auto"/>
              </w:rPr>
              <w:t>Credit losses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Pr>
          <w:p>
            <w:pPr>
              <w:spacing w:after="0"/>
              <w:rPr>
                <w:sz w:val="19"/>
                <w:szCs w:val="19"/>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The impact of adopting ASC 326 on January 1, 2020 was a $2.1 million adjustment to </w:t>
      </w:r>
      <w:r>
        <w:rPr>
          <w:rFonts w:ascii="Arial" w:cs="Arial" w:eastAsia="Arial" w:hAnsi="Arial"/>
          <w:sz w:val="14"/>
          <w:szCs w:val="14"/>
          <w:i w:val="1"/>
          <w:iCs w:val="1"/>
          <w:color w:val="auto"/>
        </w:rPr>
        <w:t>Accumulated earnings (losses)</w:t>
      </w:r>
      <w:r>
        <w:rPr>
          <w:rFonts w:ascii="Arial" w:cs="Arial" w:eastAsia="Arial" w:hAnsi="Arial"/>
          <w:sz w:val="14"/>
          <w:szCs w:val="14"/>
          <w:color w:val="auto"/>
        </w:rPr>
        <w:t>.</w:t>
      </w:r>
    </w:p>
    <w:p>
      <w:pPr>
        <w:sectPr>
          <w:pgSz w:w="11900" w:h="16838" w:orient="portrait"/>
          <w:cols w:equalWidth="0" w:num="1">
            <w:col w:w="11240"/>
          </w:cols>
          <w:pgMar w:left="320" w:top="140"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interest income, net related to our other debt investments, net: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losses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interest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For the three</w:t>
            </w:r>
          </w:p>
        </w:tc>
        <w:tc>
          <w:tcPr>
            <w:tcW w:w="18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For the nine</w:t>
            </w:r>
          </w:p>
        </w:tc>
      </w:tr>
      <w:tr>
        <w:trPr>
          <w:trHeight w:val="175"/>
        </w:trPr>
        <w:tc>
          <w:tcPr>
            <w:tcW w:w="180" w:type="dxa"/>
            <w:vAlign w:val="bottom"/>
          </w:tcPr>
          <w:p>
            <w:pPr>
              <w:spacing w:after="0"/>
              <w:rPr>
                <w:sz w:val="15"/>
                <w:szCs w:val="15"/>
                <w:color w:val="auto"/>
              </w:rPr>
            </w:pPr>
          </w:p>
        </w:tc>
        <w:tc>
          <w:tcPr>
            <w:tcW w:w="16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rPr>
              <w:t>months ended</w:t>
            </w:r>
          </w:p>
        </w:tc>
        <w:tc>
          <w:tcPr>
            <w:tcW w:w="180" w:type="dxa"/>
            <w:vAlign w:val="bottom"/>
          </w:tcPr>
          <w:p>
            <w:pPr>
              <w:spacing w:after="0"/>
              <w:rPr>
                <w:sz w:val="15"/>
                <w:szCs w:val="15"/>
                <w:color w:val="auto"/>
              </w:rPr>
            </w:pPr>
          </w:p>
        </w:tc>
        <w:tc>
          <w:tcPr>
            <w:tcW w:w="154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rPr>
              <w:t>months ended</w:t>
            </w:r>
          </w:p>
        </w:tc>
      </w:tr>
      <w:tr>
        <w:trPr>
          <w:trHeight w:val="229"/>
        </w:trPr>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2020</w:t>
            </w: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September 30, 2020</w:t>
            </w:r>
          </w:p>
        </w:tc>
      </w:tr>
      <w:tr>
        <w:trPr>
          <w:trHeight w:val="439"/>
        </w:trPr>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10,668</w:t>
            </w:r>
          </w:p>
        </w:tc>
      </w:tr>
      <w:tr>
        <w:trPr>
          <w:trHeight w:val="230"/>
        </w:trPr>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140"/>
            <w:col w:w="3560"/>
          </w:cols>
          <w:pgMar w:left="320" w:top="140" w:right="339" w:bottom="1440" w:gutter="0" w:footer="0" w:header="0"/>
          <w:type w:val="continuous"/>
        </w:sectPr>
      </w:pPr>
    </w:p>
    <w:p>
      <w:pPr>
        <w:spacing w:after="0" w:line="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did not recognize any interest income, net related to our other debt investments, net for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tab/>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amounts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50"/>
        </w:trPr>
        <w:tc>
          <w:tcPr>
            <w:tcW w:w="3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December 31, 2019</w:t>
            </w:r>
          </w:p>
        </w:tc>
      </w:tr>
      <w:tr>
        <w:trPr>
          <w:trHeight w:val="183"/>
        </w:trPr>
        <w:tc>
          <w:tcPr>
            <w:tcW w:w="3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4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rPr>
              <w:t>Effective</w:t>
            </w:r>
          </w:p>
        </w:tc>
        <w:tc>
          <w:tcPr>
            <w:tcW w:w="200" w:type="dxa"/>
            <w:vAlign w:val="bottom"/>
          </w:tcPr>
          <w:p>
            <w:pPr>
              <w:spacing w:after="0"/>
              <w:rPr>
                <w:sz w:val="15"/>
                <w:szCs w:val="15"/>
                <w:color w:val="auto"/>
              </w:rPr>
            </w:pPr>
          </w:p>
        </w:tc>
        <w:tc>
          <w:tcPr>
            <w:tcW w:w="1160" w:type="dxa"/>
            <w:vAlign w:val="bottom"/>
            <w:gridSpan w:val="2"/>
          </w:tcPr>
          <w:p>
            <w:pPr>
              <w:jc w:val="center"/>
              <w:ind w:right="300"/>
              <w:spacing w:after="0" w:line="182"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120" w:type="dxa"/>
            <w:vAlign w:val="bottom"/>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82" w:lineRule="exact"/>
              <w:rPr>
                <w:sz w:val="20"/>
                <w:szCs w:val="20"/>
                <w:color w:val="auto"/>
              </w:rPr>
            </w:pPr>
            <w:r>
              <w:rPr>
                <w:rFonts w:ascii="Arial" w:cs="Arial" w:eastAsia="Arial" w:hAnsi="Arial"/>
                <w:sz w:val="18"/>
                <w:szCs w:val="18"/>
                <w:b w:val="1"/>
                <w:bCs w:val="1"/>
                <w:color w:val="auto"/>
                <w:w w:val="99"/>
              </w:rPr>
              <w:t>Carrying</w:t>
            </w:r>
          </w:p>
        </w:tc>
        <w:tc>
          <w:tcPr>
            <w:tcW w:w="240" w:type="dxa"/>
            <w:vAlign w:val="bottom"/>
          </w:tcPr>
          <w:p>
            <w:pPr>
              <w:spacing w:after="0"/>
              <w:rPr>
                <w:sz w:val="15"/>
                <w:szCs w:val="15"/>
                <w:color w:val="auto"/>
              </w:rPr>
            </w:pPr>
          </w:p>
        </w:tc>
        <w:tc>
          <w:tcPr>
            <w:tcW w:w="102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Fair</w:t>
            </w:r>
          </w:p>
        </w:tc>
      </w:tr>
      <w:tr>
        <w:trPr>
          <w:trHeight w:val="229"/>
        </w:trPr>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interest rates</w:t>
            </w:r>
          </w:p>
        </w:tc>
        <w:tc>
          <w:tcPr>
            <w:tcW w:w="20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0"/>
        </w:trPr>
        <w:tc>
          <w:tcPr>
            <w:tcW w:w="4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340" w:type="dxa"/>
            <w:vAlign w:val="bottom"/>
          </w:tcPr>
          <w:p>
            <w:pPr>
              <w:ind w:left="220"/>
              <w:spacing w:after="0"/>
              <w:rPr>
                <w:sz w:val="20"/>
                <w:szCs w:val="20"/>
                <w:color w:val="auto"/>
              </w:rPr>
            </w:pPr>
            <w:r>
              <w:rPr>
                <w:rFonts w:ascii="Arial" w:cs="Arial" w:eastAsia="Arial" w:hAnsi="Arial"/>
                <w:sz w:val="18"/>
                <w:szCs w:val="18"/>
                <w:color w:val="auto"/>
                <w:w w:val="99"/>
              </w:rPr>
              <w:t>5</w:t>
            </w:r>
          </w:p>
        </w:tc>
        <w:tc>
          <w:tcPr>
            <w:tcW w:w="4140" w:type="dxa"/>
            <w:vAlign w:val="bottom"/>
          </w:tcPr>
          <w:p>
            <w:pPr>
              <w:ind w:left="20"/>
              <w:spacing w:after="0"/>
              <w:rPr>
                <w:sz w:val="20"/>
                <w:szCs w:val="20"/>
                <w:color w:val="auto"/>
              </w:rPr>
            </w:pPr>
            <w:r>
              <w:rPr>
                <w:rFonts w:ascii="Arial" w:cs="Arial" w:eastAsia="Arial" w:hAnsi="Arial"/>
                <w:sz w:val="18"/>
                <w:szCs w:val="18"/>
                <w:color w:val="auto"/>
              </w:rPr>
              <w:t>1/4% Senior Secured Notes due 2026</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799,905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825,308</w:t>
            </w:r>
          </w:p>
        </w:tc>
      </w:tr>
      <w:tr>
        <w:trPr>
          <w:trHeight w:val="22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40" w:type="dxa"/>
            <w:vAlign w:val="bottom"/>
          </w:tcPr>
          <w:p>
            <w:pPr>
              <w:ind w:left="220"/>
              <w:spacing w:after="0"/>
              <w:rPr>
                <w:sz w:val="20"/>
                <w:szCs w:val="20"/>
                <w:color w:val="auto"/>
              </w:rPr>
            </w:pPr>
            <w:r>
              <w:rPr>
                <w:rFonts w:ascii="Arial" w:cs="Arial" w:eastAsia="Arial" w:hAnsi="Arial"/>
                <w:sz w:val="18"/>
                <w:szCs w:val="18"/>
                <w:color w:val="auto"/>
                <w:w w:val="99"/>
              </w:rPr>
              <w:t>7</w:t>
            </w:r>
          </w:p>
        </w:tc>
        <w:tc>
          <w:tcPr>
            <w:tcW w:w="4140" w:type="dxa"/>
            <w:vAlign w:val="bottom"/>
          </w:tcPr>
          <w:p>
            <w:pPr>
              <w:ind w:left="20"/>
              <w:spacing w:after="0"/>
              <w:rPr>
                <w:sz w:val="20"/>
                <w:szCs w:val="20"/>
                <w:color w:val="auto"/>
              </w:rPr>
            </w:pPr>
            <w:r>
              <w:rPr>
                <w:rFonts w:ascii="Arial" w:cs="Arial" w:eastAsia="Arial" w:hAnsi="Arial"/>
                <w:sz w:val="18"/>
                <w:szCs w:val="18"/>
                <w:color w:val="auto"/>
              </w:rPr>
              <w:t>5/8% Senior Unsecured Notes due 2021</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8.062%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935,343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963,783</w:t>
            </w:r>
          </w:p>
        </w:tc>
      </w:tr>
      <w:tr>
        <w:trPr>
          <w:trHeight w:val="229"/>
        </w:trPr>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6</w:t>
            </w: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833,903</w:t>
            </w: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2,392,381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2,550,273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2,622,994</w:t>
            </w:r>
          </w:p>
        </w:tc>
      </w:tr>
      <w:tr>
        <w:trPr>
          <w:trHeight w:val="230"/>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Less: Current portion, net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(935,343)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net</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2,622,994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INCOME TAXES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income tax provision was $3.0 million and $5.0 million for the three months ended September 30, 2020 and September 30, 2019, respectively. Our estimated effective income tax rate was 11.2% and (27.7)% for the three months ended September 30, 2020 and 2019, respectively. The variations in our effective tax rate from the U.S. federal statutory rate for the three months ended September 30, 2020, were primarily due to the increase in our valuation allowance associated with certain foreign losses, permanent book tax differences and the impact of state and local taxes, partially offset by research and experimentation credits. The variations in our effective tax rate from the U.S. federal statutory rate for the three months ended September 30, 2019 were primarily due to the change in net unrealized gains that are capital in nature and research and experimentation credits, partially offset by the impact of state and local taxes and the increase in our valuation allowance associated with certain foreign losses.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income tax provision was $6.3 million and $12.6 million for the nine months ended September 30, 2020 and September 30, 2019, respectively. Our estimated effective income tax rate was (14.7)% and (28.2)% for the nine months ended September 30, 2020 and 2019, respectively. The variations in our effective tax rate from the U.S. federal statutory rate for the nine months ended September 30, 2020 were primarily due to the increase in our valuation allowance associated with certain foreign losses, permanent book tax differences and the impact of state and local taxes, partially offset by the change in net unrealized losses that are capital in nature and research and experimentation credits. The variations in our effective tax rate from the U.S. federal statutory rate for the nine months ended September 30, 2019 were primarily due to the change in net unrealized gains that are capital in nature and research and experimentation credits, partially offset by the impact of state and local taxes and the increase in our valuation allowance associated with certain foreign losses. Additionally, during the nine months ended September 30, 2019, we recorded additional tax expense of $2.0 million on deemed mandatory repatriation of certain deferred foreign earnings as the result of new treasury regulations.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Coronavirus Aid, Relief, and Economic Security Act (the “CARES Act”) was enacted in March 2020. The CARES Act features significant tax provisions and other measures to assist individuals and businesses impacted by the economic effects of the COVID-19 pandemic, including a five-year carryback of net operating losses, relaxation of Section 163(j) interest deduction limitations, acceleration of Alternative Minimum Tax refunds, relief for payroll tax and tax credits for employers who retain employees. These provisions did not affect our income tax provision for the three and nine months ended September 30, 2020.</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spin-off from DISH in 2008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the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against us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proceedings are in various stages; (ii) damages have not been sought or specified; (iii) damages are unsupported, indeterminate and/or exaggerated in management’s opinion; (iv) there is uncertainty as to the outcome of pending trials, appeals, motions or other proceedings;</w:t>
      </w:r>
    </w:p>
    <w:p>
      <w:pPr>
        <w:spacing w:after="0" w:line="1" w:lineRule="exact"/>
        <w:rPr>
          <w:sz w:val="20"/>
          <w:szCs w:val="20"/>
          <w:color w:val="auto"/>
        </w:rPr>
      </w:pPr>
    </w:p>
    <w:p>
      <w:pPr>
        <w:jc w:val="both"/>
        <w:ind w:firstLine="8"/>
        <w:spacing w:after="0" w:line="252" w:lineRule="auto"/>
        <w:tabs>
          <w:tab w:leader="none" w:pos="2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In December 2019, we entered into a comprehensive settlement agreement with Elbit pursuant to which we paid a total of $33.0 million in satisfaction of all amounts relating to these matters and all open proceedings, including appeals, were dismissed with prejudice.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We intend to vigorously defend this case. We cannot predict its outcome with any degree of certainty</w:t>
      </w:r>
      <w:r>
        <w:rPr>
          <w:rFonts w:ascii="Arial" w:cs="Arial" w:eastAsia="Arial" w:hAnsi="Arial"/>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1999, HCIPL’s license was amended pursuant to a new government policy that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interest on such fees and penalties and interest on the penalties. HCIPL responded that the DOT had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HCPIL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HCPIL’s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the payment schedule, HCIPL is required to make a payment of 10% of the legally payable dues by March 31, 2021, and thereafter make payments in yearly installments through 2031. To date, HCIPL has paid the DOT $2.9 million with respect to this matter. As a result of the Supreme Court’s orders, HCIPL’s payments to date and the impact of foreign exchange rates, we have recorded an accrual of $81.6 million as of September 30, 2020, comprised of $3.9 million for additional license fees, $4.0 million for penalties and $73.8 million for interest and interest on penalties. We had recorded an accrual of $80.2 million as of December 31, 2019. Any eventual payments made with respect to the ultimate outcome of this matter may be different from our accrual and such differences could be significant.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tab/>
        <w:t>SEGMENT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Business segments are components of an enterprise for which separate financial information is available and regularly evaluated by our chief operating decision maker (“CODM”), who is our Chief Executive Officer. We operate in two business segments, Hughes and ESS, as described in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and Business Activities</w:t>
      </w:r>
      <w:r>
        <w:rPr>
          <w:rFonts w:ascii="Arial" w:cs="Arial" w:eastAsia="Arial" w:hAnsi="Arial"/>
          <w:sz w:val="18"/>
          <w:szCs w:val="18"/>
          <w:color w:val="auto"/>
        </w:rPr>
        <w:t>.</w:t>
      </w: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net income (loss) from discontinued operations and net income (loss) attributable to non-controlling interests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revenue, EBITDA and capital expenditures for each of our business segments. Capital expenditures are net of refunds and other receipts related to our property and equipment.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Corporate and</w:t>
            </w:r>
          </w:p>
        </w:tc>
        <w:tc>
          <w:tcPr>
            <w:tcW w:w="18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2020</w:t>
            </w: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466,762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740" w:type="dxa"/>
            <w:vAlign w:val="bottom"/>
          </w:tcPr>
          <w:p>
            <w:pPr>
              <w:ind w:left="4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466,762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473,502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190,016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188,815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98,137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2019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463,735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472,262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4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463,735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472,262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139,763</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95,155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1,378,416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12,274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1,378,416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13,233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1,398,634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531,276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436,870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295,041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2019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1,360,919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11,058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15,098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1,387,075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1,360,919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11,873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1,387,075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448,837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410,200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224,483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314,351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Condensed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Operations to EBITDA: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5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5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(44,774)</w:t>
            </w: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(64,817)</w:t>
            </w: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156,813</w:t>
            </w: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392,077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361,619</w:t>
            </w: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410,200</w:t>
            </w: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EchoStar Corporation and DISH have operated as separate publicly-traded companies since 2008. A substantial majority of the voting power of the shares of each of EchoStar Corporation and DISH is owned beneficially by Charles W. Ergen, our Chairman, and by certain entities established for the benefit of his family. In addition, prior to March 2017, DISH Network owned the Tracking Stock, which in the aggregate represented an 80% economic interest in the residential retail satellite broadband business of our Hughes segment. The Tracking Stock was retired in March 2017.</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from DISH Network:</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8"/>
                <w:szCs w:val="18"/>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19"/>
                <w:szCs w:val="19"/>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8"/>
        </w:trPr>
        <w:tc>
          <w:tcPr>
            <w:tcW w:w="7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r>
      <w:tr>
        <w:trPr>
          <w:trHeight w:val="230"/>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an agreement and have previously entered into a now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lease satellite capacity pursuant to which we have provided satellite services to DISH Network on certain satellites owned or leased by us. The fees for the services provided under these agreements may depend upon, among other things, the orbital location of the applicable satellite, the number of transponders that are providing services on the applicable satellite, the length of the service arrangements and any third-party costs associated with the satellite capacity. The terms of these agreements are set forth below:</w:t>
      </w:r>
    </w:p>
    <w:p>
      <w:pPr>
        <w:spacing w:after="0" w:line="179" w:lineRule="exact"/>
        <w:rPr>
          <w:sz w:val="20"/>
          <w:szCs w:val="20"/>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IX </w:t>
      </w:r>
      <w:r>
        <w:rPr>
          <w:rFonts w:ascii="Arial" w:cs="Arial" w:eastAsia="Arial" w:hAnsi="Arial"/>
          <w:sz w:val="18"/>
          <w:szCs w:val="18"/>
          <w:color w:val="auto"/>
        </w:rPr>
        <w:t>— Effective January 2008, DISH Network began leasing satellite capacity from us on the EchoStar IX satellite.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availability, DISH Network generally has the right to continue leasing satellite capacity from us on the EchoStar IX satellite on a month-to-month basis.</w:t>
      </w:r>
    </w:p>
    <w:p>
      <w:pPr>
        <w:spacing w:after="0" w:line="170" w:lineRule="exact"/>
        <w:rPr>
          <w:rFonts w:ascii="Arial" w:cs="Arial" w:eastAsia="Arial" w:hAnsi="Arial"/>
          <w:sz w:val="18"/>
          <w:szCs w:val="18"/>
          <w:i w:val="1"/>
          <w:iCs w:val="1"/>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103 Degree Orbital Location/SES-3 </w:t>
      </w:r>
      <w:r>
        <w:rPr>
          <w:rFonts w:ascii="Arial" w:cs="Arial" w:eastAsia="Arial" w:hAnsi="Arial"/>
          <w:sz w:val="18"/>
          <w:szCs w:val="18"/>
          <w:color w:val="auto"/>
        </w:rPr>
        <w:t>— In May 2012, we entered into a spectrum development agreement (the “103 Spectrum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04" w:lineRule="exact"/>
        <w:rPr>
          <w:rFonts w:ascii="Arial" w:cs="Arial" w:eastAsia="Arial" w:hAnsi="Arial"/>
          <w:sz w:val="18"/>
          <w:szCs w:val="18"/>
          <w:i w:val="1"/>
          <w:iCs w:val="1"/>
          <w:color w:val="auto"/>
        </w:rPr>
      </w:pPr>
    </w:p>
    <w:p>
      <w:pPr>
        <w:jc w:val="both"/>
        <w:ind w:left="66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We transferred the Telesat Transponder Agreement to DISH Network as part of the BSS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we retained certain obligations related to DISH Network’s performance under that agreement. In September 2019, we and DISH Network entered into an agreement whereby DISH Network compensates us for retaining such obligations.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and includes DISH Network’s portion of the taxes, insurance, utilities and/or maintenance of the premises. The terms of each of the leases are set forth below:</w:t>
      </w:r>
    </w:p>
    <w:p>
      <w:pPr>
        <w:spacing w:after="0" w:line="176" w:lineRule="exact"/>
        <w:rPr>
          <w:sz w:val="20"/>
          <w:szCs w:val="20"/>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Effective March 2017, DISH Network is licensed to use certain of our space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Inverness 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09" w:lineRule="exact"/>
        <w:rPr>
          <w:rFonts w:ascii="Arial" w:cs="Arial" w:eastAsia="Arial" w:hAnsi="Arial"/>
          <w:sz w:val="18"/>
          <w:szCs w:val="18"/>
          <w:i w:val="1"/>
          <w:iCs w:val="1"/>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2020. After December 2020, this agreement may be converted by mutual consent to a month-to-month lease agreement with either party having the right to terminate upon 30 days’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will continue to provide warranty services to DISH Network.</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our Gen 4 HughesNet service. The Distribution Agreement had an initial term of five years with automatic renewal for successive one 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For the nine months ended</w:t>
            </w: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19"/>
                <w:szCs w:val="19"/>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51"/>
        </w:trPr>
        <w:tc>
          <w:tcPr>
            <w:tcW w:w="7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r>
      <w:tr>
        <w:trPr>
          <w:trHeight w:val="230"/>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2021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Real Estate Leases from DISH Network</w:t>
      </w:r>
      <w:r>
        <w:rPr>
          <w:rFonts w:ascii="Arial" w:cs="Arial" w:eastAsia="Arial" w:hAnsi="Arial"/>
          <w:sz w:val="18"/>
          <w:szCs w:val="18"/>
          <w:color w:val="auto"/>
        </w:rPr>
        <w:t>. 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leases or subsequent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amendments and, includes our portion of the taxes, insurance, utilities and/or maintenance of the premises. The terms of each of the leases are set forth below:</w:t>
      </w:r>
    </w:p>
    <w:p>
      <w:pPr>
        <w:spacing w:after="0" w:line="203" w:lineRule="exact"/>
        <w:rPr>
          <w:sz w:val="20"/>
          <w:szCs w:val="20"/>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 period ending in February 2019. In August 2018, we exercised our option to renew this lease for a one 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with the option for us to renew for a one year period upon 180 days’ written notice prior to the end of the term</w:t>
      </w:r>
      <w:r>
        <w:rPr>
          <w:rFonts w:ascii="Arial" w:cs="Arial" w:eastAsia="Arial" w:hAnsi="Arial"/>
          <w:sz w:val="18"/>
          <w:szCs w:val="18"/>
          <w:i w:val="1"/>
          <w:iCs w:val="1"/>
          <w:color w:val="auto"/>
        </w:rPr>
        <w:t>.</w:t>
      </w:r>
    </w:p>
    <w:p>
      <w:pPr>
        <w:spacing w:after="0" w:line="209" w:lineRule="exact"/>
        <w:rPr>
          <w:rFonts w:ascii="Arial" w:cs="Arial" w:eastAsia="Arial" w:hAnsi="Arial"/>
          <w:sz w:val="18"/>
          <w:szCs w:val="18"/>
          <w:i w:val="1"/>
          <w:iCs w:val="1"/>
          <w:color w:val="auto"/>
        </w:rPr>
      </w:pPr>
    </w:p>
    <w:p>
      <w:pPr>
        <w:jc w:val="both"/>
        <w:ind w:left="660" w:hanging="328"/>
        <w:spacing w:after="0" w:line="262"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American Fork Occupancy License Agreement </w:t>
      </w:r>
      <w:r>
        <w:rPr>
          <w:rFonts w:ascii="Arial" w:cs="Arial" w:eastAsia="Arial" w:hAnsi="Arial"/>
          <w:sz w:val="18"/>
          <w:szCs w:val="18"/>
          <w:color w:val="auto"/>
        </w:rPr>
        <w:t>— Effective March 2017, we entered into an agreement with DISH Network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exercised our option to renew this agreement for a five-year period ending in August 2022. We and DISH Network amended this agreement to, among other things, terminate this agreement in March 2019.</w:t>
      </w:r>
    </w:p>
    <w:p>
      <w:pPr>
        <w:spacing w:after="0" w:line="2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effective May 2020. In November 2020, we provided a termination notice for one of our Englewood, Colorado agreements to be effective May 2021. In August 2017, we and DISH Network also entered into certain other agreements pursuant to which DISH Network provides additional collocation and antenna space to us in 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provides us with certain additional collocation space in Cheyenne, Wyoming for the period ended September 2020. The fees for the services provided under these agreements depend on the number of racks located at the location.</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will provide us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$5.2 million and $3.7 million for the three months ended September 30, 2020 and 2019, respectively, and $14.2 million and $13.2 million for the nine months ended September 30, 2020 and 2019,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Other Receivables - DISH Network</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7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r>
      <w:tr>
        <w:trPr>
          <w:trHeight w:val="229"/>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8"/>
          <w:szCs w:val="18"/>
          <w:i w:val="1"/>
          <w:iCs w:val="1"/>
          <w:color w:val="auto"/>
        </w:rPr>
        <w:t>Other receivables - DISH Network</w:t>
      </w:r>
      <w:r>
        <w:rPr>
          <w:rFonts w:ascii="Arial" w:cs="Arial" w:eastAsia="Arial" w:hAnsi="Arial"/>
          <w:sz w:val="18"/>
          <w:szCs w:val="18"/>
          <w:color w:val="auto"/>
        </w:rPr>
        <w:t xml:space="preserve">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and DISH Network file combined income tax returns in certain states. We have earned and recognized tax benefits for certain state income tax credits that we would be unable to utilize currently if we had filed separately from DISH Network. We have charged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in prior periods when DISH Network has utilized such tax benefits. We expect to increase</w:t>
      </w:r>
      <w:r>
        <w:rPr>
          <w:rFonts w:ascii="Arial" w:cs="Arial" w:eastAsia="Arial" w:hAnsi="Arial"/>
          <w:sz w:val="18"/>
          <w:szCs w:val="18"/>
          <w:i w:val="1"/>
          <w:iCs w:val="1"/>
          <w:color w:val="auto"/>
        </w:rPr>
        <w:t xml:space="preserve"> Additional paid-in capital </w:t>
      </w:r>
      <w:r>
        <w:rPr>
          <w:rFonts w:ascii="Arial" w:cs="Arial" w:eastAsia="Arial" w:hAnsi="Arial"/>
          <w:sz w:val="18"/>
          <w:szCs w:val="18"/>
          <w:color w:val="auto"/>
        </w:rPr>
        <w:t>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any consideration that DISH Network pays to us in exchange for these tax credits.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BSS Transaction Intellectual Property and Technology License Agreement</w:t>
      </w:r>
      <w:r>
        <w:rPr>
          <w:rFonts w:ascii="Arial" w:cs="Arial" w:eastAsia="Arial" w:hAnsi="Arial"/>
          <w:sz w:val="18"/>
          <w:szCs w:val="18"/>
          <w:color w:val="auto"/>
        </w:rPr>
        <w:t>. 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BSS Transaction Tax Matters Agreement</w:t>
      </w:r>
      <w:r>
        <w:rPr>
          <w:rFonts w:ascii="Arial" w:cs="Arial" w:eastAsia="Arial" w:hAnsi="Arial"/>
          <w:sz w:val="18"/>
          <w:szCs w:val="18"/>
          <w:color w:val="auto"/>
        </w:rPr>
        <w:t>. 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of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BSS Transaction Employee Matters Agreement</w:t>
      </w:r>
      <w:r>
        <w:rPr>
          <w:rFonts w:ascii="Arial" w:cs="Arial" w:eastAsia="Arial" w:hAnsi="Arial"/>
          <w:sz w:val="18"/>
          <w:szCs w:val="18"/>
          <w:color w:val="auto"/>
        </w:rPr>
        <w:t>. 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January 2017, we and certain of our subsidiaries entered into the Share Exchange Agreement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certain of its subsidiaries pursuant to which, in February 2017, we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who transferred to DISH Network in connection with the Share Exchange.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in the aggregate, own approximately 25%, on an undiluted basis, of Hughes Systique’s outstanding shares as of September 30, 2020.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 Inc.</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$0.7 million and $2.0 million for the three months ended September 30, 2020 and 2019, respectively, and $3.8 million and $10.2 million for the nine months ended September 30, 2020 and 2019, respectively. As of September 30, 2020 and December 31, 2019, we had trade accounts receivable from TSI of $0.00 million and $2.7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Global-IP Cayman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and as an executive advisor to the Chief Executive Officer of Global IP from September 2017 until April 2019 and from September 2017 until December 2019, respectively.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this agreement as a result of Global IP’s defaults resulting from its failure to make payments to us as required under the terms of this agreement. We have reserved our rights and remedies against Global IP under this agreement. We have not recognized any revenue since the termination of this agreement. As of September 30, 2020, we were owed $7.5 million from Global IP.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Maxar Technologies Inc.</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Jeffrey Tarr, who joined our board of directors in March 2019, served as a consultant and advisor to Maxar Technologies Inc. and its subsidiaries (“Maxar Tech”) through May 2019. We previously entered into agreements with Maxar Tech for the manufacture and certain other services of the EchoStar IX satellite, the EchoStar XVII satellite, the EchoStar XIX satellite, the EchoStar XXI satellite and the EchoStar XXIV satellite and our former EchoStar XI satellite, EchoStar XIV satellite, EchoStar XVI satellite and EchoStar XXIII satellite.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$1.0 million and $12.1 million for the three months ended September 30, 2020 and 2019, respectively, and $9.7 million and $78.9 million for the nine months ended September 30, 2020 and 2019, respectively. At both September 30, 2020 and December 31, 2019, we had no trade accounts payable to Maxar Tech.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costs incurred in connection with customers’ orders: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19"/>
                <w:szCs w:val="19"/>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60" w:type="dxa"/>
            <w:vAlign w:val="bottom"/>
          </w:tcPr>
          <w:p>
            <w:pPr>
              <w:ind w:left="20"/>
              <w:spacing w:after="0" w:line="203" w:lineRule="exact"/>
              <w:rPr>
                <w:sz w:val="20"/>
                <w:szCs w:val="20"/>
                <w:color w:val="auto"/>
              </w:rPr>
            </w:pPr>
            <w:r>
              <w:rPr>
                <w:rFonts w:ascii="Arial" w:cs="Arial" w:eastAsia="Arial" w:hAnsi="Arial"/>
                <w:sz w:val="18"/>
                <w:szCs w:val="18"/>
                <w:color w:val="auto"/>
              </w:rPr>
              <w:t>Research and development expenses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7,676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6,136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21,378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19,411</w:t>
            </w:r>
          </w:p>
        </w:tc>
      </w:tr>
      <w:tr>
        <w:trPr>
          <w:trHeight w:val="21"/>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and restricted cash, as presented in the Condensed Consolidated Balance Sheets, to the total of the same as presented in the Condensed Consolidated Statements of Cash Flows:</w:t>
      </w:r>
    </w:p>
    <w:p>
      <w:pPr>
        <w:spacing w:after="0" w:line="67"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For the nine months ended</w:t>
      </w:r>
    </w:p>
    <w:p>
      <w:pPr>
        <w:jc w:val="center"/>
        <w:ind w:left="790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0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including restricted amounts, beginning of period: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1,519,431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928,306</w:t>
            </w:r>
          </w:p>
        </w:tc>
      </w:tr>
      <w:tr>
        <w:trPr>
          <w:trHeight w:val="229"/>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7920" w:type="dxa"/>
            <w:vAlign w:val="bottom"/>
          </w:tcPr>
          <w:p>
            <w:pPr>
              <w:ind w:left="440"/>
              <w:spacing w:after="0"/>
              <w:rPr>
                <w:sz w:val="20"/>
                <w:szCs w:val="20"/>
                <w:color w:val="auto"/>
              </w:rPr>
            </w:pPr>
            <w:r>
              <w:rPr>
                <w:rFonts w:ascii="Arial" w:cs="Arial" w:eastAsia="Arial" w:hAnsi="Arial"/>
                <w:sz w:val="18"/>
                <w:szCs w:val="18"/>
                <w:color w:val="auto"/>
              </w:rPr>
              <w:t>Total cash and cash equivalents, included restricted amounts, beginning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929,495</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including restricted amounts, end of period:</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1,547,162</w:t>
            </w:r>
          </w:p>
        </w:tc>
      </w:tr>
      <w:tr>
        <w:trPr>
          <w:trHeight w:val="230"/>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w:t>
            </w:r>
          </w:p>
        </w:tc>
      </w:tr>
      <w:tr>
        <w:trPr>
          <w:trHeight w:val="248"/>
        </w:trPr>
        <w:tc>
          <w:tcPr>
            <w:tcW w:w="7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cash and cash equivalents, included restricted amounts,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1,563,498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r>
      <w:tr>
        <w:trPr>
          <w:trHeight w:val="169"/>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10,683</w:t>
            </w: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79,621</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Prepaids and deposits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51,945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50,145</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16,869</w:t>
            </w:r>
          </w:p>
        </w:tc>
      </w:tr>
      <w:tr>
        <w:trPr>
          <w:trHeight w:val="229"/>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22,213</w:t>
            </w:r>
          </w:p>
        </w:tc>
      </w:tr>
      <w:tr>
        <w:trPr>
          <w:trHeight w:val="248"/>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current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179,531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94,116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92,892</w:t>
            </w: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2,458</w:t>
            </w: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Capitalized software,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111,911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101,786</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96,723</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Contract fulfillment costs,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3,010</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22,628</w:t>
            </w:r>
          </w:p>
        </w:tc>
      </w:tr>
      <w:tr>
        <w:trPr>
          <w:trHeight w:val="223"/>
        </w:trPr>
        <w:tc>
          <w:tcPr>
            <w:tcW w:w="7840" w:type="dxa"/>
            <w:vAlign w:val="bottom"/>
          </w:tcPr>
          <w:p>
            <w:pPr>
              <w:ind w:left="460"/>
              <w:spacing w:after="0"/>
              <w:rPr>
                <w:sz w:val="20"/>
                <w:szCs w:val="20"/>
                <w:color w:val="auto"/>
              </w:rPr>
            </w:pPr>
            <w:r>
              <w:rPr>
                <w:rFonts w:ascii="Arial" w:cs="Arial" w:eastAsia="Arial" w:hAnsi="Arial"/>
                <w:sz w:val="18"/>
                <w:szCs w:val="18"/>
                <w:color w:val="auto"/>
              </w:rPr>
              <w:t>Total other non-current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334,841</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presents the activity in our allowance for doubtful accounts, which is included within Other, net in each of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net </w:t>
      </w:r>
      <w:r>
        <w:rPr>
          <w:rFonts w:ascii="Arial" w:cs="Arial" w:eastAsia="Arial" w:hAnsi="Arial"/>
          <w:sz w:val="18"/>
          <w:szCs w:val="18"/>
          <w:color w:val="auto"/>
        </w:rPr>
        <w:t>and</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the table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For the nine months ended</w:t>
            </w:r>
          </w:p>
        </w:tc>
      </w:tr>
      <w:tr>
        <w:trPr>
          <w:trHeight w:val="230"/>
        </w:trPr>
        <w:tc>
          <w:tcPr>
            <w:tcW w:w="7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 2020</w:t>
            </w:r>
          </w:p>
        </w:tc>
      </w:tr>
      <w:tr>
        <w:trPr>
          <w:trHeight w:val="169"/>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Other current</w:t>
            </w:r>
          </w:p>
        </w:tc>
        <w:tc>
          <w:tcPr>
            <w:tcW w:w="16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w w:val="99"/>
              </w:rPr>
              <w:t>Other non-current</w:t>
            </w:r>
          </w:p>
        </w:tc>
      </w:tr>
      <w:tr>
        <w:trPr>
          <w:trHeight w:val="230"/>
        </w:trPr>
        <w:tc>
          <w:tcPr>
            <w:tcW w:w="7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assets, net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assets, net</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13,378</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12,772</w:t>
            </w: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line="279" w:lineRule="auto"/>
        <w:tabs>
          <w:tab w:leader="none" w:pos="247"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The impact of adopting ASC 326 on January 1, 2020 was a net increase to our allowance for doubtful accounts largely driven by a $13.4 million reclassification from </w:t>
      </w:r>
      <w:r>
        <w:rPr>
          <w:rFonts w:ascii="Arial" w:cs="Arial" w:eastAsia="Arial" w:hAnsi="Arial"/>
          <w:sz w:val="14"/>
          <w:szCs w:val="14"/>
          <w:i w:val="1"/>
          <w:iCs w:val="1"/>
          <w:color w:val="auto"/>
        </w:rPr>
        <w:t>Trade</w:t>
      </w:r>
      <w:r>
        <w:rPr>
          <w:rFonts w:ascii="Arial" w:cs="Arial" w:eastAsia="Arial" w:hAnsi="Arial"/>
          <w:sz w:val="14"/>
          <w:szCs w:val="14"/>
          <w:color w:val="auto"/>
        </w:rPr>
        <w:t xml:space="preserve"> </w:t>
      </w:r>
      <w:r>
        <w:rPr>
          <w:rFonts w:ascii="Arial" w:cs="Arial" w:eastAsia="Arial" w:hAnsi="Arial"/>
          <w:sz w:val="14"/>
          <w:szCs w:val="14"/>
          <w:i w:val="1"/>
          <w:iCs w:val="1"/>
          <w:color w:val="auto"/>
        </w:rPr>
        <w:t>accounts receivables and contracts assets, net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7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r>
      <w:tr>
        <w:trPr>
          <w:trHeight w:val="169"/>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4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7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rPr>
              <w:t>Trade accounts payable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42,622</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56,637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50,787</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14,651</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142,371</w:t>
            </w:r>
          </w:p>
        </w:tc>
      </w:tr>
      <w:tr>
        <w:trPr>
          <w:trHeight w:val="223"/>
        </w:trPr>
        <w:tc>
          <w:tcPr>
            <w:tcW w:w="7840" w:type="dxa"/>
            <w:vAlign w:val="bottom"/>
          </w:tcPr>
          <w:p>
            <w:pPr>
              <w:ind w:left="46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270,879</w:t>
            </w:r>
          </w:p>
        </w:tc>
      </w:tr>
      <w:tr>
        <w:trPr>
          <w:trHeight w:val="21"/>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ectPr>
          <w:pgSz w:w="11900" w:h="16838" w:orient="portrait"/>
          <w:cols w:equalWidth="0" w:num="1">
            <w:col w:w="11240"/>
          </w:cols>
          <w:pgMar w:left="320" w:top="140" w:right="3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As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6,357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4,240</w:t>
            </w:r>
          </w:p>
        </w:tc>
      </w:tr>
      <w:tr>
        <w:trPr>
          <w:trHeight w:val="229"/>
        </w:trPr>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6,979</w:t>
            </w:r>
          </w:p>
        </w:tc>
      </w:tr>
      <w:tr>
        <w:trPr>
          <w:trHeight w:val="230"/>
        </w:trPr>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68,402</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140" w:right="339" w:bottom="1440" w:gutter="0" w:footer="0" w:header="0"/>
          <w:type w:val="continuous"/>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40" w:type="dxa"/>
            <w:vAlign w:val="bottom"/>
            <w:gridSpan w:val="2"/>
          </w:tcPr>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110,869</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00"/>
              <w:spacing w:after="0" w:line="197" w:lineRule="exact"/>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Employee benefits paid in Class A common stock</w:t>
            </w:r>
          </w:p>
        </w:tc>
        <w:tc>
          <w:tcPr>
            <w:tcW w:w="3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6,920</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Increase (decrease) in capital expenditures included in accounts payable, net</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20" w:type="dxa"/>
            <w:vAlign w:val="bottom"/>
          </w:tcPr>
          <w:p>
            <w:pPr>
              <w:ind w:left="200"/>
              <w:spacing w:after="0" w:line="203" w:lineRule="exact"/>
              <w:rPr>
                <w:sz w:val="20"/>
                <w:szCs w:val="20"/>
                <w:color w:val="auto"/>
              </w:rPr>
            </w:pPr>
            <w:r>
              <w:rPr>
                <w:rFonts w:ascii="Arial" w:cs="Arial" w:eastAsia="Arial" w:hAnsi="Arial"/>
                <w:sz w:val="18"/>
                <w:szCs w:val="18"/>
                <w:color w:val="auto"/>
              </w:rPr>
              <w:t>Non-cash net assets exchanged for BSS Transaction</w:t>
            </w: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535,211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920" w:type="dxa"/>
            <w:vAlign w:val="bottom"/>
            <w:shd w:val="clear" w:color="auto" w:fill="CCEEFF"/>
          </w:tcPr>
          <w:p>
            <w:pPr>
              <w:ind w:left="200"/>
              <w:spacing w:after="0" w:line="155" w:lineRule="exact"/>
              <w:rPr>
                <w:sz w:val="20"/>
                <w:szCs w:val="20"/>
                <w:color w:val="auto"/>
              </w:rPr>
            </w:pPr>
            <w:r>
              <w:rPr>
                <w:rFonts w:ascii="Arial" w:cs="Arial" w:eastAsia="Arial" w:hAnsi="Arial"/>
                <w:sz w:val="17"/>
                <w:szCs w:val="17"/>
                <w:color w:val="auto"/>
              </w:rPr>
              <w:t>Non-cash net assets received in exchange for a 20% ownership interest in our existing</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8"/>
                <w:szCs w:val="18"/>
                <w:color w:val="auto"/>
              </w:rPr>
              <w:t>Brazilian subsidiary</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Condensed Consolidated Financial Statements and notes thereto (“Accompanying Condensed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is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three and nine months ended September 30, 2019 in our Accompanying Condensed Consolidated Financial Statements. Refer to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 our Accompanying Condensed Consolidated Financial Statements in Item 1 of this Form 10-Q.</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All amounts presented in this Management’s Discussion and Analysis reference results from continuing operations unless otherwise noted and are expressed in thousands of United States (“U.S.”) dollars, except share and per share amounts and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September 30, 2020:</w:t>
      </w:r>
    </w:p>
    <w:p>
      <w:pPr>
        <w:spacing w:after="0" w:line="2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of $473.5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 (loss) of $37.0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(loss) from continuing operations of $23.3 million</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(loss) attributable to EchoStar common stock of $25.4 million and basic earnings (loss) per share of common stock of $0.26</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net income (loss) from discontinued operations and net income (loss) attributable to non-controlling interests (“EBITDA”) of $188.8 million (refer to the reconciliation of this non-GAAP measure in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September 30, 2020:</w:t>
      </w:r>
    </w:p>
    <w:p>
      <w:pPr>
        <w:spacing w:after="0" w:line="2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assets of $7.0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liabilities of $3.4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$2.5 billion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Service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As a result of the COVID-19 pandemic, in accordance with instructions received from some of our enterprise customers, we have deferred or canceled the delivery of some products or services. In the third quarter of 2020, we have recognized revenue for services that have been provided and are no longer deferred. In addition, we have seen a limited number of our enterprise customers file for bankruptcy protection. We have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reserved an amount related to pre-petition receivables and are working closely with these customers on providing post-petition services and products.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 to our customers. Growth of our consumer subscriber base in certain areas in the U.S. continues to be constrained where we are nearing or have reached maximum capacity. While these constraints are not expected to be resolved until we launch new satellites, we continue to focus on revenue growth in all areas and consumer subscriber growth in the areas where we have available capacity.</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us in exchange for a 20% ownership interest in our existing Brazilian subsidiary that conducts our satellite communications services business in Brazil (the “Yahsat Brazil JV Transaction”).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also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Space Systems/Loral, LLC (“SS/L”), the manufacturer of our EchoStar XXIV satellite has notified us of a delay in completion of the satellite. The EchoStar XXIV satellite is expected to be launched no earlier than the first quarter of 2022. This or other delays or impediments to SS/L’s meeting its obligations could have a material adverse impact on our business operations, future revenues, financial position and prospects, the completion of manufacture of the EchoStar XXIV satellite and our planned expansion of satellite broadband services throughout North, South and Central America. Capital expenditures associated with the construction and launch of the EchoStar XXIV satellite are included in </w:t>
      </w: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in our segment reporting.</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2017, we and DISH Network entered into a master service agreement (the “Hughes Broadband MSA”). Pursuant to the Hughes Broadband MSA,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As a result of the Hughes Broadband MSA, we have not earned, and do not expect to earn in the future, significant equipment revenue from our distribution agreement with DISH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broadband subscribers include customers that subscribe to our HughesNet service in North and Latin America through retail, wholesale and small/medium enterprise service channels. In connection with the COVID-19 pandemic, we voluntarily signed on to the Federal Communications Commissions’ (“FCC”) Keep Americans Connected Pledge (the “Pledge”), promising not to terminate residential or small business customers because of their inability to pay their bills due to the disruptions caused by the COVID-19 pandemic. As a result, we have provided HughesNet service to consumers who may not have the ability to pay for such services, but have excluded any subscribers whose HughesNet service would have ordinarily been terminated in the absence of the Pledge from our subscriber numbers as of June 30,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The following table presents our approximate subscribers: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51"/>
        </w:trPr>
        <w:tc>
          <w:tcPr>
            <w:tcW w:w="6940" w:type="dxa"/>
            <w:vAlign w:val="bottom"/>
          </w:tcPr>
          <w:p>
            <w:pPr>
              <w:spacing w:after="0"/>
              <w:rPr>
                <w:sz w:val="24"/>
                <w:szCs w:val="24"/>
                <w:color w:val="auto"/>
              </w:rPr>
            </w:pPr>
          </w:p>
        </w:tc>
        <w:tc>
          <w:tcPr>
            <w:tcW w:w="2640" w:type="dxa"/>
            <w:vAlign w:val="bottom"/>
            <w:tcBorders>
              <w:bottom w:val="single" w:sz="8" w:color="auto"/>
            </w:tcBorders>
            <w:gridSpan w:val="3"/>
          </w:tcPr>
          <w:p>
            <w:pPr>
              <w:ind w:left="1920"/>
              <w:spacing w:after="0"/>
              <w:rPr>
                <w:sz w:val="20"/>
                <w:szCs w:val="20"/>
                <w:color w:val="auto"/>
              </w:rPr>
            </w:pPr>
            <w:r>
              <w:rPr>
                <w:rFonts w:ascii="Arial" w:cs="Arial" w:eastAsia="Arial" w:hAnsi="Arial"/>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r>
      <w:tr>
        <w:trPr>
          <w:trHeight w:val="169"/>
        </w:trPr>
        <w:tc>
          <w:tcPr>
            <w:tcW w:w="6940" w:type="dxa"/>
            <w:vAlign w:val="bottom"/>
          </w:tcPr>
          <w:p>
            <w:pPr>
              <w:spacing w:after="0"/>
              <w:rPr>
                <w:sz w:val="14"/>
                <w:szCs w:val="14"/>
                <w:color w:val="auto"/>
              </w:rPr>
            </w:pPr>
          </w:p>
        </w:tc>
        <w:tc>
          <w:tcPr>
            <w:tcW w:w="2640" w:type="dxa"/>
            <w:vAlign w:val="bottom"/>
            <w:gridSpan w:val="3"/>
          </w:tcPr>
          <w:p>
            <w:pPr>
              <w:ind w:left="440"/>
              <w:spacing w:after="0" w:line="169" w:lineRule="exact"/>
              <w:rPr>
                <w:sz w:val="20"/>
                <w:szCs w:val="20"/>
                <w:color w:val="auto"/>
              </w:rPr>
            </w:pPr>
            <w:r>
              <w:rPr>
                <w:rFonts w:ascii="Arial" w:cs="Arial" w:eastAsia="Arial" w:hAnsi="Arial"/>
                <w:sz w:val="18"/>
                <w:szCs w:val="18"/>
                <w:b w:val="1"/>
                <w:bCs w:val="1"/>
                <w:color w:val="auto"/>
              </w:rPr>
              <w:t>September 30,</w:t>
            </w:r>
          </w:p>
        </w:tc>
        <w:tc>
          <w:tcPr>
            <w:tcW w:w="1660" w:type="dxa"/>
            <w:vAlign w:val="bottom"/>
          </w:tcPr>
          <w:p>
            <w:pPr>
              <w:jc w:val="right"/>
              <w:ind w:right="590"/>
              <w:spacing w:after="0" w:line="169" w:lineRule="exact"/>
              <w:rPr>
                <w:sz w:val="20"/>
                <w:szCs w:val="20"/>
                <w:color w:val="auto"/>
              </w:rPr>
            </w:pPr>
            <w:r>
              <w:rPr>
                <w:rFonts w:ascii="Arial" w:cs="Arial" w:eastAsia="Arial" w:hAnsi="Arial"/>
                <w:sz w:val="18"/>
                <w:szCs w:val="18"/>
                <w:b w:val="1"/>
                <w:bCs w:val="1"/>
                <w:color w:val="auto"/>
              </w:rPr>
              <w:t>June 30,</w:t>
            </w:r>
          </w:p>
        </w:tc>
      </w:tr>
      <w:tr>
        <w:trPr>
          <w:trHeight w:val="230"/>
        </w:trPr>
        <w:tc>
          <w:tcPr>
            <w:tcW w:w="694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Broadband subscribers in the United States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1,221,000</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Broadband subscribers in Latin America</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321,000</w:t>
            </w:r>
          </w:p>
        </w:tc>
      </w:tr>
      <w:tr>
        <w:trPr>
          <w:trHeight w:val="248"/>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broadband subscribers</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1,542,000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third quarter of 2020, our gross subscriber additions increased by approximately 9,000 as compared to the second quarter of 2020. Our net subscriber additions for the third quarter increased by approximately 12,000 as compared to the second quarter of 2020, reflecting lower churn in the third quarter as compared to the second quarter of 2020, driven primarily by the retention of HughesNet subscribers previously reported as having churned under the Pledge.</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2020 and December 31, 2019, our Hughes segment had $1.1 billion and $1.4 billion of contracted revenue backlog, respectively. We define Hughes contracted revenue backlog as our expected future revenue under enterprise customer contracts that are non-cancelable, including lease revenue. Our contracted revenue backlog as of September 30, 2020 decreased primarily due to the bankruptcy of a certain customer and the effects of the COVID-19 pandemic, including lengthened or delayed sales cycles with some of our enterprise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2020 and December 31, 2019, our ESS segment had contracted revenue backlog of $7.8 million and $11.4 million, respectively. We define contracted revenue backlog for our ESS segment as contracted future satellite lease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medium-earth orbit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many industries and communities in North America and internationally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continue to explore the development and deployment of S-band technologies and believe that our products and services will be integrated into new global, hybrid networks that leverage multiple satellites and terrestrial technologies. The current COVID-19 pandemic has made even more evident the worldwide need and demand for such networks. In December 2013, we acquired EchoStar Mobile Limited (“EML”), an entity based in Dublin, Ireland, which is licensed to provide mobile satellite service (“MSS”) and complementary ground component (“CGC”) services covering the European Union and its member states (“EU”) using the S-band spectrum. EML’s services in the EU are supported by the EchoStar XXI satellite and the EUTELSAT 10A payload. In October 2019, we acquired Sirion Global Pty Ltd., which we have renamed EchoStar Global Australia Pty Ltd. (“EchoStar Global”), which holds global S-band non-geostationary satellite spectrum rights for MSS. Additionally, we have entered into a contract with Tyvak Nano-Satellite Systems, Inc. for the design and construction of S-band nano-satellites. We launched two nano-satellites in the third quarter of 2020. We expect to launch our third nano-satellite in 2021. Our nano-satellites will facilitate our continued growth in the global S-band market and enable us to leverage our acquisition of EchoStar Global. In addition, in November 2019, we were granted an S-band spectrum license for terrestrial rights in Mexico. As of September 30, 2020, we have no material future commitments in connection with these acquisitions or satellites.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Due to the COVID-19 pandemic, a large portion of our workforce has been working remotely and we expect certain portions of our workforce to continue to do so from time to time. While we have cybersecurity risk management tools to help protect our technology, information and networks that our employees access remotely, we cannot guarantee the security of the network that they will be using, the security status of the other non-company managed devices that might be on the network to which they are connected or the devices or networks used by third parties with whom our employees conduct business, such as customers, suppliers, vendors and other persons. Additionally, there continues to be a significant amount of COVID-19 related cyber-fraud and phishing attacks that continue to target our employees, vendors, suppliers, customers and others. Accordingly, we increased our cybersecurity efforts and resources as a result of the COVID-19 pandemic.</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Additionally, we provide resources to assist employees in better securing their home networks and remote connections.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nine months ended September 30, 2020 and through November 5, 2020.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the Three Months Ended September 30, 2019</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three months ended September 30, 2020 compared to the three months ended September 30, 2019: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September</w:t>
            </w:r>
          </w:p>
        </w:tc>
        <w:tc>
          <w:tcPr>
            <w:tcW w:w="200" w:type="dxa"/>
            <w:vAlign w:val="bottom"/>
          </w:tcPr>
          <w:p>
            <w:pPr>
              <w:spacing w:after="0"/>
              <w:rPr>
                <w:sz w:val="14"/>
                <w:szCs w:val="14"/>
                <w:color w:val="auto"/>
              </w:rPr>
            </w:pPr>
          </w:p>
        </w:tc>
        <w:tc>
          <w:tcPr>
            <w:tcW w:w="15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Amounts</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Services and other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426,532</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406,537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19,995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46,970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65,725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473,502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472,262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Cost of sales - services and other</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146,577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143,842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services and other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Cost of sales - equipment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37,079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51,188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equipment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78.9 %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77.9 %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115,358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122,629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(7,271)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129,822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122,374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436,512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446,169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Operating income (loss)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36,990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26,093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6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Interest income, net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7,364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17,175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Gains (losses) on investments, net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14,998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8,295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6,681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(15,094)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other income (expense), net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(10,767)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(44,191)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26,223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benefit (provision), net</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23,273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Net income (loss) from discontinued operations</w:t>
            </w:r>
          </w:p>
        </w:tc>
        <w:tc>
          <w:tcPr>
            <w:tcW w:w="30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23,273</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(21,106)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44,379</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Less: Net loss (income) attributable to non-controlling interests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2,167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2,797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25,440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43,749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data:</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(1)</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Subscribers, end of period</w:t>
      </w:r>
    </w:p>
    <w:p>
      <w:pPr>
        <w:spacing w:after="0" w:line="177"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9"/>
          <w:szCs w:val="9"/>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188,815</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139,763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49,052</w:t>
            </w:r>
          </w:p>
        </w:tc>
        <w:tc>
          <w:tcPr>
            <w:tcW w:w="1260" w:type="dxa"/>
            <w:vAlign w:val="bottom"/>
          </w:tcPr>
          <w:p>
            <w:pPr>
              <w:jc w:val="right"/>
              <w:spacing w:after="0"/>
              <w:rPr>
                <w:sz w:val="20"/>
                <w:szCs w:val="20"/>
                <w:color w:val="auto"/>
              </w:rPr>
            </w:pPr>
            <w:r>
              <w:rPr>
                <w:rFonts w:ascii="Arial" w:cs="Arial" w:eastAsia="Arial" w:hAnsi="Arial"/>
                <w:sz w:val="14"/>
                <w:szCs w:val="14"/>
                <w:color w:val="auto"/>
              </w:rPr>
              <w:t>35.1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1,580,000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1,437,000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143,000</w:t>
            </w:r>
          </w:p>
        </w:tc>
        <w:tc>
          <w:tcPr>
            <w:tcW w:w="12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-170815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060" w:space="720"/>
            <w:col w:w="5460"/>
          </w:cols>
          <w:pgMar w:left="320" w:top="140" w:right="339" w:bottom="1440" w:gutter="0" w:footer="0" w:header="0"/>
          <w:type w:val="continuous"/>
        </w:sectPr>
      </w:pPr>
    </w:p>
    <w:p>
      <w:pPr>
        <w:jc w:val="both"/>
        <w:ind w:left="340" w:hanging="332"/>
        <w:spacing w:after="0" w:line="249" w:lineRule="auto"/>
        <w:tabs>
          <w:tab w:leader="none" w:pos="390" w:val="left"/>
        </w:tabs>
        <w:numPr>
          <w:ilvl w:val="0"/>
          <w:numId w:val="20"/>
        </w:numPr>
        <w:rPr>
          <w:rFonts w:ascii="Arial" w:cs="Arial" w:eastAsia="Arial" w:hAnsi="Arial"/>
          <w:sz w:val="9"/>
          <w:szCs w:val="9"/>
          <w:color w:val="auto"/>
        </w:rPr>
      </w:pPr>
      <w:r>
        <w:rPr>
          <w:rFonts w:ascii="Arial" w:cs="Arial" w:eastAsia="Arial" w:hAnsi="Arial"/>
          <w:sz w:val="14"/>
          <w:szCs w:val="14"/>
          <w:color w:val="auto"/>
        </w:rPr>
        <w:t>A reconciliation of EBITDA to Net income (loss), the most directly comparable generally accepted accounting principles in the U.S. (“U.S. GAAP”) measure in our Accompanying Condensed Consolidated Financial Statements, is included in Results of Operations. For further information on our use of EBITDA, refer to the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discussion relates to our continuing operations for the three months ended September 30, 2020 and 2019 unless otherwise stated.</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$426.5 million for the three months ended September 30,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$20.0 million, or 4.9%, as compared to 2019, primarily attributable to:</w:t>
      </w:r>
    </w:p>
    <w:p>
      <w:pPr>
        <w:spacing w:after="0" w:line="202" w:lineRule="exact"/>
        <w:rPr>
          <w:sz w:val="20"/>
          <w:szCs w:val="20"/>
          <w:color w:val="auto"/>
        </w:rPr>
      </w:pPr>
    </w:p>
    <w:p>
      <w:pPr>
        <w:jc w:val="both"/>
        <w:ind w:left="660" w:hanging="328"/>
        <w:spacing w:after="0" w:line="254" w:lineRule="auto"/>
        <w:tabs>
          <w:tab w:leader="none" w:pos="655" w:val="left"/>
        </w:tabs>
        <w:numPr>
          <w:ilvl w:val="0"/>
          <w:numId w:val="21"/>
        </w:numPr>
        <w:rPr>
          <w:rFonts w:ascii="Arial" w:cs="Arial" w:eastAsia="Arial" w:hAnsi="Arial"/>
          <w:sz w:val="18"/>
          <w:szCs w:val="18"/>
          <w:color w:val="auto"/>
          <w:highlight w:val="lightGray"/>
        </w:rPr>
      </w:pPr>
      <w:r>
        <w:rPr>
          <w:rFonts w:ascii="Arial" w:cs="Arial" w:eastAsia="Arial" w:hAnsi="Arial"/>
          <w:sz w:val="18"/>
          <w:szCs w:val="18"/>
          <w:color w:val="auto"/>
        </w:rPr>
        <w:t>Services and other revenue from our Hughes segment for the three months ended September 30, 2020 increased by $21.8 million, or 5.5%, to $419.8 million, as compared to 2019. The increase was primarily attributable to increases in sales of broadband services to our consumer customers of $30.4 million, partially offset by a decrease in sales of broadband services to our enterprise customers of $6.5 million. Both of these variances reflect the negative impact of exchange rate fluctuations.</w:t>
      </w:r>
    </w:p>
    <w:p>
      <w:pPr>
        <w:spacing w:after="0" w:line="230" w:lineRule="exact"/>
        <w:rPr>
          <w:rFonts w:ascii="Arial" w:cs="Arial" w:eastAsia="Arial" w:hAnsi="Arial"/>
          <w:sz w:val="18"/>
          <w:szCs w:val="18"/>
          <w:color w:val="auto"/>
          <w:highlight w:val="lightGray"/>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highlight w:val="lightGray"/>
        </w:rPr>
      </w:pPr>
      <w:r>
        <w:rPr>
          <w:rFonts w:ascii="Arial" w:cs="Arial" w:eastAsia="Arial" w:hAnsi="Arial"/>
          <w:sz w:val="18"/>
          <w:szCs w:val="18"/>
          <w:color w:val="auto"/>
        </w:rPr>
        <w:t>Services and other revenue from Corporate and Other for the three months ended September 30, 2020 decreased by $2.1 million, or 47.2%, to $2.3 million, as compared to 2019, which was primarily attributable to a decrease in revenue from certain real estate previously leased to DISH Network and transferred as part of the BSS Transaction.</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$47.0 million for the three months ended September 30, 2020, a decrease of $18.8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28.5%, as compared to 2019. The decrease was primarily attributable to the bankruptcy of a certain customer.</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$146.6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$2.7 million, or 1.9%, as compared to 2019. The increase was primarily attributable to our Hughes segment due to the increase in sales of broadband services.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$37.1 million for the three months ended September 30, 2020,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$14.1 million, or 27.6%, as compared to 2019. The decrease was primarily attributable to the corresponding reduction in equipment revenue.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$115.4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 decrease of $7.3 million, or 5.9%, as compared to 2019. The decrease was primarily attributable to expenses related to the license fee dispute in India of $7.2 million in 2019 and decreased sales and marketing expenses of $1.2 million, partially offset by increases in bad debt expense of $3.6 million in 2020.</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$129.8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$ 7.4 million, or 6.1%, as compared to 2019. The increase was primarily due to increases in depreciation expense related to our customer premises equipment.</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$7.4 million for the three months ended September 30, 2020, a decrease of $9.8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57.1%, as compared to 2019, which was primarily attributable to decreases in the yield of our marketable investment securities.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$38.0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 decrease of $11.9 million, or 23.9%, as compared to 2019. The decrease was primarily due to a decrease in interest expense related to the license fee dispute in India of $10.5 million in 2019 and an increase of $1.2 million in capitalized interest in 2020 related to the EchoStar XXIV satellite and its related infrastructure.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were $15.0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$6.7 million of net gains. The change was primarily attributable to $6.0 million of net positive variances on marketable investment securities as compared to 2019.</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million in losses for the three months ended September 30, 2020, a decrease in losses of</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$1.1 million, or 33.5%, as compared to 2019. The decrease in losses was related to decreased losses from our investments in our equity method investees.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$ 6.7 million in gains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2020, as compared to $15.1 million in losses for the three months ended September 30, 2019. The change was due to the net weakening of the U.S. dollar against certain foreign currencies in 2020 compared to 2019.</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$(3.0) million for the three months ended September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$(5.0) million for the three months ended September 30, 2019. Our effective income tax rate was 11.2% and (27.7)% for the three months ended September 30, 2020 and 2019, respectively. The variations in our effective tax rate from the U.S. federal statutory rate for the three months ended September 30, 2020 were primarily due to the increase in our valuation allowance associated with certain foreign losses, permanent book tax differences and the impact of state and local taxes, partially offset by research and experimentation credits. The variations in our effective tax rate from the U.S. federal statutory rate for the three months ended September 30, 2019 were primarily due to the change in net unrealized gains that are capital in nature and research and experimentation credits, partially offset by the impact of state and local taxes and the increase in our valuation allowance associated with certain foreign losses.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income attributable to EchoStar Corporation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$25.4 million for the three months ended September 30, 2020, as compared to net loss attributable to EchoStar Corporation common stock of $18.3 million for the three months ended September 30, 2019, an increase in income of $43.7 million as set forth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September 30,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(18,309)</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21,775</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operating income, including depreciation and amortization</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10,897</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income tax provision, net</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net income from discontinued operations</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September 30,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25,440</w:t>
            </w: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Net income (loss), the most directly comparable U.S. GAAP measure in our Accompanying Condensed Consolidated Financial Statements, to EBITDA: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7"/>
                <w:szCs w:val="17"/>
                <w:color w:val="auto"/>
              </w:rPr>
            </w:pPr>
          </w:p>
        </w:tc>
        <w:tc>
          <w:tcPr>
            <w:tcW w:w="188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Income tax provision (benefit),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Net loss (income) from discontinued operations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88"/>
        </w:trPr>
        <w:tc>
          <w:tcPr>
            <w:tcW w:w="4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loss (income) attributable to non-controlling</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9"/>
          <w:szCs w:val="9"/>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EBITDA was $188.8 million for the three months ended September 30, 2020, an increase of $49.1 million, or 35.1%, as compared to 2019, as set forth in the following table:</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139,763</w:t>
            </w:r>
          </w:p>
        </w:tc>
      </w:tr>
      <w:tr>
        <w:trPr>
          <w:trHeight w:val="229"/>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foreign currency transaction gains,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21,775</w:t>
            </w:r>
          </w:p>
        </w:tc>
      </w:tr>
      <w:tr>
        <w:trPr>
          <w:trHeight w:val="230"/>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gains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6,703</w:t>
            </w:r>
          </w:p>
        </w:tc>
      </w:tr>
      <w:tr>
        <w:trPr>
          <w:trHeight w:val="230"/>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29"/>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three months ended September 30,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188,815</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three months ended September 30, 2020 compared to the three months ended September 30, 2019. Capital expenditures in the table below are net of refunds and other receipts related to our property and equipment.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Hughes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ESS</w:t>
            </w:r>
          </w:p>
        </w:tc>
        <w:tc>
          <w:tcPr>
            <w:tcW w:w="40" w:type="dxa"/>
            <w:vAlign w:val="bottom"/>
          </w:tcPr>
          <w:p>
            <w:pPr>
              <w:spacing w:after="0"/>
              <w:rPr>
                <w:sz w:val="17"/>
                <w:szCs w:val="17"/>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Corporate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September 30, 2020</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466,762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473,502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EBITDA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188,815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three months ended September 30, 2019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8"/>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6"/>
            <w:vMerge w:val="restart"/>
          </w:tcPr>
          <w:p>
            <w:pPr>
              <w:jc w:val="right"/>
              <w:ind w:right="1070"/>
              <w:spacing w:after="0"/>
              <w:rPr>
                <w:sz w:val="20"/>
                <w:szCs w:val="20"/>
                <w:color w:val="auto"/>
              </w:rPr>
            </w:pPr>
            <w:r>
              <w:rPr>
                <w:rFonts w:ascii="Arial" w:cs="Arial" w:eastAsia="Arial" w:hAnsi="Arial"/>
                <w:sz w:val="18"/>
                <w:szCs w:val="18"/>
                <w:b w:val="1"/>
                <w:bCs w:val="1"/>
                <w:color w:val="auto"/>
              </w:rPr>
              <w:t>Variance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8"/>
          </w:tcPr>
          <w:p>
            <w:pPr>
              <w:ind w:left="72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6"/>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Amounts</w:t>
            </w: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463,735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76,572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was $ 466.8 million for the three months ended September 30, 2020, an increase of $3.0 million, or 0.7%, as compared to 2019. The increase was primarily due to increases of $30.4 million in sales of broadband services to our consumer customers, partially offset by decreased hardware sales of $18.8 million and decreased sales of broadband services to our enterprise customers of $6.5 million. These variances reflect the negative impact of exchange rate fluctuations.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were $88.8 million for the three months ended September 30, 2020, an increase of $12.3 million, or 16.0%, as compared to 2019, primarily due to increases in expenditures associated with our consumer business.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$ 190.0 million for the three months ended September 30, 2020, an increase of $34.1 million, or 21.9%, as compared to 2019 as set forth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2019</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gains on investments,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EBITDA for the three months ended September 30,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020" w:type="dxa"/>
            <w:vAlign w:val="bottom"/>
            <w:gridSpan w:val="2"/>
            <w:vMerge w:val="restart"/>
          </w:tcPr>
          <w:p>
            <w:pPr>
              <w:jc w:val="right"/>
              <w:ind w:right="3210"/>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90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gridSpan w:val="2"/>
          </w:tcPr>
          <w:p>
            <w:pPr>
              <w:jc w:val="right"/>
              <w:ind w:right="3550"/>
              <w:spacing w:after="0"/>
              <w:rPr>
                <w:sz w:val="20"/>
                <w:szCs w:val="20"/>
                <w:color w:val="auto"/>
              </w:rPr>
            </w:pPr>
            <w:r>
              <w:rPr>
                <w:rFonts w:ascii="Arial" w:cs="Arial" w:eastAsia="Arial" w:hAnsi="Arial"/>
                <w:sz w:val="18"/>
                <w:szCs w:val="18"/>
                <w:i w:val="1"/>
                <w:iCs w:val="1"/>
                <w:color w:val="auto"/>
                <w:w w:val="99"/>
              </w:rPr>
              <w:t>ESS Segment</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24"/>
                <w:szCs w:val="24"/>
                <w:color w:val="auto"/>
              </w:rPr>
            </w:pPr>
          </w:p>
        </w:tc>
        <w:tc>
          <w:tcPr>
            <w:tcW w:w="190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Borders>
              <w:top w:val="single" w:sz="8" w:color="CCEEFF"/>
            </w:tcBorders>
            <w:shd w:val="clear" w:color="auto" w:fill="CCEEFF"/>
          </w:tcPr>
          <w:p>
            <w:pPr>
              <w:jc w:val="right"/>
              <w:ind w:right="3550"/>
              <w:spacing w:after="0"/>
              <w:rPr>
                <w:sz w:val="20"/>
                <w:szCs w:val="20"/>
                <w:color w:val="auto"/>
              </w:rPr>
            </w:pPr>
            <w:r>
              <w:rPr>
                <w:rFonts w:ascii="Arial" w:cs="Arial" w:eastAsia="Arial" w:hAnsi="Arial"/>
                <w:sz w:val="18"/>
                <w:szCs w:val="18"/>
                <w:color w:val="auto"/>
                <w:w w:val="98"/>
              </w:rPr>
              <w:t>Total revenue</w:t>
            </w: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4,402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jc w:val="right"/>
              <w:ind w:right="3990"/>
              <w:spacing w:after="0"/>
              <w:rPr>
                <w:sz w:val="20"/>
                <w:szCs w:val="20"/>
                <w:color w:val="auto"/>
              </w:rPr>
            </w:pPr>
            <w:r>
              <w:rPr>
                <w:rFonts w:ascii="Arial" w:cs="Arial" w:eastAsia="Arial" w:hAnsi="Arial"/>
                <w:sz w:val="18"/>
                <w:szCs w:val="18"/>
                <w:color w:val="auto"/>
                <w:w w:val="98"/>
              </w:rPr>
              <w:t>EBITDA</w:t>
            </w:r>
          </w:p>
        </w:tc>
        <w:tc>
          <w:tcPr>
            <w:tcW w:w="9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was $4.4 million for the three months ended September 30, 2020, an increase of $0.3 million, or 7.4%, as compared to 2019, primarily due to an increase in transponder services provided to third parties.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EBITDA was $2.3 million for the three months ended September 30, 2020, an increase of $0.5 million, or 27.0%, as compared to 2019, primarily due to the increase in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Corporate and Other</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For the three months ended</w:t>
            </w:r>
          </w:p>
        </w:tc>
        <w:tc>
          <w:tcPr>
            <w:tcW w:w="260" w:type="dxa"/>
            <w:vAlign w:val="bottom"/>
          </w:tcPr>
          <w:p>
            <w:pPr>
              <w:spacing w:after="0"/>
              <w:rPr>
                <w:sz w:val="24"/>
                <w:szCs w:val="24"/>
                <w:color w:val="auto"/>
              </w:rPr>
            </w:pPr>
          </w:p>
        </w:tc>
        <w:tc>
          <w:tcPr>
            <w:tcW w:w="188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7"/>
              </w:rPr>
              <w:t>2,338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260" w:type="dxa"/>
            <w:vAlign w:val="bottom"/>
          </w:tcPr>
          <w:p>
            <w:pPr>
              <w:jc w:val="center"/>
              <w:ind w:left="570"/>
              <w:spacing w:after="0"/>
              <w:rPr>
                <w:sz w:val="20"/>
                <w:szCs w:val="20"/>
                <w:color w:val="auto"/>
              </w:rPr>
            </w:pPr>
            <w:r>
              <w:rPr>
                <w:rFonts w:ascii="Arial" w:cs="Arial" w:eastAsia="Arial" w:hAnsi="Arial"/>
                <w:sz w:val="18"/>
                <w:szCs w:val="18"/>
                <w:color w:val="auto"/>
                <w:w w:val="97"/>
              </w:rPr>
              <w:t>9,248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(3,475)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was $ 2.3 million for the three months ended September 30, 2020, a decrease of $2.1 million, or 47.2%, as compared to 2019, which was primarily attributable to a decrease in revenue from certain real estate previously leased to DISH Network and transferred as part of the BSS Transaction.</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were $9.2 million for the three months ended September 30, 2020, a decrease of $9.3 million, or 50.2%, as compared to 2019, primarily due to a decrease in expenditures on the EchoStar XXIV satellite.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a loss of $3.5 million for the three months ended September 30, 2020, an increase in loss of $14.5 million, as compared to 2019, as set forth in the following table:</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w:t>
            </w: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foreign currency transaction gains,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7,068</w:t>
            </w:r>
          </w:p>
        </w:tc>
      </w:tr>
      <w:tr>
        <w:trPr>
          <w:trHeight w:val="229"/>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gains on investments,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30"/>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the Nine Months Ended September 30, 2019</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nine months ended September 30, 2020 compared to the nine months ended September 30, 2019: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nine months ended September</w:t>
            </w:r>
          </w:p>
        </w:tc>
        <w:tc>
          <w:tcPr>
            <w:tcW w:w="200" w:type="dxa"/>
            <w:vAlign w:val="bottom"/>
          </w:tcPr>
          <w:p>
            <w:pPr>
              <w:spacing w:after="0"/>
              <w:rPr>
                <w:sz w:val="14"/>
                <w:szCs w:val="14"/>
                <w:color w:val="auto"/>
              </w:rPr>
            </w:pPr>
          </w:p>
        </w:tc>
        <w:tc>
          <w:tcPr>
            <w:tcW w:w="15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Amounts</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Services and other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1,251,932</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1,211,991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39,941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146,702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175,084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(28,382)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1,398,634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1,387,075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Cost of sales - services and other</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432,848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429,869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services and other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Cost of sales - equipment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115,529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142,744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(27,215)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equipment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78.8 %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354,437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383,952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21,378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19,411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392,077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361,619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30,458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1,316,269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1,337,595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Operating income (loss)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82,365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49,480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32,885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6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Interest income, net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33,707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64,817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(112,458)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(156,813)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Gains (losses) on investments, net</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(37,764)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28,087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(65,851)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(5,866)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(14,501)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Total other income (expense), net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(125,363)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(94,254)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(31,109)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(42,998)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benefit (provision), net</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(6,309)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(12,607)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(49,307)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(57,381)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rPr>
                <w:sz w:val="20"/>
                <w:szCs w:val="20"/>
                <w:color w:val="auto"/>
              </w:rPr>
            </w:pPr>
            <w:r>
              <w:rPr>
                <w:rFonts w:ascii="Arial" w:cs="Arial" w:eastAsia="Arial" w:hAnsi="Arial"/>
                <w:sz w:val="14"/>
                <w:szCs w:val="14"/>
                <w:color w:val="auto"/>
              </w:rPr>
              <w:t>Net income (loss) from discontinued operations</w:t>
            </w:r>
          </w:p>
        </w:tc>
        <w:tc>
          <w:tcPr>
            <w:tcW w:w="30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46,223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(46,223)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(49,307)</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(11,158)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(38,149)</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Less: Net loss (income) attributable to non-controlling interests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9,040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(40,267)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(9,799)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(30,468)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data:</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436,870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410,200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tcBorders>
              <w:bottom w:val="single" w:sz="8" w:color="CCEEFF"/>
            </w:tcBorders>
            <w:gridSpan w:val="2"/>
            <w:shd w:val="clear" w:color="auto" w:fill="CCEEFF"/>
          </w:tcPr>
          <w:p>
            <w:pPr>
              <w:ind w:left="220"/>
              <w:spacing w:after="0" w:line="157" w:lineRule="exact"/>
              <w:rPr>
                <w:sz w:val="20"/>
                <w:szCs w:val="20"/>
                <w:color w:val="auto"/>
              </w:rPr>
            </w:pPr>
            <w:r>
              <w:rPr>
                <w:rFonts w:ascii="Arial" w:cs="Arial" w:eastAsia="Arial" w:hAnsi="Arial"/>
                <w:sz w:val="14"/>
                <w:szCs w:val="14"/>
                <w:color w:val="auto"/>
              </w:rPr>
              <w:t>Subscribers,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1,580,000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1,437,000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143,000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line="258" w:lineRule="auto"/>
        <w:tabs>
          <w:tab w:leader="none" w:pos="292" w:val="left"/>
        </w:tabs>
        <w:numPr>
          <w:ilvl w:val="0"/>
          <w:numId w:val="24"/>
        </w:numPr>
        <w:rPr>
          <w:rFonts w:ascii="Arial" w:cs="Arial" w:eastAsia="Arial" w:hAnsi="Arial"/>
          <w:sz w:val="9"/>
          <w:szCs w:val="9"/>
          <w:color w:val="auto"/>
        </w:rPr>
      </w:pPr>
      <w:r>
        <w:rPr>
          <w:rFonts w:ascii="Arial" w:cs="Arial" w:eastAsia="Arial" w:hAnsi="Arial"/>
          <w:sz w:val="14"/>
          <w:szCs w:val="14"/>
          <w:color w:val="auto"/>
        </w:rPr>
        <w:t>A reconciliation of EBITDA to Net income (loss), the most directly comparable U.S. GAAP measure in our Accompanying Condensed Consolidated Financial Statements, is included in Results of Operations. For further information on our use of EBITDA, refer to the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discussion relates to our continuing operations for the nine months ended September 30, 2020 and 2019 unless otherwise stated.</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Services and other revenue. </w:t>
      </w:r>
      <w:r>
        <w:rPr>
          <w:rFonts w:ascii="Arial" w:cs="Arial" w:eastAsia="Arial" w:hAnsi="Arial"/>
          <w:sz w:val="18"/>
          <w:szCs w:val="18"/>
          <w:color w:val="auto"/>
        </w:rPr>
        <w:t>Services and other revenue totaled $1.3 billion for the nine months ended September 30, 2020,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$39.9 million, or 3.3%, as compared to 2019.</w:t>
      </w:r>
    </w:p>
    <w:p>
      <w:pPr>
        <w:spacing w:after="0" w:line="202" w:lineRule="exact"/>
        <w:rPr>
          <w:sz w:val="20"/>
          <w:szCs w:val="20"/>
          <w:color w:val="auto"/>
        </w:rPr>
      </w:pPr>
    </w:p>
    <w:p>
      <w:pPr>
        <w:jc w:val="both"/>
        <w:ind w:left="660" w:hanging="328"/>
        <w:spacing w:after="0" w:line="254" w:lineRule="auto"/>
        <w:tabs>
          <w:tab w:leader="none" w:pos="655" w:val="left"/>
        </w:tabs>
        <w:numPr>
          <w:ilvl w:val="0"/>
          <w:numId w:val="25"/>
        </w:numPr>
        <w:rPr>
          <w:rFonts w:ascii="Arial" w:cs="Arial" w:eastAsia="Arial" w:hAnsi="Arial"/>
          <w:sz w:val="18"/>
          <w:szCs w:val="18"/>
          <w:color w:val="auto"/>
          <w:highlight w:val="lightGray"/>
        </w:rPr>
      </w:pPr>
      <w:r>
        <w:rPr>
          <w:rFonts w:ascii="Arial" w:cs="Arial" w:eastAsia="Arial" w:hAnsi="Arial"/>
          <w:sz w:val="18"/>
          <w:szCs w:val="18"/>
          <w:color w:val="auto"/>
        </w:rPr>
        <w:t>Services and other revenue from our Hughes segment for the nine months ended September 30, 2020 increased by $45.9 million, or 3.9%, to $1.2 billion compared to 2019. The increase was primarily attributable to increases in sales of broadband services to our consumer customers of $77.0 million, partially offset by a decrease in sales of broadband services to our enterprise customers of $28.6 million. Both of these variances reflect the negative impact of exchange rate fluctuations.</w:t>
      </w:r>
    </w:p>
    <w:p>
      <w:pPr>
        <w:spacing w:after="0" w:line="230" w:lineRule="exact"/>
        <w:rPr>
          <w:rFonts w:ascii="Arial" w:cs="Arial" w:eastAsia="Arial" w:hAnsi="Arial"/>
          <w:sz w:val="18"/>
          <w:szCs w:val="18"/>
          <w:color w:val="auto"/>
          <w:highlight w:val="lightGray"/>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Services and other revenue from Corporate and Other for the nine months ended September 30, 2020 decreased by $7.3 million, or 51.1%, to $7.0 million compared to 2019, which was primarily attributable to a decrease in revenue from certain real estate previously leased to DISH Network and transferred as part of the BSS Transaction.</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$146.7 million for the nine months ended September 30, 2020,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$28.4 million, or 16.2%, as compared to 2019. The decrease was primarily attributable to: (i) $17.4 million related to the bankruptcy of a certain customer and (ii) $9.3 million decreased sales to our enterprise customers.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$432.8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$3.0 million, or 0.7%, as compared to 2019. The increase was primarily attributable to our Hughes segment due to an increase in sales of broadband services to our consumer customers, partially offset by a decrease in sales of broadband services to our enterprise customers.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$115.5 million for the nine months ended September 30, 2020,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$27.2 million, or 19.1%, as compared to 2019. The decrease was primarily attributable to the corresponding reduction in equipment revenue.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$354.4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 decrease of $29.5 million, or 7.7%, as compared to 2019. The decrease was primarily attributable to expenses related to the license fee dispute in India of $7.2 million in 2019 and a certain legal proceeding of $26.3 million in 2019, partially offset by increased general and administrative expenses of $1.3 million attributable to the Yahsat Brazil JV.</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$392.1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$30.5 million, or 8.4%, as compared to 2019. The increase was primarily due to increases in depreciation expense of $16.4 million relating to our customer premises equipment and $14.4 million relating to the depreciation of assets acquired in the Yahsat Brazil JV Transaction.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$33.7 million for the nine months ended September 30, 2020, a decrease of $31.1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48.0%, as compared to 2019, primarily attributable to decreases in the yield on our marketable investment securities.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$112.5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 decrease of $44.4 million, or 28.3%, as compared to 2019. The decrease was primarily due to a decrease of $ 29.0 million in interest expense and in amortization of deferred financing cost as a result of the repurchase and maturity in June 2019 of our 6 1/2% Senior Secured Notes due 2019, a decrease of $6.9 million of interest expense related to the license fee dispute in India, a decrease of $4.2 million related to a certain legal proceeding in 2019 and an increase of $4.4 million in capitalized interest in 2020 relating to the construction of the EchoStar XXIV satellite and its related infrastructure.</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were $ (37.8)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compared to $28.1 million for the nine months ended September 30, 2019,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decrease in gains of $65.9 million. The change was primarily attributable to $63.9 million of net negative variances on marketable investment securities compared to 2019.</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$5.9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loss for the nine months ended September 30, 2020, a decrease in losses of $8.5 million, or 59.0%, as compared to 2019. The decrease in losses was related to decreased losses from our investments in our equity method investees.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$2.6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2020, a decrease in losses of $ 11.9 million as compared to 2019. The change was due to the net weakening of the U.S. dollar against certain foreign currencies in 2020 compared to 2019.</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was $(6.3) million for the nine months ended September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$(12.6) million for the nine months ended September 30, 2019. Our effective income tax rate was (14.7)% and (28.2)% for the nine months ended September 30, 2020 and 2019, respectively. The variations in our effective tax rate from the U.S. federal statutory rate for the nine months ended September 30, 2020 were primarily due to the increase in our valuation allowance associated with certain foreign losses, permanent book tax differences and the impact of state and local taxes, partially offset by the change in net unrealized losses that are capital in nature and research and experimentation credits. The variations in our effective tax rate from the U.S. federal statutory rate for the nine months ended September 30, 2019 were primarily due to the change in net unrealized gains that are capital in nature and research and experimentation credits, partially offset by the impact of state and local taxes and the increase in our valuation allowance associated with certain foreign losses. Additionally, during the nine months ended September 30, 2019, we recorded additional tax expense of $2.0 million on deemed mandatory repatriation of certain deferred foreign earnings as the result of new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429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loss attributable to EchoStar Corporation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$40.3 million for the nine months ended September 30, 2020, as compared to net loss attributable to EchoStar Corporation common stock of $9.8 million for the nine months ended September 30, 2019, a change of $30.5 million as set forth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nine months ended September 30,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44,355</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including depreciation and amortization</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32,885</w:t>
            </w: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11,898</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provision,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net income from discontinued operations</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(46,223)</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(65,851)</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nine months ended September 30,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(40,267)</w:t>
            </w: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Net income (loss), the most directly comparable U.S. GAAP measure in our Accompanying Condensed Consolidated Financial Statements, to EBITDA: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nine months ended</w:t>
            </w:r>
          </w:p>
        </w:tc>
        <w:tc>
          <w:tcPr>
            <w:tcW w:w="240" w:type="dxa"/>
            <w:vAlign w:val="bottom"/>
          </w:tcPr>
          <w:p>
            <w:pPr>
              <w:spacing w:after="0"/>
              <w:rPr>
                <w:sz w:val="17"/>
                <w:szCs w:val="17"/>
                <w:color w:val="auto"/>
              </w:rPr>
            </w:pPr>
          </w:p>
        </w:tc>
        <w:tc>
          <w:tcPr>
            <w:tcW w:w="188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Income tax provision (benefit),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Net loss (income) from discontinued operations</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88"/>
        </w:trPr>
        <w:tc>
          <w:tcPr>
            <w:tcW w:w="4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loss (income) attributable to non-controlling</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46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436,870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80" w:hanging="72"/>
        <w:spacing w:after="0"/>
        <w:tabs>
          <w:tab w:leader="none" w:pos="80" w:val="left"/>
        </w:tabs>
        <w:numPr>
          <w:ilvl w:val="0"/>
          <w:numId w:val="26"/>
        </w:numPr>
        <w:rPr>
          <w:rFonts w:ascii="Arial" w:cs="Arial" w:eastAsia="Arial" w:hAnsi="Arial"/>
          <w:sz w:val="9"/>
          <w:szCs w:val="9"/>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$436.9 million for the nine months ended September 30, 2020, an increase of of $26.7 million, or 6.5%, as compared to 2019 as set forth in the following table:</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nine months ended September 30,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410,200</w:t>
            </w: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63,343</w:t>
            </w:r>
          </w:p>
        </w:tc>
      </w:tr>
      <w:tr>
        <w:trPr>
          <w:trHeight w:val="230"/>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r>
      <w:tr>
        <w:trPr>
          <w:trHeight w:val="229"/>
        </w:trPr>
        <w:tc>
          <w:tcPr>
            <w:tcW w:w="9000" w:type="dxa"/>
            <w:vAlign w:val="bottom"/>
          </w:tcPr>
          <w:p>
            <w:pPr>
              <w:ind w:left="20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8,451</w:t>
            </w:r>
          </w:p>
        </w:tc>
      </w:tr>
      <w:tr>
        <w:trPr>
          <w:trHeight w:val="230"/>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gains on investments,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(65,851)</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nine months ended September 30,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436,870</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nine months ended September 30, 2020 as compared to the nine months ended September 30, 2019. Capital expenditures in the table below are net of refunds and other receipts related to our property and equipment.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8"/>
                <w:szCs w:val="18"/>
                <w:color w:val="auto"/>
              </w:rPr>
            </w:pPr>
          </w:p>
        </w:tc>
        <w:tc>
          <w:tcPr>
            <w:tcW w:w="12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ESS</w:t>
            </w:r>
          </w:p>
        </w:tc>
        <w:tc>
          <w:tcPr>
            <w:tcW w:w="2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nine months ended September 30, 2020</w:t>
            </w: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1,378,416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13,233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1,398,634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295,041</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531,276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5,847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436,870</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For the nine months ended September 30, 2019</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1,387,075</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89,868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314,351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For the nine months ended</w:t>
            </w:r>
          </w:p>
        </w:tc>
        <w:tc>
          <w:tcPr>
            <w:tcW w:w="260" w:type="dxa"/>
            <w:vAlign w:val="bottom"/>
          </w:tcPr>
          <w:p>
            <w:pPr>
              <w:spacing w:after="0"/>
              <w:rPr>
                <w:sz w:val="24"/>
                <w:szCs w:val="24"/>
                <w:color w:val="auto"/>
              </w:rPr>
            </w:pPr>
          </w:p>
        </w:tc>
        <w:tc>
          <w:tcPr>
            <w:tcW w:w="188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1,378,416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263,844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531,276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was $1.4 billion for the nine months ended September 30, 2020 an increase of $17.5 million, or 1.3%, as compared to 2019. The increase was primarily due to increases of $77.0 million in sales of broadband services to our consumer customers, partially offset by decreased hardware sales of $28.4 million and decreased sales of broadband services to our enterprise customers of $28.6 million. These variances reflect the negative impact of exchange rate fluctuations.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were $263.8 million for the nine months ended September 30, 2020, an increase of $39.4 million, or 17.5%, as compared to 2019, primarily due to net increases in expenditures associated with our consumer business.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$ 531.3 million for the nine months ended September 30, 2020, an increase of $82.4 million, or 18.4%, as compared to 2019 as set forth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nine months ended September 30, 2019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60" w:type="dxa"/>
            <w:vAlign w:val="bottom"/>
            <w:gridSpan w:val="5"/>
          </w:tcPr>
          <w:p>
            <w:pPr>
              <w:ind w:left="18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67,620</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color w:val="auto"/>
              </w:rPr>
              <w:t>Increase (decrease) in foreign currency transaction gains, net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other, net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Increase (decrease) in gains on investments, net</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9"/>
              </w:rPr>
              <w:t>(398)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EBITDA for the nine months ended September 30, 2020</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531,276</w:t>
            </w:r>
          </w:p>
        </w:tc>
        <w:tc>
          <w:tcPr>
            <w:tcW w:w="0" w:type="dxa"/>
            <w:vAlign w:val="bottom"/>
          </w:tcPr>
          <w:p>
            <w:pPr>
              <w:spacing w:after="0"/>
              <w:rPr>
                <w:sz w:val="1"/>
                <w:szCs w:val="1"/>
                <w:color w:val="auto"/>
              </w:rPr>
            </w:pPr>
          </w:p>
        </w:tc>
      </w:tr>
      <w:tr>
        <w:trPr>
          <w:trHeight w:val="21"/>
        </w:trPr>
        <w:tc>
          <w:tcPr>
            <w:tcW w:w="48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rPr>
              <w:t>For the nine months ended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3"/>
            <w:vMerge w:val="restart"/>
          </w:tcPr>
          <w:p>
            <w:pPr>
              <w:jc w:val="right"/>
              <w:ind w:right="111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EBITDA</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1520" w:type="dxa"/>
            <w:vAlign w:val="bottom"/>
          </w:tcPr>
          <w:p>
            <w:pPr>
              <w:ind w:left="10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was $13.2 million for the nine months ended September 30, 2020, an increase of $1.4 million, or 11.5%, as compared to 2019, primarily due to an increase in transponder services provided to third parties.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EBITDA was $5.8 million for the nine months ended September 30, 2020, an increase of $0.8 million, or 16.8%, as compared to 2019, primarily due to the increase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For the nine months ended</w:t>
            </w:r>
          </w:p>
        </w:tc>
        <w:tc>
          <w:tcPr>
            <w:tcW w:w="240" w:type="dxa"/>
            <w:vAlign w:val="bottom"/>
          </w:tcPr>
          <w:p>
            <w:pPr>
              <w:spacing w:after="0"/>
              <w:rPr>
                <w:sz w:val="24"/>
                <w:szCs w:val="24"/>
                <w:color w:val="auto"/>
              </w:rPr>
            </w:pPr>
          </w:p>
        </w:tc>
        <w:tc>
          <w:tcPr>
            <w:tcW w:w="188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rPr>
              <w:t>14,283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color w:val="auto"/>
              </w:rPr>
              <w:t>89,868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(58,712)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8"/>
              </w:rPr>
              <w:t>(43,643)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80" w:hanging="72"/>
        <w:spacing w:after="0"/>
        <w:tabs>
          <w:tab w:leader="none" w:pos="80" w:val="left"/>
        </w:tabs>
        <w:numPr>
          <w:ilvl w:val="0"/>
          <w:numId w:val="27"/>
        </w:numPr>
        <w:rPr>
          <w:rFonts w:ascii="Arial" w:cs="Arial" w:eastAsia="Arial" w:hAnsi="Arial"/>
          <w:sz w:val="9"/>
          <w:szCs w:val="9"/>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was $7.0 million for the nine months ended September 30, 2020, a decrease of $7.3 million, or 51.1%, as compared to 2019 which was primarily attributable to a decrease in revenue from certain real estate previously leased to DISH Network and transferred as part of the BSS Transaction.</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Capital expenditures were $31.2 million for the nine months ended September 30, 2020 decreased by $58.7 million, or 65.3%, as compared to 2019, primarily due to a decrease in expenditures on the EchoStar XXIV satellite.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EBITDA was a loss of $100.3 million for the nine months ended September 30, 2020, an increase in loss of $56.6 million as compared to 2019 as set forth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(43,643)</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8,847</w:t>
            </w:r>
          </w:p>
        </w:tc>
      </w:tr>
      <w:tr>
        <w:trPr>
          <w:trHeight w:val="229"/>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r>
      <w:tr>
        <w:trPr>
          <w:trHeight w:val="230"/>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(66,428)</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2020 and December 31, 2019, our cash, cash equivalents and marketable investment securities totaled $2.5 billion and $2.5 billion, respectively, of which $2.0 billion and $0.9 billion, respectively, we held as marketable investment securities, consisting of various debt and equity instruments including corporate bonds, corporate equity securities, government bonds and mutual funds. We consider all liquid investments purchased with an original maturity of 90 days or less to be cash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discussion highlights our cash flow activities, which include results from continuing and discontinued operations, for the nine months ended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We typically reinvest the cash flow from operating activities in our business. For the nine months ended September 30, 2020, we reported net cash inflows from operating activities of $365.4 million, a decrease of $ 167.7 million, as compared to 2019. The decrease in cash inflows was primarily attributable to lower net income of $101.5 million, adjusted to exclude: (i)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(ii) </w:t>
      </w:r>
      <w:r>
        <w:rPr>
          <w:rFonts w:ascii="Arial" w:cs="Arial" w:eastAsia="Arial" w:hAnsi="Arial"/>
          <w:sz w:val="18"/>
          <w:szCs w:val="18"/>
          <w:i w:val="1"/>
          <w:iCs w:val="1"/>
          <w:color w:val="auto"/>
        </w:rPr>
        <w:t>Losses (gains) on</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net</w:t>
      </w:r>
      <w:r>
        <w:rPr>
          <w:rFonts w:ascii="Arial" w:cs="Arial" w:eastAsia="Arial" w:hAnsi="Arial"/>
          <w:sz w:val="18"/>
          <w:szCs w:val="18"/>
          <w:color w:val="auto"/>
        </w:rPr>
        <w:t>, (iii)</w:t>
      </w:r>
      <w:r>
        <w:rPr>
          <w:rFonts w:ascii="Arial" w:cs="Arial" w:eastAsia="Arial" w:hAnsi="Arial"/>
          <w:sz w:val="18"/>
          <w:szCs w:val="18"/>
          <w:i w:val="1"/>
          <w:iCs w:val="1"/>
          <w:color w:val="auto"/>
        </w:rPr>
        <w:t xml:space="preserve"> Equity in losses (earnings) of unconsolidated affiliates, net</w:t>
      </w:r>
      <w:r>
        <w:rPr>
          <w:rFonts w:ascii="Arial" w:cs="Arial" w:eastAsia="Arial" w:hAnsi="Arial"/>
          <w:sz w:val="18"/>
          <w:szCs w:val="18"/>
          <w:color w:val="auto"/>
        </w:rPr>
        <w:t>; (iv)</w:t>
      </w:r>
      <w:r>
        <w:rPr>
          <w:rFonts w:ascii="Arial" w:cs="Arial" w:eastAsia="Arial" w:hAnsi="Arial"/>
          <w:sz w:val="18"/>
          <w:szCs w:val="18"/>
          <w:i w:val="1"/>
          <w:iCs w:val="1"/>
          <w:color w:val="auto"/>
        </w:rPr>
        <w:t xml:space="preserve"> Foreign currency transaction losses (gains), net</w:t>
      </w:r>
      <w:r>
        <w:rPr>
          <w:rFonts w:ascii="Arial" w:cs="Arial" w:eastAsia="Arial" w:hAnsi="Arial"/>
          <w:sz w:val="18"/>
          <w:szCs w:val="18"/>
          <w:color w:val="auto"/>
        </w:rPr>
        <w:t>;</w:t>
      </w:r>
    </w:p>
    <w:p>
      <w:pPr>
        <w:spacing w:after="0" w:line="2" w:lineRule="exact"/>
        <w:rPr>
          <w:sz w:val="20"/>
          <w:szCs w:val="20"/>
          <w:color w:val="auto"/>
        </w:rPr>
      </w:pPr>
    </w:p>
    <w:p>
      <w:pPr>
        <w:jc w:val="both"/>
        <w:ind w:firstLine="8"/>
        <w:spacing w:after="0" w:line="256"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Deferred tax provision (benefit), net</w:t>
      </w:r>
      <w:r>
        <w:rPr>
          <w:rFonts w:ascii="Arial" w:cs="Arial" w:eastAsia="Arial" w:hAnsi="Arial"/>
          <w:sz w:val="18"/>
          <w:szCs w:val="18"/>
          <w:color w:val="auto"/>
        </w:rPr>
        <w:t>; (vi)</w:t>
      </w:r>
      <w:r>
        <w:rPr>
          <w:rFonts w:ascii="Arial" w:cs="Arial" w:eastAsia="Arial" w:hAnsi="Arial"/>
          <w:sz w:val="18"/>
          <w:szCs w:val="18"/>
          <w:i w:val="1"/>
          <w:iCs w:val="1"/>
          <w:color w:val="auto"/>
        </w:rPr>
        <w:t xml:space="preserve"> Stock-based compensation</w:t>
      </w:r>
      <w:r>
        <w:rPr>
          <w:rFonts w:ascii="Arial" w:cs="Arial" w:eastAsia="Arial" w:hAnsi="Arial"/>
          <w:sz w:val="18"/>
          <w:szCs w:val="18"/>
          <w:color w:val="auto"/>
        </w:rPr>
        <w:t>; (vii)</w:t>
      </w:r>
      <w:r>
        <w:rPr>
          <w:rFonts w:ascii="Arial" w:cs="Arial" w:eastAsia="Arial" w:hAnsi="Arial"/>
          <w:sz w:val="18"/>
          <w:szCs w:val="18"/>
          <w:i w:val="1"/>
          <w:iCs w:val="1"/>
          <w:color w:val="auto"/>
        </w:rPr>
        <w:t xml:space="preserve"> Amortization of debt issuance costs</w:t>
      </w:r>
      <w:r>
        <w:rPr>
          <w:rFonts w:ascii="Arial" w:cs="Arial" w:eastAsia="Arial" w:hAnsi="Arial"/>
          <w:sz w:val="18"/>
          <w:szCs w:val="18"/>
          <w:color w:val="auto"/>
        </w:rPr>
        <w:t>; and (viii)</w:t>
      </w:r>
      <w:r>
        <w:rPr>
          <w:rFonts w:ascii="Arial" w:cs="Arial" w:eastAsia="Arial" w:hAnsi="Arial"/>
          <w:sz w:val="18"/>
          <w:szCs w:val="18"/>
          <w:i w:val="1"/>
          <w:iCs w:val="1"/>
          <w:color w:val="auto"/>
        </w:rPr>
        <w:t xml:space="preserve"> Other, net.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cash inflows was also attributable to decreases of $66.2 million resulting from timing differences in operating assets and liabilities.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investing activities generally include purchases and sales of marketable investment securities, capital expenditures, acquisitions and strategic investments. For the nine months ended September 30, 2020, we reported net cash outflows from investing activities of $1.3 billion, a decrease in cash inflows of $2.3 billion compared to 2019.</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2020, we had net sales and maturities of marketable securities of $1.2 billion, partially offset by net purchases of marketable securities of $2.2 billion and expenditures for property and equipment of $295.0 million.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2019, we had net sales and maturities of marketable securities of $2.0 billion, partially offset by net purchases of marketable securities of $0.7 billion and expenditures for property and equipment of $314.9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financing activities generally include proceeds related to the issuance of debt and cash used for the repurchase, redemption or payment of debt and finance lease obligations, payments relating to stock and debt repurchases and the proceeds from Class A common stock options exercised and stock issued under our stock incentive plans and employee stock purchase plan.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September 30, 2020, we reported net cash inflows from financing activities of $16.5 million compared to net cash outflows of $890.0 million for the nine months ended September 30, 2019. Net cash inflows for the nine months ended September 30, 2020 included $14.3 million for the contribution by non-controlling interest holder and $8.1 million in net proceeds received from Class A common stock issued under the Employee Stock Purchase Plan, partially offset by our repurchase of $5.9 million of shares of our Class A common stock.</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outflows for the nine months ended September 30, 2019 included $920.9 million for the repurchasing and maturity of debt, $29.1 million for the payment of finance lease obligations and $7.3 million for the purchase of non-controlling shareholder interests in a subsidiary of ours that were held by an unaffiliated third party and $7.7 million in net proceeds received from Class A common stock issued under the Employee Stock Purchase Plan, partially offset by $64.1 million in net proceeds received from Class A common stock options exercised.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September 30, 2020, our satellite-related obligations were $391.0 million. These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4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904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September 30, 2020</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7"/>
        </w:trPr>
        <w:tc>
          <w:tcPr>
            <w:tcW w:w="9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3,956</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29,780</w:t>
            </w: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42,607</w:t>
            </w:r>
          </w:p>
        </w:tc>
      </w:tr>
      <w:tr>
        <w:trPr>
          <w:trHeight w:val="20"/>
        </w:trPr>
        <w:tc>
          <w:tcPr>
            <w:tcW w:w="9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As a result of the COVID-19 pandemic, in accordance with instructions received from some of our enterprise customers, we have deferred or canceled the delivery of some products or services. In the third quarter of 2020, we have realized the cash flow for services that have been provided and are no longer deferred. Our cash flow could be adversely impacted as a result of the prolonged effect of the COVID-19 pandemic on global activity. Furthermore, if we experience negative cash flows, our existing cash and marketable investment securities balances may be reduced.</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significant amount of outstanding indebtedness. As of September 30, 2020, our total long-term debt was $2.4 billion. Refer to our Form 10-K for a discussion of the terms of our long-term debt. Our liquidity requirements will be continue to be significant, primarily due to our remaining debt service requirements and the design and construction of our new EchoStar XXIV satellite. Our 7 5/8% Senior Unsecured Notes due 2021 (the “2021 Notes”) with an outstanding principal balance of $900.0 million mature and are due and payable in June 2021. We may from time to time seek to purchase amounts of our outstanding debt in open market purchases, privately negotiated transactions or otherwise, depending on market conditions, our liquidity needs and other factors. The amounts we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2020.</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anticipate that our existing cash and marketable investment securities are sufficient to repay our 2021 Notes that mature and are due and payable in June 2021 and to fund the currently anticipated operations of our business through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During the nine months ended September 30, 2020, we repurchased 196,999 shares of our common stock at an average price per share of $29.90 for a total purchase price of $5.9 million. During the nine months ended September 30, 2019, we did not repurchase any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critical accounting policies are those that involve a high degree of estimation, judgment and complexity. Our critical accounting policies are those related to (i) contingent liabilities, (ii) revenue recognition and (iii) impairment of assets.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critical accounting policies are described in our Form 10-K under the heading Part II - Item 7. Management’s Discussion and Analysis of Financial Condition and Results of Operations. There have been no significant changes in our critical accounting policies from those presented in our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For a discussion of new and recently issued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Accompanying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generally not affected by seasonal impacts.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above-described trends have been observed consistently in recent years, we cannot predict with any certainty whether they will continue in the near future as the economy and our customers react to the COVID-19 pandemic and experience associated disruptions and dislocations.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has not materially affected our operations during the past three years but we are unable to predict the extent or nature of any future inflationary pressure at this time. We believe that our ability to increase the prices charged for our products and services in future periods will depend primarily on competitive pressures or contractual terms. However, we may not be able to maintain pricing levels consistent with inflationary pressure on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4"/>
          <w:szCs w:val="14"/>
          <w:color w:val="auto"/>
        </w:rPr>
        <w:t>Cost of sales - services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includes the cost of broadband services provided to our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enterprise customers, maintenance and other contracted services, costs associated with satellite and transponder leases and services, professional services and facilities rental.</w:t>
      </w:r>
    </w:p>
    <w:p>
      <w:pPr>
        <w:spacing w:after="0" w:line="171"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b w:val="1"/>
          <w:bCs w:val="1"/>
          <w:i w:val="1"/>
          <w:iCs w:val="1"/>
          <w:color w:val="auto"/>
        </w:rPr>
        <w:t>Cost of sales - equipment</w:t>
      </w:r>
      <w:r>
        <w:rPr>
          <w:rFonts w:ascii="Arial" w:cs="Arial" w:eastAsia="Arial" w:hAnsi="Arial"/>
          <w:sz w:val="17"/>
          <w:szCs w:val="17"/>
          <w:color w:val="auto"/>
        </w:rPr>
        <w:t>. Cost of sales - equipment consists primarily of the cost of broadband equipment and networks sold to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our consumer and enterprise markets. It also includes certain other costs associated with the deployment of equipment to our customers.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human resources and other services and stock-based compensation expense). It also includes professional fees (e.g. legal, information systems and accounting services), other expenses associated with facilities and administrative services and credit losses, which include customer related estimated credit losses and estimated credit losses on non-current receivables.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 offset by estimated credit losses on our other debt investments.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debt securities, realized gains and losses on the sale or exchange of other equity investments and other debt investments without readily determinable fair value, adjustments to the carrying amount of investments in unconsolidated affiliates and marketable equity securities resulting from impairments and observable price changes and estimated credit losses.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Condensed Consolidated Statements of Operations in our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both"/>
        <w:ind w:left="980" w:right="2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 CONTINUED</w:t>
      </w: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income (loss) from discontinued operations</w:t>
      </w:r>
      <w:r>
        <w:rPr>
          <w:rFonts w:ascii="Arial" w:cs="Arial" w:eastAsia="Arial" w:hAnsi="Arial"/>
          <w:sz w:val="16"/>
          <w:szCs w:val="16"/>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(loss) from discontinued operations includes the financial results of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transferred in the BSS Transaction, except for certain real estate that transferred in the transaction.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defined as Net income (loss) excluding Interest income, net, Interest expense, net of amounts capitalized,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(provision), net, Depreciation 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September 30, 2020, other than as explained below, our market risk has not changed materially from those presented in our Form 10-K.</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consummated the Yahsat Brazil JV Transaction. As a result, we are reviewing the internal controls of the business we acquired from Yahsat in the Yahsat Brazil JV Transaction and we may make appropriate changes as deemed necessary.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Except as noted above, there has been no change in our internal control over financial reporting (as defined in Rule 13a-15(f) and Rule 15d-15(f) under the Exchange Act) that occurred during the nine months ended September 30, 2020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w:t>
      </w:r>
      <w:r>
        <w:rPr>
          <w:rFonts w:ascii="Arial" w:cs="Arial" w:eastAsia="Arial" w:hAnsi="Arial"/>
          <w:sz w:val="18"/>
          <w:szCs w:val="18"/>
          <w:color w:val="auto"/>
        </w:rPr>
        <w:t xml:space="preserve">e </w:t>
      </w:r>
      <w:r>
        <w:rPr>
          <w:rFonts w:ascii="Arial" w:cs="Arial" w:eastAsia="Arial" w:hAnsi="Arial"/>
          <w:sz w:val="18"/>
          <w:szCs w:val="18"/>
          <w:i w:val="1"/>
          <w:iCs w:val="1"/>
          <w:color w:val="auto"/>
        </w:rPr>
        <w:t>13</w:t>
      </w:r>
      <w:r>
        <w:rPr>
          <w:rFonts w:ascii="Arial" w:cs="Arial" w:eastAsia="Arial" w:hAnsi="Arial"/>
          <w:sz w:val="18"/>
          <w:szCs w:val="18"/>
          <w:color w:val="auto"/>
        </w:rPr>
        <w:t>. Contingenci</w:t>
      </w:r>
      <w:r>
        <w:rPr>
          <w:rFonts w:ascii="Arial" w:cs="Arial" w:eastAsia="Arial" w:hAnsi="Arial"/>
          <w:sz w:val="18"/>
          <w:szCs w:val="18"/>
          <w:i w:val="1"/>
          <w:iCs w:val="1"/>
          <w:color w:val="auto"/>
        </w:rPr>
        <w:t>es</w:t>
      </w:r>
      <w:r>
        <w:rPr>
          <w:rFonts w:ascii="Arial" w:cs="Arial" w:eastAsia="Arial" w:hAnsi="Arial"/>
          <w:sz w:val="18"/>
          <w:szCs w:val="18"/>
          <w:color w:val="auto"/>
        </w:rPr>
        <w:t xml:space="preserve"> — Litigation in this Form 10-Q.</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updates, and should be read in conjunction with, the information in Part I, Item 1A, Risk Factors, of our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COVID-19 pandemic, its economic impacts and related government and private sector responsive actions could have a material adverse effect our business operations. As a result of the COVID-19 pandemic, many countries, including the U.S., and other governmental authorities have imposed restrictions on travel, as well as general movement and gathering restrictions, business closures and other measures imposed to slow the spread of COVID-19.</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We have set forth below key risks from the COVID-19 pandemic that we have identified to date. The situation continues to develop, however, and it is impossible to predict the effect and ultimate impact of the COVID-19 pandemic on our business, financial condition or results of operations. We cannot estimate or determine the duration of the quarantine, social distancing and other regulatory measures instituted or recommended in response to the COVID-19 pandemic, whether they will recur or the duration or degree of the business disruptions, and related financial impact. The COVID-19 pandemic has evolved into a worldwide health crisis that may continue for an extended period of time and that has adversely affected economies and financial markets throughout the world, resulting in a significant economic downturn and changes in global economic policy that is expected to continue for the foreseeable future and could have a material adverse effect on our business, financial condition or results of operations.</w:t>
      </w:r>
    </w:p>
    <w:p>
      <w:pPr>
        <w:spacing w:after="0" w:line="208"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b w:val="1"/>
          <w:bCs w:val="1"/>
          <w:color w:val="auto"/>
        </w:rPr>
        <w:t>Our operations and those of our customers and other third parties with whom we conduct business are located in areas impacted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 and those operations have been, and may continue to be, adversely affected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 our product development, manufacturing, installation and customer support and services in areas where, in order to attempt to mitigate the COVID-19 pandemic, (a) states of emergency related to the spread of COVID-19 have been declared and (b) various levels of “shelter-in-place” or “safer-at-home” orders have been issued, which (i) direct individuals living in those locations to shelter at their places of residence (subject to limited exceptions), (ii) direct businesses and governmental agencies to cease or limit non-essential operations at physical locations, (iii) limit the number of employees that may be present in a particular location; (iv) prohibit or limit non-essential gatherings of various number of individuals, and (v) order cessation of non-essential travel. The effects of the COVID-19 pandemic and the actions from applicable governmental authorities has negatively impacted productivity, increased cybersecurity risks as a large portion of our workforce has been working remotely, disrupted our and our customers’, suppliers’, vendors’ and other business partners’ and investees’ businesses and finances, delayed regulatory and other timelines, and delayed the manufacture and deployment of our satellites. Additionally, some regulatory bodies have furloughed employees, reduced activities and temporarily closed their offices. Such measures may materially delay the review and/or approval of licenses or authorizations we need to operate our business. The magnitude of these impacts will depend, in part, on the length and severity of the pandemic, associated restrictions and resulting economic and financial consequences and other limitations and impediments on the conduct of business in the ordinary course.</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Extended periods of interruption to our corporate, development or manufacturing facilities due to the COVID-19 pandemic could cause us to lose revenue, which would depress our financial performance and could be difficult to recapture. Our business may also be harmed if travel continues to be restricted or inadvisable or if members of management and other employees are unable to work because they contract COVID-19, they elect not to come to work due to the illness affecting others in our office or other facilities, or they are subject to quarantines or other governmentally imposed restrictions. Additionally, many of our subscribers are working remotely or engaging in distance learning. These activities have increased the usage on our HughesNet service so that there is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little or no capacity remaining for subscriber growth in our most popular geographic areas. In addition, the limitation on capacity may result in our subscribers experiencing slower speeds. This, in turn, could result in higher churn and may negatively affect our financial results.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 portion of the expected sales of our products or services have been, and additional sales may be, delayed or canceled as a result of effects of the COVID-19 pandemic on the operations of our customers.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customers’ business operations have been, and are continuing to be, subject to business interruptions arising from the COVID-19 pandemic. Due to the downturn in financial markets arising from the COVID-19 pandemic, a number of our current enterprise customers are facing uncertain futures and certain of these customers have filed for bankruptcy protection, which has negatively impacted our revenue and cash flow. When enterprise customers fail or seek reorganization under the bankruptcy laws, we may be obliged to provide satellite capacity for which we are not being paid. Further, the COVID-19 pandemic has resulted in increased unemployment, which could result in reduced demand and increased inability to pay from our consumer customers. Any resulting financial impact cannot be reasonably estimated at this time but may materially affect our subscriber numbers, business, financial condition, results of operations, and cash flows. We are diligently working to ensure that we can operate with minimal disruption and address potential business interruptions on ourselves and our customers. However, the full extent to which the COVID-19 pandemic could affect the global economy and our business will depend on future developments and factors that cannot be predicted and there can be no assurance that the COVID-19 pandemic will not result in further delays, or possibly reductions, in our recognition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supply chain may be materially adversely impacted due to the COVID-19 pandemic.</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upon the facilities of our domestic and foreign suppliers to support our business. The COVID-19 pandemic has resulted in significant governmental measures in many countries being implemented to control the spread of COVID-19, including restrictions on manufacturing and the movement of employees. As a result, our suppliers may not have the materials, capacity, or capability to supply our components according to our schedule and specifications. Further, there may be logistics issues, including our ability and our supply chain’s ability to quickly ramp up production, and transportation demands that may cause further delays.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The duration of the disruptions and restrictions on the ability to travel, quarantines and temporary closures of the facilities of our suppliers, as well as general limitations on movement in the region, are unknown and they may recur and the duration of the production and supply chain disruption, and related financial impact, cannot be estimated at this time. Should the production and distribution closures continue for an extended period of time or recur, the impact on our supply chain could have a material adverse effect on our results of operations and cash flows. Business disruptions could also negatively affect the sources and availability of components and materials that are essential to the operation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could negatively impact our planned or potential strategic initiatives.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strategy includes a number of plans to support the growth of our core businesses, including continuing to selectively explore opportunities to pursue investments, commercial alliances, partnerships, joint ventures, acquisitions, dispositions and other strategic initiatives and transactions, domestically and internationally. The extent to which the COVID-19 pandemic impacts these potential strategic initiatives will depend on future developments that are highly uncertain. If the disruptions posed by the COVID -19 pandemic and related government measures, economic downturns or other matters of global concern continue for an extensive period of time or recur, our ability to pursue and consummate planned or potential strategic initiatives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through December 31, 2020. During the year ended December 31, 2019, we did not repurchase any common stock.</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September 30, 2020:</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7"/>
                <w:szCs w:val="17"/>
                <w:color w:val="auto"/>
              </w:rPr>
            </w:pPr>
          </w:p>
        </w:tc>
        <w:tc>
          <w:tcPr>
            <w:tcW w:w="20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Maximum Number (or</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rPr>
              <w:t>(or Units) Purchased As</w:t>
            </w:r>
          </w:p>
        </w:tc>
        <w:tc>
          <w:tcPr>
            <w:tcW w:w="120" w:type="dxa"/>
            <w:vAlign w:val="bottom"/>
          </w:tcPr>
          <w:p>
            <w:pPr>
              <w:spacing w:after="0"/>
              <w:rPr>
                <w:sz w:val="15"/>
                <w:szCs w:val="15"/>
                <w:color w:val="auto"/>
              </w:rPr>
            </w:pPr>
          </w:p>
        </w:tc>
        <w:tc>
          <w:tcPr>
            <w:tcW w:w="20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Value) of Shares (or</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 Number of Shares</w:t>
            </w:r>
          </w:p>
        </w:tc>
        <w:tc>
          <w:tcPr>
            <w:tcW w:w="224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Average Price Paid Per</w:t>
            </w:r>
          </w:p>
        </w:tc>
        <w:tc>
          <w:tcPr>
            <w:tcW w:w="2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5"/>
                <w:szCs w:val="15"/>
                <w:color w:val="auto"/>
              </w:rPr>
            </w:pPr>
          </w:p>
        </w:tc>
        <w:tc>
          <w:tcPr>
            <w:tcW w:w="20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Units) That May Yet Be</w:t>
            </w:r>
          </w:p>
        </w:tc>
        <w:tc>
          <w:tcPr>
            <w:tcW w:w="0" w:type="dxa"/>
            <w:vAlign w:val="bottom"/>
          </w:tcPr>
          <w:p>
            <w:pPr>
              <w:spacing w:after="0"/>
              <w:rPr>
                <w:sz w:val="1"/>
                <w:szCs w:val="1"/>
                <w:color w:val="auto"/>
              </w:rPr>
            </w:pPr>
          </w:p>
        </w:tc>
      </w:tr>
      <w:tr>
        <w:trPr>
          <w:trHeight w:val="175"/>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2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Announced Plans or</w:t>
            </w:r>
          </w:p>
        </w:tc>
        <w:tc>
          <w:tcPr>
            <w:tcW w:w="120" w:type="dxa"/>
            <w:vAlign w:val="bottom"/>
          </w:tcPr>
          <w:p>
            <w:pPr>
              <w:spacing w:after="0"/>
              <w:rPr>
                <w:sz w:val="15"/>
                <w:szCs w:val="15"/>
                <w:color w:val="auto"/>
              </w:rPr>
            </w:pPr>
          </w:p>
        </w:tc>
        <w:tc>
          <w:tcPr>
            <w:tcW w:w="2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(Or Units) Purchased</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 (or Unit)</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b w:val="1"/>
                <w:bCs w:val="1"/>
                <w:color w:val="auto"/>
                <w:w w:val="96"/>
              </w:rPr>
              <w:t xml:space="preserve">Plans or Program </w:t>
            </w:r>
            <w:r>
              <w:rPr>
                <w:rFonts w:ascii="Arial" w:cs="Arial" w:eastAsia="Arial" w:hAnsi="Arial"/>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1 - 31</w:t>
            </w:r>
          </w:p>
        </w:tc>
        <w:tc>
          <w:tcPr>
            <w:tcW w:w="22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August 1 - 31</w:t>
            </w: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1 - 30</w:t>
            </w:r>
          </w:p>
        </w:tc>
        <w:tc>
          <w:tcPr>
            <w:tcW w:w="214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44" w:lineRule="auto"/>
        <w:tabs>
          <w:tab w:leader="none" w:pos="170" w:val="left"/>
        </w:tabs>
        <w:numPr>
          <w:ilvl w:val="0"/>
          <w:numId w:val="29"/>
        </w:numPr>
        <w:rPr>
          <w:rFonts w:ascii="Arial" w:cs="Arial" w:eastAsia="Arial" w:hAnsi="Arial"/>
          <w:sz w:val="9"/>
          <w:szCs w:val="9"/>
          <w:color w:val="auto"/>
        </w:rPr>
      </w:pPr>
      <w:r>
        <w:rPr>
          <w:rFonts w:ascii="Arial" w:cs="Arial" w:eastAsia="Arial" w:hAnsi="Arial"/>
          <w:sz w:val="14"/>
          <w:szCs w:val="14"/>
          <w:color w:val="auto"/>
        </w:rPr>
        <w:t>On October 29, 2019, our Board of Directors authorized us to repurchase up to $500 million of our Class A common stock through and including December 31, 2020. On October 29, 2020, our Board of Directors terminated its prior authorization and authorized us to repurchase, pursuant to its new authorization,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above have been converted to treasury shares.</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and including December 31, 2020. On October 29, 2020, our Board of Directors terminated its prior authorization and authorized us to repurchase, pursuant to its new authorization,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this program and we may also enter into additional share repurchase programs authorized by our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5, 2020, we issued a press release (the “Press Release”) announcing our financial results for the quarter ended September 30, 2020. A copy of the Press Release is furnished herewith as Exhibit 99.1. The foregoing information, including the exhibits related thereto, are furnished in response to Item 2.02 of Form 8-K and shall not be deemed filed for the purposes of Section 18 of the Securities Exchange Act of 1934, as amended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1700" w:type="dxa"/>
            <w:vAlign w:val="bottom"/>
            <w:gridSpan w:val="3"/>
          </w:tcPr>
          <w:p>
            <w:pPr>
              <w:jc w:val="center"/>
              <w:ind w:right="300"/>
              <w:spacing w:after="0"/>
              <w:rPr>
                <w:rFonts w:ascii="Arial" w:cs="Arial" w:eastAsia="Arial" w:hAnsi="Arial"/>
                <w:sz w:val="18"/>
                <w:szCs w:val="18"/>
                <w:u w:val="single" w:color="auto"/>
                <w:color w:val="0000FF"/>
                <w:w w:val="98"/>
              </w:rPr>
            </w:pPr>
            <w:hyperlink w:anchor="page1">
              <w:r>
                <w:rPr>
                  <w:rFonts w:ascii="Arial" w:cs="Arial" w:eastAsia="Arial" w:hAnsi="Arial"/>
                  <w:sz w:val="18"/>
                  <w:szCs w:val="18"/>
                  <w:u w:val="single" w:color="auto"/>
                  <w:color w:val="0000FF"/>
                  <w:w w:val="98"/>
                </w:rPr>
                <w:t>Table of Contents</w:t>
              </w:r>
            </w:hyperlink>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69"/>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5"/>
          </w:tcPr>
          <w:p>
            <w:pPr>
              <w:ind w:left="1960"/>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60" w:type="dxa"/>
            <w:vAlign w:val="bottom"/>
          </w:tcPr>
          <w:p>
            <w:pPr>
              <w:spacing w:after="0"/>
              <w:rPr>
                <w:sz w:val="15"/>
                <w:szCs w:val="15"/>
                <w:color w:val="auto"/>
              </w:rPr>
            </w:pPr>
          </w:p>
        </w:tc>
        <w:tc>
          <w:tcPr>
            <w:tcW w:w="1540" w:type="dxa"/>
            <w:vAlign w:val="bottom"/>
            <w:gridSpan w:val="2"/>
          </w:tcPr>
          <w:p>
            <w:pPr>
              <w:jc w:val="center"/>
              <w:ind w:right="420"/>
              <w:spacing w:after="0" w:line="182" w:lineRule="exact"/>
              <w:rPr>
                <w:rFonts w:ascii="Arial" w:cs="Arial" w:eastAsia="Arial" w:hAnsi="Arial"/>
                <w:sz w:val="18"/>
                <w:szCs w:val="18"/>
                <w:u w:val="single" w:color="auto"/>
                <w:color w:val="0000FF"/>
                <w:w w:val="99"/>
              </w:rPr>
            </w:pPr>
            <w:hyperlink w:anchor="page82">
              <w:r>
                <w:rPr>
                  <w:rFonts w:ascii="Arial" w:cs="Arial" w:eastAsia="Arial" w:hAnsi="Arial"/>
                  <w:sz w:val="18"/>
                  <w:szCs w:val="18"/>
                  <w:u w:val="single" w:color="auto"/>
                  <w:color w:val="0000FF"/>
                  <w:w w:val="99"/>
                </w:rPr>
                <w:t>10.1(H)</w:t>
              </w:r>
            </w:hyperlink>
          </w:p>
        </w:tc>
        <w:tc>
          <w:tcPr>
            <w:tcW w:w="20" w:type="dxa"/>
            <w:vAlign w:val="bottom"/>
          </w:tcPr>
          <w:p>
            <w:pPr>
              <w:spacing w:after="0"/>
              <w:rPr>
                <w:sz w:val="15"/>
                <w:szCs w:val="15"/>
                <w:color w:val="auto"/>
              </w:rPr>
            </w:pPr>
          </w:p>
        </w:tc>
        <w:tc>
          <w:tcPr>
            <w:tcW w:w="8100" w:type="dxa"/>
            <w:vAlign w:val="bottom"/>
            <w:gridSpan w:val="7"/>
          </w:tcPr>
          <w:p>
            <w:pPr>
              <w:spacing w:after="0" w:line="182" w:lineRule="exact"/>
              <w:rPr>
                <w:rFonts w:ascii="Arial" w:cs="Arial" w:eastAsia="Arial" w:hAnsi="Arial"/>
                <w:sz w:val="18"/>
                <w:szCs w:val="18"/>
                <w:color w:val="0000FF"/>
              </w:rPr>
            </w:pPr>
            <w:hyperlink w:anchor="page82">
              <w:r>
                <w:rPr>
                  <w:rFonts w:ascii="Arial" w:cs="Arial" w:eastAsia="Arial" w:hAnsi="Arial"/>
                  <w:sz w:val="18"/>
                  <w:szCs w:val="18"/>
                  <w:color w:val="0000FF"/>
                </w:rPr>
                <w:t>Amendment to EchoStar Non-Qualified Plan -- Executive Plan and Adoption Agreement, dated</w:t>
              </w:r>
            </w:hyperlink>
          </w:p>
        </w:tc>
      </w:tr>
      <w:tr>
        <w:trPr>
          <w:trHeight w:val="156"/>
        </w:trPr>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82">
              <w:r>
                <w:rPr>
                  <w:rFonts w:ascii="Arial" w:cs="Arial" w:eastAsia="Arial" w:hAnsi="Arial"/>
                  <w:sz w:val="18"/>
                  <w:szCs w:val="18"/>
                  <w:color w:val="0000FF"/>
                  <w:w w:val="98"/>
                </w:rPr>
                <w:t>October 21, 2019.**</w:t>
              </w:r>
            </w:hyperlink>
          </w:p>
        </w:tc>
        <w:tc>
          <w:tcPr>
            <w:tcW w:w="5940" w:type="dxa"/>
            <w:vAlign w:val="bottom"/>
            <w:tcBorders>
              <w:top w:val="single" w:sz="8" w:color="0000FF"/>
            </w:tcBorders>
            <w:gridSpan w:val="2"/>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60" w:type="dxa"/>
            <w:vAlign w:val="bottom"/>
          </w:tcPr>
          <w:p>
            <w:pPr>
              <w:spacing w:after="0"/>
              <w:rPr>
                <w:sz w:val="18"/>
                <w:szCs w:val="18"/>
                <w:color w:val="auto"/>
              </w:rPr>
            </w:pPr>
          </w:p>
        </w:tc>
        <w:tc>
          <w:tcPr>
            <w:tcW w:w="1540" w:type="dxa"/>
            <w:vAlign w:val="bottom"/>
            <w:gridSpan w:val="2"/>
          </w:tcPr>
          <w:p>
            <w:pPr>
              <w:jc w:val="center"/>
              <w:ind w:right="420"/>
              <w:spacing w:after="0"/>
              <w:rPr>
                <w:rFonts w:ascii="Arial" w:cs="Arial" w:eastAsia="Arial" w:hAnsi="Arial"/>
                <w:sz w:val="18"/>
                <w:szCs w:val="18"/>
                <w:u w:val="single" w:color="auto"/>
                <w:color w:val="0000FF"/>
                <w:w w:val="99"/>
              </w:rPr>
            </w:pPr>
            <w:hyperlink w:anchor="page88">
              <w:r>
                <w:rPr>
                  <w:rFonts w:ascii="Arial" w:cs="Arial" w:eastAsia="Arial" w:hAnsi="Arial"/>
                  <w:sz w:val="18"/>
                  <w:szCs w:val="18"/>
                  <w:u w:val="single" w:color="auto"/>
                  <w:color w:val="0000FF"/>
                  <w:w w:val="99"/>
                </w:rPr>
                <w:t>10.2(H)</w:t>
              </w:r>
            </w:hyperlink>
          </w:p>
        </w:tc>
        <w:tc>
          <w:tcPr>
            <w:tcW w:w="20" w:type="dxa"/>
            <w:vAlign w:val="bottom"/>
          </w:tcPr>
          <w:p>
            <w:pPr>
              <w:spacing w:after="0"/>
              <w:rPr>
                <w:sz w:val="18"/>
                <w:szCs w:val="18"/>
                <w:color w:val="auto"/>
              </w:rPr>
            </w:pPr>
          </w:p>
        </w:tc>
        <w:tc>
          <w:tcPr>
            <w:tcW w:w="8100" w:type="dxa"/>
            <w:vAlign w:val="bottom"/>
            <w:gridSpan w:val="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Amendment No. 1 to Contract between EchoStar XXIV L.L.C. and Space Systems/Loral, LLC for the</w:t>
              </w:r>
            </w:hyperlink>
          </w:p>
        </w:tc>
      </w:tr>
      <w:tr>
        <w:trPr>
          <w:trHeight w:val="156"/>
        </w:trPr>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Jupiter 3 Satellite Program, dated October 1, 2018.***</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60" w:type="dxa"/>
            <w:vAlign w:val="bottom"/>
          </w:tcPr>
          <w:p>
            <w:pPr>
              <w:spacing w:after="0"/>
              <w:rPr>
                <w:sz w:val="21"/>
                <w:szCs w:val="21"/>
                <w:color w:val="auto"/>
              </w:rPr>
            </w:pPr>
          </w:p>
        </w:tc>
        <w:tc>
          <w:tcPr>
            <w:tcW w:w="1540" w:type="dxa"/>
            <w:vAlign w:val="bottom"/>
            <w:gridSpan w:val="2"/>
          </w:tcPr>
          <w:p>
            <w:pPr>
              <w:jc w:val="center"/>
              <w:ind w:right="420"/>
              <w:spacing w:after="0"/>
              <w:rPr>
                <w:rFonts w:ascii="Arial" w:cs="Arial" w:eastAsia="Arial" w:hAnsi="Arial"/>
                <w:sz w:val="18"/>
                <w:szCs w:val="18"/>
                <w:u w:val="single" w:color="auto"/>
                <w:color w:val="0000FF"/>
                <w:w w:val="99"/>
              </w:rPr>
            </w:pPr>
            <w:hyperlink w:anchor="page91">
              <w:r>
                <w:rPr>
                  <w:rFonts w:ascii="Arial" w:cs="Arial" w:eastAsia="Arial" w:hAnsi="Arial"/>
                  <w:sz w:val="18"/>
                  <w:szCs w:val="18"/>
                  <w:u w:val="single" w:color="auto"/>
                  <w:color w:val="0000FF"/>
                  <w:w w:val="99"/>
                </w:rPr>
                <w:t>31.1(H)</w:t>
              </w:r>
            </w:hyperlink>
          </w:p>
        </w:tc>
        <w:tc>
          <w:tcPr>
            <w:tcW w:w="20" w:type="dxa"/>
            <w:vAlign w:val="bottom"/>
          </w:tcPr>
          <w:p>
            <w:pPr>
              <w:spacing w:after="0"/>
              <w:rPr>
                <w:sz w:val="21"/>
                <w:szCs w:val="21"/>
                <w:color w:val="auto"/>
              </w:rPr>
            </w:pPr>
          </w:p>
        </w:tc>
        <w:tc>
          <w:tcPr>
            <w:tcW w:w="426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Section 302 Certification of Chief Executive Officer.</w:t>
              </w:r>
            </w:hyperlink>
          </w:p>
        </w:tc>
        <w:tc>
          <w:tcPr>
            <w:tcW w:w="3840" w:type="dxa"/>
            <w:vAlign w:val="bottom"/>
            <w:gridSpan w:val="4"/>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1540" w:type="dxa"/>
            <w:vAlign w:val="bottom"/>
            <w:gridSpan w:val="2"/>
          </w:tcPr>
          <w:p>
            <w:pPr>
              <w:jc w:val="center"/>
              <w:ind w:right="420"/>
              <w:spacing w:after="0"/>
              <w:rPr>
                <w:rFonts w:ascii="Arial" w:cs="Arial" w:eastAsia="Arial" w:hAnsi="Arial"/>
                <w:sz w:val="18"/>
                <w:szCs w:val="18"/>
                <w:u w:val="single" w:color="auto"/>
                <w:color w:val="0000FF"/>
                <w:w w:val="99"/>
              </w:rPr>
            </w:pPr>
            <w:hyperlink w:anchor="page92">
              <w:r>
                <w:rPr>
                  <w:rFonts w:ascii="Arial" w:cs="Arial" w:eastAsia="Arial" w:hAnsi="Arial"/>
                  <w:sz w:val="18"/>
                  <w:szCs w:val="18"/>
                  <w:u w:val="single" w:color="auto"/>
                  <w:color w:val="0000FF"/>
                  <w:w w:val="99"/>
                </w:rPr>
                <w:t>31.2(H)</w:t>
              </w:r>
            </w:hyperlink>
          </w:p>
        </w:tc>
        <w:tc>
          <w:tcPr>
            <w:tcW w:w="20" w:type="dxa"/>
            <w:vAlign w:val="bottom"/>
          </w:tcPr>
          <w:p>
            <w:pPr>
              <w:spacing w:after="0"/>
              <w:rPr>
                <w:sz w:val="19"/>
                <w:szCs w:val="19"/>
                <w:color w:val="auto"/>
              </w:rPr>
            </w:pPr>
          </w:p>
        </w:tc>
        <w:tc>
          <w:tcPr>
            <w:tcW w:w="8100" w:type="dxa"/>
            <w:vAlign w:val="bottom"/>
            <w:gridSpan w:val="7"/>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Section 302 Certification of Chief Financial Officer.</w:t>
              </w:r>
            </w:hyperlink>
          </w:p>
        </w:tc>
      </w:tr>
      <w:tr>
        <w:trPr>
          <w:trHeight w:val="230"/>
        </w:trPr>
        <w:tc>
          <w:tcPr>
            <w:tcW w:w="160" w:type="dxa"/>
            <w:vAlign w:val="bottom"/>
          </w:tcPr>
          <w:p>
            <w:pPr>
              <w:spacing w:after="0"/>
              <w:rPr>
                <w:sz w:val="19"/>
                <w:szCs w:val="19"/>
                <w:color w:val="auto"/>
              </w:rPr>
            </w:pPr>
          </w:p>
        </w:tc>
        <w:tc>
          <w:tcPr>
            <w:tcW w:w="1540" w:type="dxa"/>
            <w:vAlign w:val="bottom"/>
            <w:gridSpan w:val="2"/>
          </w:tcPr>
          <w:p>
            <w:pPr>
              <w:jc w:val="center"/>
              <w:ind w:right="420"/>
              <w:spacing w:after="0"/>
              <w:rPr>
                <w:rFonts w:ascii="Arial" w:cs="Arial" w:eastAsia="Arial" w:hAnsi="Arial"/>
                <w:sz w:val="18"/>
                <w:szCs w:val="18"/>
                <w:u w:val="single" w:color="auto"/>
                <w:color w:val="0000FF"/>
                <w:w w:val="99"/>
              </w:rPr>
            </w:pPr>
            <w:hyperlink w:anchor="page93">
              <w:r>
                <w:rPr>
                  <w:rFonts w:ascii="Arial" w:cs="Arial" w:eastAsia="Arial" w:hAnsi="Arial"/>
                  <w:sz w:val="18"/>
                  <w:szCs w:val="18"/>
                  <w:u w:val="single" w:color="auto"/>
                  <w:color w:val="0000FF"/>
                  <w:w w:val="99"/>
                </w:rPr>
                <w:t>32.1(I)</w:t>
              </w:r>
            </w:hyperlink>
          </w:p>
        </w:tc>
        <w:tc>
          <w:tcPr>
            <w:tcW w:w="20" w:type="dxa"/>
            <w:vAlign w:val="bottom"/>
          </w:tcPr>
          <w:p>
            <w:pPr>
              <w:spacing w:after="0"/>
              <w:rPr>
                <w:sz w:val="19"/>
                <w:szCs w:val="19"/>
                <w:color w:val="auto"/>
              </w:rPr>
            </w:pPr>
          </w:p>
        </w:tc>
        <w:tc>
          <w:tcPr>
            <w:tcW w:w="8100" w:type="dxa"/>
            <w:vAlign w:val="bottom"/>
            <w:gridSpan w:val="7"/>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Section 906 Certifications of Chief Executive Officer and Chief Financial Officer.</w:t>
              </w:r>
            </w:hyperlink>
          </w:p>
        </w:tc>
      </w:tr>
      <w:tr>
        <w:trPr>
          <w:trHeight w:val="189"/>
        </w:trPr>
        <w:tc>
          <w:tcPr>
            <w:tcW w:w="160" w:type="dxa"/>
            <w:vAlign w:val="bottom"/>
          </w:tcPr>
          <w:p>
            <w:pPr>
              <w:spacing w:after="0"/>
              <w:rPr>
                <w:sz w:val="16"/>
                <w:szCs w:val="16"/>
                <w:color w:val="auto"/>
              </w:rPr>
            </w:pPr>
          </w:p>
        </w:tc>
        <w:tc>
          <w:tcPr>
            <w:tcW w:w="1540" w:type="dxa"/>
            <w:vAlign w:val="bottom"/>
            <w:gridSpan w:val="2"/>
          </w:tcPr>
          <w:p>
            <w:pPr>
              <w:jc w:val="center"/>
              <w:ind w:right="420"/>
              <w:spacing w:after="0" w:line="189" w:lineRule="exact"/>
              <w:rPr>
                <w:rFonts w:ascii="Arial" w:cs="Arial" w:eastAsia="Arial" w:hAnsi="Arial"/>
                <w:sz w:val="18"/>
                <w:szCs w:val="18"/>
                <w:u w:val="single" w:color="auto"/>
                <w:color w:val="0000FF"/>
                <w:w w:val="99"/>
              </w:rPr>
            </w:pPr>
            <w:hyperlink w:anchor="page94">
              <w:r>
                <w:rPr>
                  <w:rFonts w:ascii="Arial" w:cs="Arial" w:eastAsia="Arial" w:hAnsi="Arial"/>
                  <w:sz w:val="18"/>
                  <w:szCs w:val="18"/>
                  <w:u w:val="single" w:color="auto"/>
                  <w:color w:val="0000FF"/>
                  <w:w w:val="99"/>
                </w:rPr>
                <w:t>99.1(I)</w:t>
              </w:r>
            </w:hyperlink>
          </w:p>
        </w:tc>
        <w:tc>
          <w:tcPr>
            <w:tcW w:w="20" w:type="dxa"/>
            <w:vAlign w:val="bottom"/>
          </w:tcPr>
          <w:p>
            <w:pPr>
              <w:spacing w:after="0"/>
              <w:rPr>
                <w:sz w:val="16"/>
                <w:szCs w:val="16"/>
                <w:color w:val="auto"/>
              </w:rPr>
            </w:pPr>
          </w:p>
        </w:tc>
        <w:tc>
          <w:tcPr>
            <w:tcW w:w="8100" w:type="dxa"/>
            <w:vAlign w:val="bottom"/>
            <w:gridSpan w:val="7"/>
          </w:tcPr>
          <w:p>
            <w:pPr>
              <w:spacing w:after="0" w:line="189" w:lineRule="exact"/>
              <w:rPr>
                <w:rFonts w:ascii="Arial" w:cs="Arial" w:eastAsia="Arial" w:hAnsi="Arial"/>
                <w:sz w:val="18"/>
                <w:szCs w:val="18"/>
                <w:color w:val="0000FF"/>
                <w:w w:val="99"/>
              </w:rPr>
            </w:pPr>
            <w:hyperlink w:anchor="page94">
              <w:r>
                <w:rPr>
                  <w:rFonts w:ascii="Arial" w:cs="Arial" w:eastAsia="Arial" w:hAnsi="Arial"/>
                  <w:sz w:val="18"/>
                  <w:szCs w:val="18"/>
                  <w:color w:val="0000FF"/>
                  <w:w w:val="99"/>
                </w:rPr>
                <w:t>Press release dated November 5, 2020 issued by EchoStar Corporation regarding financial results for</w:t>
              </w:r>
            </w:hyperlink>
          </w:p>
        </w:tc>
      </w:tr>
      <w:tr>
        <w:trPr>
          <w:trHeight w:val="156"/>
        </w:trPr>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94">
              <w:r>
                <w:rPr>
                  <w:rFonts w:ascii="Arial" w:cs="Arial" w:eastAsia="Arial" w:hAnsi="Arial"/>
                  <w:sz w:val="18"/>
                  <w:szCs w:val="18"/>
                  <w:color w:val="0000FF"/>
                </w:rPr>
                <w:t xml:space="preserve">the period ended </w:t>
              </w:r>
              <w:r>
                <w:rPr>
                  <w:rFonts w:ascii="Arial" w:cs="Arial" w:eastAsia="Arial" w:hAnsi="Arial"/>
                  <w:sz w:val="18"/>
                  <w:szCs w:val="18"/>
                  <w:u w:val="single" w:color="auto"/>
                  <w:color w:val="0000FF"/>
                </w:rPr>
                <w:t>September 30, 2020</w:t>
              </w:r>
            </w:hyperlink>
          </w:p>
        </w:tc>
        <w:tc>
          <w:tcPr>
            <w:tcW w:w="2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18"/>
                <w:szCs w:val="18"/>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w:t>
            </w:r>
          </w:p>
        </w:tc>
      </w:tr>
      <w:tr>
        <w:trPr>
          <w:trHeight w:val="217"/>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29"/>
        </w:trPr>
        <w:tc>
          <w:tcPr>
            <w:tcW w:w="16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29"/>
        </w:trPr>
        <w:tc>
          <w:tcPr>
            <w:tcW w:w="16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6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29"/>
        </w:trPr>
        <w:tc>
          <w:tcPr>
            <w:tcW w:w="16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29"/>
        </w:trPr>
        <w:tc>
          <w:tcPr>
            <w:tcW w:w="16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69" w:lineRule="exact"/>
        <w:rPr>
          <w:sz w:val="20"/>
          <w:szCs w:val="20"/>
          <w:color w:val="auto"/>
        </w:rPr>
      </w:pPr>
    </w:p>
    <w:p>
      <w:pPr>
        <w:ind w:left="880" w:hanging="530"/>
        <w:spacing w:after="0"/>
        <w:tabs>
          <w:tab w:leader="none" w:pos="8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rFonts w:ascii="Arial" w:cs="Arial" w:eastAsia="Arial" w:hAnsi="Arial"/>
          <w:sz w:val="14"/>
          <w:szCs w:val="14"/>
          <w:color w:val="auto"/>
        </w:rPr>
      </w:pPr>
    </w:p>
    <w:p>
      <w:pPr>
        <w:ind w:left="880" w:hanging="530"/>
        <w:spacing w:after="0"/>
        <w:tabs>
          <w:tab w:leader="none" w:pos="8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8" w:lineRule="exact"/>
        <w:rPr>
          <w:sz w:val="20"/>
          <w:szCs w:val="20"/>
          <w:color w:val="auto"/>
        </w:rPr>
      </w:pPr>
    </w:p>
    <w:p>
      <w:pPr>
        <w:ind w:left="880" w:hanging="530"/>
        <w:spacing w:after="0"/>
        <w:tabs>
          <w:tab w:leader="none" w:pos="8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28" w:lineRule="exact"/>
        <w:rPr>
          <w:sz w:val="20"/>
          <w:szCs w:val="20"/>
          <w:color w:val="auto"/>
        </w:rPr>
      </w:pPr>
    </w:p>
    <w:p>
      <w:pPr>
        <w:ind w:left="880" w:hanging="530"/>
        <w:spacing w:after="0"/>
        <w:tabs>
          <w:tab w:leader="none" w:pos="8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8" w:lineRule="exact"/>
        <w:rPr>
          <w:rFonts w:ascii="Arial" w:cs="Arial" w:eastAsia="Arial" w:hAnsi="Arial"/>
          <w:sz w:val="14"/>
          <w:szCs w:val="14"/>
          <w:color w:val="auto"/>
        </w:rPr>
      </w:pPr>
    </w:p>
    <w:p>
      <w:pPr>
        <w:ind w:left="880" w:hanging="530"/>
        <w:spacing w:after="0" w:line="229" w:lineRule="auto"/>
        <w:tabs>
          <w:tab w:leader="none" w:pos="8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40" w:right="6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769"/>
        </w:trPr>
        <w:tc>
          <w:tcPr>
            <w:tcW w:w="3380" w:type="dxa"/>
            <w:vAlign w:val="bottom"/>
          </w:tcPr>
          <w:p>
            <w:pPr>
              <w:spacing w:after="0"/>
              <w:rPr>
                <w:sz w:val="20"/>
                <w:szCs w:val="20"/>
                <w:color w:val="auto"/>
              </w:rPr>
            </w:pPr>
            <w:r>
              <w:rPr>
                <w:rFonts w:ascii="Arial" w:cs="Arial" w:eastAsia="Arial" w:hAnsi="Arial"/>
                <w:sz w:val="18"/>
                <w:szCs w:val="18"/>
                <w:color w:val="auto"/>
              </w:rPr>
              <w:t>Date: November 5, 2020</w:t>
            </w:r>
          </w:p>
        </w:tc>
        <w:tc>
          <w:tcPr>
            <w:tcW w:w="2060" w:type="dxa"/>
            <w:vAlign w:val="bottom"/>
          </w:tcPr>
          <w:p>
            <w:pPr>
              <w:ind w:left="142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23"/>
        </w:trPr>
        <w:tc>
          <w:tcPr>
            <w:tcW w:w="3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3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3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69"/>
        </w:trPr>
        <w:tc>
          <w:tcPr>
            <w:tcW w:w="3380" w:type="dxa"/>
            <w:vAlign w:val="bottom"/>
          </w:tcPr>
          <w:p>
            <w:pPr>
              <w:spacing w:after="0"/>
              <w:rPr>
                <w:sz w:val="20"/>
                <w:szCs w:val="20"/>
                <w:color w:val="auto"/>
              </w:rPr>
            </w:pPr>
            <w:r>
              <w:rPr>
                <w:rFonts w:ascii="Arial" w:cs="Arial" w:eastAsia="Arial" w:hAnsi="Arial"/>
                <w:sz w:val="18"/>
                <w:szCs w:val="18"/>
                <w:color w:val="auto"/>
              </w:rPr>
              <w:t>Date: November 5, 2020</w:t>
            </w:r>
          </w:p>
        </w:tc>
        <w:tc>
          <w:tcPr>
            <w:tcW w:w="2060" w:type="dxa"/>
            <w:vAlign w:val="bottom"/>
          </w:tcPr>
          <w:p>
            <w:pPr>
              <w:ind w:left="142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23"/>
        </w:trPr>
        <w:tc>
          <w:tcPr>
            <w:tcW w:w="3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3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2"/>
        </w:trPr>
        <w:tc>
          <w:tcPr>
            <w:tcW w:w="3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5"/>
        </w:trPr>
        <w:tc>
          <w:tcPr>
            <w:tcW w:w="3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F0F0F"/>
        </w:rPr>
        <w:t>The CORPORATE</w:t>
      </w:r>
      <w:r>
        <w:rPr>
          <w:rFonts w:ascii="Arial" w:cs="Arial" w:eastAsia="Arial" w:hAnsi="Arial"/>
          <w:sz w:val="25"/>
          <w:szCs w:val="25"/>
          <w:b w:val="1"/>
          <w:bCs w:val="1"/>
          <w:i w:val="1"/>
          <w:iCs w:val="1"/>
          <w:color w:val="0F0F0F"/>
        </w:rPr>
        <w:t>plan for Retirement</w:t>
      </w:r>
      <w:r>
        <w:rPr>
          <w:rFonts w:ascii="Arial" w:cs="Arial" w:eastAsia="Arial" w:hAnsi="Arial"/>
          <w:sz w:val="32"/>
          <w:szCs w:val="32"/>
          <w:b w:val="1"/>
          <w:bCs w:val="1"/>
          <w:i w:val="1"/>
          <w:iCs w:val="1"/>
          <w:color w:val="0F0F0F"/>
          <w:vertAlign w:val="superscript"/>
        </w:rPr>
        <w:t>SM</w:t>
      </w:r>
    </w:p>
    <w:p>
      <w:pPr>
        <w:jc w:val="center"/>
        <w:spacing w:after="0"/>
        <w:rPr>
          <w:sz w:val="20"/>
          <w:szCs w:val="20"/>
          <w:color w:val="auto"/>
        </w:rPr>
      </w:pPr>
      <w:r>
        <w:rPr>
          <w:rFonts w:ascii="Arial" w:cs="Arial" w:eastAsia="Arial" w:hAnsi="Arial"/>
          <w:sz w:val="25"/>
          <w:szCs w:val="25"/>
          <w:b w:val="1"/>
          <w:bCs w:val="1"/>
          <w:color w:val="0F0F0F"/>
        </w:rPr>
        <w:t>EXECUTIVE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3"/>
          <w:szCs w:val="23"/>
          <w:color w:val="0F0F0F"/>
        </w:rPr>
        <w:t>Adoption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0F0F0F"/>
        </w:rPr>
        <w:t>IMPORTANT NOTE</w:t>
      </w: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22"/>
          <w:szCs w:val="22"/>
          <w:b w:val="1"/>
          <w:bCs w:val="1"/>
          <w:i w:val="1"/>
          <w:iCs w:val="1"/>
          <w:color w:val="0F0F0F"/>
        </w:rPr>
        <w:t xml:space="preserve">This document has not been approved by the Department of Labor, the Internal Revenue Service or any other governmental entity. An Employer must determine whether the plan is subject to the Federal securities laws and the securities laws of the various states. An Employer may not rely on this document to ensure any particular tax consequences or to ensure that the Plan is “unfunded and maintained primarily for the purpose of providing deferred compensation to a select group of management or highly compensated employees” under the Employee Retirement Income Security Act with respect to the Employer’s particular situation. Fidelity Management Trust Company, its affiliates and employees cannot and do not provide legal or tax advice or opinions in connection with this document. This document does not constitute legal or tax advice or opinions and is not intended or written to be used, and it cannot be used by any taxpayer, for the purposes of avoiding penalties that may be imposed on the taxpayer. This document </w:t>
      </w:r>
      <w:r>
        <w:rPr>
          <w:rFonts w:ascii="Arial" w:cs="Arial" w:eastAsia="Arial" w:hAnsi="Arial"/>
          <w:sz w:val="22"/>
          <w:szCs w:val="22"/>
          <w:b w:val="1"/>
          <w:bCs w:val="1"/>
          <w:i w:val="1"/>
          <w:iCs w:val="1"/>
          <w:u w:val="single" w:color="auto"/>
          <w:color w:val="0F0F0F"/>
        </w:rPr>
        <w:t>must</w:t>
      </w:r>
      <w:r>
        <w:rPr>
          <w:rFonts w:ascii="Arial" w:cs="Arial" w:eastAsia="Arial" w:hAnsi="Arial"/>
          <w:sz w:val="22"/>
          <w:szCs w:val="22"/>
          <w:b w:val="1"/>
          <w:bCs w:val="1"/>
          <w:i w:val="1"/>
          <w:iCs w:val="1"/>
          <w:color w:val="0F0F0F"/>
        </w:rPr>
        <w:t xml:space="preserve"> be reviewed by the Employer’s attorney prior to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6"/>
          <w:szCs w:val="16"/>
          <w:color w:val="0F0F0F"/>
        </w:rPr>
        <w:t>Plan Number: 44317 ECM NQ 2007 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0F0F0F"/>
        </w:rPr>
        <w:t>(07/2007) 10/21/2019</w:t>
      </w:r>
    </w:p>
    <w:p>
      <w:pPr>
        <w:spacing w:after="0" w:line="19" w:lineRule="exact"/>
        <w:rPr>
          <w:sz w:val="20"/>
          <w:szCs w:val="20"/>
          <w:color w:val="auto"/>
        </w:rPr>
      </w:pPr>
    </w:p>
    <w:p>
      <w:pPr>
        <w:ind w:left="4100" w:hanging="162"/>
        <w:spacing w:after="0"/>
        <w:tabs>
          <w:tab w:leader="none" w:pos="4100" w:val="left"/>
        </w:tabs>
        <w:numPr>
          <w:ilvl w:val="0"/>
          <w:numId w:val="34"/>
        </w:numPr>
        <w:rPr>
          <w:rFonts w:ascii="Arial" w:cs="Arial" w:eastAsia="Arial" w:hAnsi="Arial"/>
          <w:sz w:val="16"/>
          <w:szCs w:val="16"/>
          <w:color w:val="0F0F0F"/>
        </w:rPr>
      </w:pPr>
      <w:r>
        <w:rPr>
          <w:rFonts w:ascii="Arial" w:cs="Arial" w:eastAsia="Arial" w:hAnsi="Arial"/>
          <w:sz w:val="16"/>
          <w:szCs w:val="16"/>
          <w:color w:val="0F0F0F"/>
        </w:rPr>
        <w:t>2007 Fidelity Management &amp; Research Company</w:t>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23"/>
          <w:szCs w:val="23"/>
          <w:color w:val="151515"/>
        </w:rPr>
        <w:t>ADOPTION AGREEMENT</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151515"/>
        </w:rPr>
        <w:t>ARTICLE 1</w:t>
      </w:r>
    </w:p>
    <w:p>
      <w:pPr>
        <w:spacing w:after="0" w:line="200" w:lineRule="exact"/>
        <w:rPr>
          <w:sz w:val="20"/>
          <w:szCs w:val="20"/>
          <w:color w:val="auto"/>
        </w:rPr>
      </w:pPr>
    </w:p>
    <w:p>
      <w:pPr>
        <w:spacing w:after="0" w:line="34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151515"/>
        </w:rPr>
        <w:t>1.01</w:t>
      </w:r>
      <w:r>
        <w:rPr>
          <w:sz w:val="20"/>
          <w:szCs w:val="20"/>
          <w:color w:val="auto"/>
        </w:rPr>
        <w:tab/>
      </w:r>
      <w:r>
        <w:rPr>
          <w:rFonts w:ascii="Arial" w:cs="Arial" w:eastAsia="Arial" w:hAnsi="Arial"/>
          <w:sz w:val="21"/>
          <w:szCs w:val="21"/>
          <w:u w:val="single" w:color="auto"/>
          <w:color w:val="151515"/>
        </w:rPr>
        <w:t>PLAN INFORMATION</w:t>
      </w:r>
    </w:p>
    <w:p>
      <w:pPr>
        <w:spacing w:after="0" w:line="240" w:lineRule="exact"/>
        <w:rPr>
          <w:sz w:val="20"/>
          <w:szCs w:val="20"/>
          <w:color w:val="auto"/>
        </w:rPr>
      </w:pPr>
    </w:p>
    <w:p>
      <w:pPr>
        <w:ind w:left="1280" w:hanging="648"/>
        <w:spacing w:after="0"/>
        <w:tabs>
          <w:tab w:leader="none" w:pos="1280" w:val="left"/>
        </w:tabs>
        <w:numPr>
          <w:ilvl w:val="0"/>
          <w:numId w:val="35"/>
        </w:numPr>
        <w:rPr>
          <w:rFonts w:ascii="Arial" w:cs="Arial" w:eastAsia="Arial" w:hAnsi="Arial"/>
          <w:sz w:val="18"/>
          <w:szCs w:val="18"/>
          <w:color w:val="151515"/>
        </w:rPr>
      </w:pPr>
      <w:r>
        <w:rPr>
          <w:rFonts w:ascii="Arial" w:cs="Arial" w:eastAsia="Arial" w:hAnsi="Arial"/>
          <w:sz w:val="18"/>
          <w:szCs w:val="18"/>
          <w:color w:val="151515"/>
        </w:rPr>
        <w:t>Name of Plan:</w:t>
      </w:r>
    </w:p>
    <w:p>
      <w:pPr>
        <w:spacing w:after="0" w:line="346" w:lineRule="exact"/>
        <w:rPr>
          <w:rFonts w:ascii="Arial" w:cs="Arial" w:eastAsia="Arial" w:hAnsi="Arial"/>
          <w:sz w:val="18"/>
          <w:szCs w:val="18"/>
          <w:color w:val="151515"/>
        </w:rPr>
      </w:pPr>
    </w:p>
    <w:p>
      <w:pPr>
        <w:ind w:left="1280"/>
        <w:spacing w:after="0"/>
        <w:rPr>
          <w:rFonts w:ascii="Arial" w:cs="Arial" w:eastAsia="Arial" w:hAnsi="Arial"/>
          <w:sz w:val="18"/>
          <w:szCs w:val="18"/>
          <w:color w:val="151515"/>
        </w:rPr>
      </w:pPr>
      <w:r>
        <w:rPr>
          <w:rFonts w:ascii="Arial" w:cs="Arial" w:eastAsia="Arial" w:hAnsi="Arial"/>
          <w:sz w:val="18"/>
          <w:szCs w:val="18"/>
          <w:color w:val="151515"/>
        </w:rPr>
        <w:t xml:space="preserve">This is the </w:t>
      </w:r>
      <w:r>
        <w:rPr>
          <w:rFonts w:ascii="Arial" w:cs="Arial" w:eastAsia="Arial" w:hAnsi="Arial"/>
          <w:sz w:val="18"/>
          <w:szCs w:val="18"/>
          <w:u w:val="single" w:color="auto"/>
          <w:color w:val="151515"/>
        </w:rPr>
        <w:t>EchoStar Non-Qualified Plan</w:t>
      </w:r>
      <w:r>
        <w:rPr>
          <w:rFonts w:ascii="Arial" w:cs="Arial" w:eastAsia="Arial" w:hAnsi="Arial"/>
          <w:sz w:val="18"/>
          <w:szCs w:val="18"/>
          <w:color w:val="151515"/>
        </w:rPr>
        <w:t xml:space="preserve"> (the “Plan”).</w:t>
      </w:r>
    </w:p>
    <w:p>
      <w:pPr>
        <w:spacing w:after="0" w:line="200" w:lineRule="exact"/>
        <w:rPr>
          <w:sz w:val="20"/>
          <w:szCs w:val="20"/>
          <w:color w:val="auto"/>
        </w:rPr>
      </w:pPr>
    </w:p>
    <w:p>
      <w:pPr>
        <w:spacing w:after="0" w:line="301"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151515"/>
        </w:rPr>
        <w:t>1.05</w:t>
      </w:r>
      <w:r>
        <w:rPr>
          <w:sz w:val="20"/>
          <w:szCs w:val="20"/>
          <w:color w:val="auto"/>
        </w:rPr>
        <w:tab/>
      </w:r>
      <w:r>
        <w:rPr>
          <w:rFonts w:ascii="Arial" w:cs="Arial" w:eastAsia="Arial" w:hAnsi="Arial"/>
          <w:sz w:val="19"/>
          <w:szCs w:val="19"/>
          <w:u w:val="single" w:color="auto"/>
          <w:color w:val="151515"/>
        </w:rPr>
        <w:t>CONTRIBUTIONS ON BEHALF OF EMPLOYEES</w:t>
      </w:r>
    </w:p>
    <w:p>
      <w:pPr>
        <w:spacing w:after="0" w:line="200" w:lineRule="exact"/>
        <w:rPr>
          <w:sz w:val="20"/>
          <w:szCs w:val="20"/>
          <w:color w:val="auto"/>
        </w:rPr>
      </w:pPr>
    </w:p>
    <w:p>
      <w:pPr>
        <w:spacing w:after="0" w:line="283" w:lineRule="exact"/>
        <w:rPr>
          <w:sz w:val="20"/>
          <w:szCs w:val="20"/>
          <w:color w:val="auto"/>
        </w:rPr>
      </w:pPr>
    </w:p>
    <w:p>
      <w:pPr>
        <w:ind w:left="1280" w:hanging="655"/>
        <w:spacing w:after="0"/>
        <w:tabs>
          <w:tab w:leader="none" w:pos="1280" w:val="left"/>
        </w:tabs>
        <w:numPr>
          <w:ilvl w:val="0"/>
          <w:numId w:val="36"/>
        </w:numPr>
        <w:rPr>
          <w:rFonts w:ascii="Arial" w:cs="Arial" w:eastAsia="Arial" w:hAnsi="Arial"/>
          <w:sz w:val="18"/>
          <w:szCs w:val="18"/>
          <w:color w:val="151515"/>
        </w:rPr>
      </w:pPr>
      <w:r>
        <w:rPr>
          <w:rFonts w:ascii="Arial" w:cs="Arial" w:eastAsia="Arial" w:hAnsi="Arial"/>
          <w:sz w:val="18"/>
          <w:szCs w:val="18"/>
          <w:color w:val="151515"/>
        </w:rPr>
        <w:t xml:space="preserve">Deferral Contributions </w:t>
      </w:r>
      <w:r>
        <w:rPr>
          <w:rFonts w:ascii="Arial" w:cs="Arial" w:eastAsia="Arial" w:hAnsi="Arial"/>
          <w:sz w:val="18"/>
          <w:szCs w:val="18"/>
          <w:i w:val="1"/>
          <w:iCs w:val="1"/>
          <w:color w:val="151515"/>
        </w:rPr>
        <w:t>(Complete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14605</wp:posOffset>
            </wp:positionV>
            <wp:extent cx="22288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885" cy="196850"/>
                    </a:xfrm>
                    <a:prstGeom prst="rect">
                      <a:avLst/>
                    </a:prstGeom>
                    <a:noFill/>
                  </pic:spPr>
                </pic:pic>
              </a:graphicData>
            </a:graphic>
          </wp:anchor>
        </w:drawing>
      </w:r>
    </w:p>
    <w:p>
      <w:pPr>
        <w:spacing w:after="0" w:line="138" w:lineRule="exact"/>
        <w:rPr>
          <w:sz w:val="20"/>
          <w:szCs w:val="20"/>
          <w:color w:val="auto"/>
        </w:rPr>
      </w:pPr>
    </w:p>
    <w:tbl>
      <w:tblPr>
        <w:tblLayout w:type="fixed"/>
        <w:tblInd w:w="510" w:type="dxa"/>
        <w:tblCellMar>
          <w:top w:w="0" w:type="dxa"/>
          <w:left w:w="0" w:type="dxa"/>
          <w:bottom w:w="0" w:type="dxa"/>
          <w:right w:w="0" w:type="dxa"/>
        </w:tblCellMar>
      </w:tblPr>
      <w:tr>
        <w:trPr>
          <w:trHeight w:val="216"/>
        </w:trPr>
        <w:tc>
          <w:tcPr>
            <w:tcW w:w="1620" w:type="dxa"/>
            <w:vAlign w:val="bottom"/>
          </w:tcPr>
          <w:p>
            <w:pPr>
              <w:jc w:val="right"/>
              <w:ind w:right="537"/>
              <w:spacing w:after="0"/>
              <w:rPr>
                <w:sz w:val="20"/>
                <w:szCs w:val="20"/>
                <w:color w:val="auto"/>
              </w:rPr>
            </w:pPr>
            <w:r>
              <w:rPr>
                <w:rFonts w:ascii="Arial" w:cs="Arial" w:eastAsia="Arial" w:hAnsi="Arial"/>
                <w:sz w:val="18"/>
                <w:szCs w:val="18"/>
                <w:color w:val="auto"/>
              </w:rPr>
              <w:t>(1)</w:t>
            </w:r>
          </w:p>
        </w:tc>
        <w:tc>
          <w:tcPr>
            <w:tcW w:w="8780" w:type="dxa"/>
            <w:vAlign w:val="bottom"/>
            <w:gridSpan w:val="8"/>
          </w:tcPr>
          <w:p>
            <w:pPr>
              <w:ind w:left="520"/>
              <w:spacing w:after="0"/>
              <w:rPr>
                <w:sz w:val="20"/>
                <w:szCs w:val="20"/>
                <w:color w:val="auto"/>
              </w:rPr>
            </w:pPr>
            <w:r>
              <w:rPr>
                <w:rFonts w:ascii="Arial" w:cs="Arial" w:eastAsia="Arial" w:hAnsi="Arial"/>
                <w:sz w:val="18"/>
                <w:szCs w:val="18"/>
                <w:color w:val="auto"/>
                <w:w w:val="91"/>
              </w:rPr>
              <w:t>Deferral Contributions. Subject to any minimum or maximum deferral amount provided below, the Employer shall</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8780" w:type="dxa"/>
            <w:vAlign w:val="bottom"/>
            <w:gridSpan w:val="8"/>
          </w:tcPr>
          <w:p>
            <w:pPr>
              <w:ind w:left="140"/>
              <w:spacing w:after="0"/>
              <w:rPr>
                <w:sz w:val="20"/>
                <w:szCs w:val="20"/>
                <w:color w:val="auto"/>
              </w:rPr>
            </w:pPr>
            <w:r>
              <w:rPr>
                <w:rFonts w:ascii="Arial" w:cs="Arial" w:eastAsia="Arial" w:hAnsi="Arial"/>
                <w:sz w:val="18"/>
                <w:szCs w:val="18"/>
                <w:color w:val="auto"/>
                <w:w w:val="91"/>
              </w:rPr>
              <w:t>make a Deferral Contribution in accordance with, and subject to, Section 4.01 on behalf of each Participant who has an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8780" w:type="dxa"/>
            <w:vAlign w:val="bottom"/>
            <w:gridSpan w:val="8"/>
          </w:tcPr>
          <w:p>
            <w:pPr>
              <w:ind w:left="140"/>
              <w:spacing w:after="0"/>
              <w:rPr>
                <w:sz w:val="20"/>
                <w:szCs w:val="20"/>
                <w:color w:val="auto"/>
              </w:rPr>
            </w:pPr>
            <w:r>
              <w:rPr>
                <w:rFonts w:ascii="Arial" w:cs="Arial" w:eastAsia="Arial" w:hAnsi="Arial"/>
                <w:sz w:val="18"/>
                <w:szCs w:val="18"/>
                <w:color w:val="auto"/>
                <w:w w:val="95"/>
              </w:rPr>
              <w:t>executed salary reduction agreement in effect with the Employer for the applicable calendar year (or portion of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applicable calendar year).</w:t>
            </w: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6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6"/>
                <w:szCs w:val="16"/>
                <w:color w:val="151515"/>
              </w:rPr>
              <w:t>Deferral Contributions</w:t>
            </w:r>
          </w:p>
        </w:tc>
        <w:tc>
          <w:tcPr>
            <w:tcW w:w="150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34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151515"/>
              </w:rPr>
              <w:t>Dollar Amount</w:t>
            </w:r>
          </w:p>
        </w:tc>
        <w:tc>
          <w:tcPr>
            <w:tcW w:w="1180" w:type="dxa"/>
            <w:vAlign w:val="bottom"/>
            <w:tcBorders>
              <w:top w:val="single" w:sz="8" w:color="auto"/>
            </w:tcBorders>
          </w:tcPr>
          <w:p>
            <w:pPr>
              <w:spacing w:after="0"/>
              <w:rPr>
                <w:sz w:val="17"/>
                <w:szCs w:val="17"/>
                <w:color w:val="auto"/>
              </w:rPr>
            </w:pPr>
          </w:p>
        </w:tc>
        <w:tc>
          <w:tcPr>
            <w:tcW w:w="2460" w:type="dxa"/>
            <w:vAlign w:val="bottom"/>
            <w:tcBorders>
              <w:top w:val="single" w:sz="8" w:color="auto"/>
              <w:right w:val="single" w:sz="8" w:color="auto"/>
            </w:tcBorders>
            <w:gridSpan w:val="2"/>
          </w:tcPr>
          <w:p>
            <w:pPr>
              <w:ind w:left="260"/>
              <w:spacing w:after="0"/>
              <w:rPr>
                <w:sz w:val="20"/>
                <w:szCs w:val="20"/>
                <w:color w:val="auto"/>
              </w:rPr>
            </w:pPr>
            <w:r>
              <w:rPr>
                <w:rFonts w:ascii="Arial" w:cs="Arial" w:eastAsia="Arial" w:hAnsi="Arial"/>
                <w:sz w:val="16"/>
                <w:szCs w:val="16"/>
                <w:color w:val="313131"/>
              </w:rPr>
              <w:t xml:space="preserve">% </w:t>
            </w:r>
            <w:r>
              <w:rPr>
                <w:rFonts w:ascii="Arial" w:cs="Arial" w:eastAsia="Arial" w:hAnsi="Arial"/>
                <w:sz w:val="16"/>
                <w:szCs w:val="16"/>
                <w:color w:val="151515"/>
              </w:rPr>
              <w:t>Amount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620" w:type="dxa"/>
            <w:vAlign w:val="bottom"/>
            <w:tcBorders>
              <w:left w:val="single" w:sz="8" w:color="auto"/>
            </w:tcBorders>
            <w:vMerge w:val="restart"/>
          </w:tcPr>
          <w:p>
            <w:pPr>
              <w:ind w:left="20"/>
              <w:spacing w:after="0"/>
              <w:rPr>
                <w:sz w:val="20"/>
                <w:szCs w:val="20"/>
                <w:color w:val="auto"/>
              </w:rPr>
            </w:pPr>
            <w:r>
              <w:rPr>
                <w:rFonts w:ascii="Arial" w:cs="Arial" w:eastAsia="Arial" w:hAnsi="Arial"/>
                <w:sz w:val="16"/>
                <w:szCs w:val="16"/>
                <w:color w:val="151515"/>
                <w:w w:val="98"/>
              </w:rPr>
              <w:t>Type of Compensation</w:t>
            </w:r>
          </w:p>
        </w:tc>
        <w:tc>
          <w:tcPr>
            <w:tcW w:w="1500" w:type="dxa"/>
            <w:vAlign w:val="bottom"/>
            <w:tcBorders>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620" w:type="dxa"/>
            <w:vAlign w:val="bottom"/>
            <w:tcBorders>
              <w:left w:val="single" w:sz="8" w:color="auto"/>
            </w:tcBorders>
            <w:vMerge w:val="continue"/>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140" w:type="dxa"/>
            <w:vAlign w:val="bottom"/>
            <w:vMerge w:val="restart"/>
          </w:tcPr>
          <w:p>
            <w:pPr>
              <w:ind w:left="800"/>
              <w:spacing w:after="0"/>
              <w:rPr>
                <w:sz w:val="20"/>
                <w:szCs w:val="20"/>
                <w:color w:val="auto"/>
              </w:rPr>
            </w:pPr>
            <w:r>
              <w:rPr>
                <w:rFonts w:ascii="Arial" w:cs="Arial" w:eastAsia="Arial" w:hAnsi="Arial"/>
                <w:sz w:val="16"/>
                <w:szCs w:val="16"/>
                <w:color w:val="151515"/>
              </w:rPr>
              <w:t>Min</w:t>
            </w:r>
          </w:p>
        </w:tc>
        <w:tc>
          <w:tcPr>
            <w:tcW w:w="76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vMerge w:val="restart"/>
          </w:tcPr>
          <w:p>
            <w:pPr>
              <w:ind w:left="620"/>
              <w:spacing w:after="0"/>
              <w:rPr>
                <w:sz w:val="20"/>
                <w:szCs w:val="20"/>
                <w:color w:val="auto"/>
              </w:rPr>
            </w:pPr>
            <w:r>
              <w:rPr>
                <w:rFonts w:ascii="Arial" w:cs="Arial" w:eastAsia="Arial" w:hAnsi="Arial"/>
                <w:sz w:val="16"/>
                <w:szCs w:val="16"/>
                <w:color w:val="151515"/>
              </w:rPr>
              <w:t>Max</w:t>
            </w:r>
          </w:p>
        </w:tc>
        <w:tc>
          <w:tcPr>
            <w:tcW w:w="1180" w:type="dxa"/>
            <w:vAlign w:val="bottom"/>
            <w:vMerge w:val="restart"/>
          </w:tcPr>
          <w:p>
            <w:pPr>
              <w:jc w:val="center"/>
              <w:ind w:left="319"/>
              <w:spacing w:after="0"/>
              <w:rPr>
                <w:sz w:val="20"/>
                <w:szCs w:val="20"/>
                <w:color w:val="auto"/>
              </w:rPr>
            </w:pPr>
            <w:r>
              <w:rPr>
                <w:rFonts w:ascii="Arial" w:cs="Arial" w:eastAsia="Arial" w:hAnsi="Arial"/>
                <w:sz w:val="16"/>
                <w:szCs w:val="16"/>
                <w:color w:val="151515"/>
              </w:rPr>
              <w:t>Min</w:t>
            </w:r>
          </w:p>
        </w:tc>
        <w:tc>
          <w:tcPr>
            <w:tcW w:w="44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151515"/>
                <w:w w:val="99"/>
              </w:rPr>
              <w:t>Max</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2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140" w:type="dxa"/>
            <w:vAlign w:val="bottom"/>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62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151515"/>
              </w:rPr>
              <w:t>Compensation</w:t>
            </w:r>
          </w:p>
        </w:tc>
        <w:tc>
          <w:tcPr>
            <w:tcW w:w="15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151515"/>
              </w:rPr>
              <w:t>0</w:t>
            </w:r>
          </w:p>
        </w:tc>
        <w:tc>
          <w:tcPr>
            <w:tcW w:w="44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859"/>
              <w:spacing w:after="0"/>
              <w:rPr>
                <w:sz w:val="20"/>
                <w:szCs w:val="20"/>
                <w:color w:val="auto"/>
              </w:rPr>
            </w:pPr>
            <w:r>
              <w:rPr>
                <w:rFonts w:ascii="Arial" w:cs="Arial" w:eastAsia="Arial" w:hAnsi="Arial"/>
                <w:sz w:val="16"/>
                <w:szCs w:val="16"/>
                <w:color w:val="151515"/>
              </w:rPr>
              <w:t>75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280" w:right="540"/>
        <w:spacing w:after="0" w:line="277" w:lineRule="auto"/>
        <w:rPr>
          <w:sz w:val="20"/>
          <w:szCs w:val="20"/>
          <w:color w:val="auto"/>
        </w:rPr>
      </w:pPr>
      <w:r>
        <w:rPr>
          <w:rFonts w:ascii="Arial" w:cs="Arial" w:eastAsia="Arial" w:hAnsi="Arial"/>
          <w:sz w:val="18"/>
          <w:szCs w:val="18"/>
          <w:color w:val="auto"/>
        </w:rPr>
        <w:t xml:space="preserve">(Note: With respect to each type of Compensation, list the minimum and maximum dollar amounts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percentages as whole dollar amounts or whole number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-19685</wp:posOffset>
            </wp:positionV>
            <wp:extent cx="222885"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 cy="197485"/>
                    </a:xfrm>
                    <a:prstGeom prst="rect">
                      <a:avLst/>
                    </a:prstGeom>
                    <a:noFill/>
                  </pic:spPr>
                </pic:pic>
              </a:graphicData>
            </a:graphic>
          </wp:anchor>
        </w:drawing>
      </w:r>
    </w:p>
    <w:p>
      <w:pPr>
        <w:spacing w:after="0" w:line="83" w:lineRule="exact"/>
        <w:rPr>
          <w:sz w:val="20"/>
          <w:szCs w:val="20"/>
          <w:color w:val="auto"/>
        </w:rPr>
      </w:pPr>
    </w:p>
    <w:tbl>
      <w:tblPr>
        <w:tblLayout w:type="fixed"/>
        <w:tblInd w:w="230" w:type="dxa"/>
        <w:tblCellMar>
          <w:top w:w="0" w:type="dxa"/>
          <w:left w:w="0" w:type="dxa"/>
          <w:bottom w:w="0" w:type="dxa"/>
          <w:right w:w="0" w:type="dxa"/>
        </w:tblCellMar>
      </w:tblPr>
      <w:tr>
        <w:trPr>
          <w:trHeight w:val="216"/>
        </w:trPr>
        <w:tc>
          <w:tcPr>
            <w:tcW w:w="1460" w:type="dxa"/>
            <w:vAlign w:val="bottom"/>
          </w:tcPr>
          <w:p>
            <w:pPr>
              <w:jc w:val="right"/>
              <w:ind w:right="96"/>
              <w:spacing w:after="0"/>
              <w:rPr>
                <w:sz w:val="20"/>
                <w:szCs w:val="20"/>
                <w:color w:val="auto"/>
              </w:rPr>
            </w:pPr>
            <w:r>
              <w:rPr>
                <w:rFonts w:ascii="Arial" w:cs="Arial" w:eastAsia="Arial" w:hAnsi="Arial"/>
                <w:sz w:val="18"/>
                <w:szCs w:val="18"/>
                <w:color w:val="auto"/>
              </w:rPr>
              <w:t>(2)</w:t>
            </w:r>
          </w:p>
        </w:tc>
        <w:tc>
          <w:tcPr>
            <w:tcW w:w="9340" w:type="dxa"/>
            <w:vAlign w:val="bottom"/>
            <w:gridSpan w:val="9"/>
          </w:tcPr>
          <w:p>
            <w:pPr>
              <w:ind w:left="960"/>
              <w:spacing w:after="0"/>
              <w:rPr>
                <w:sz w:val="20"/>
                <w:szCs w:val="20"/>
                <w:color w:val="auto"/>
              </w:rPr>
            </w:pPr>
            <w:r>
              <w:rPr>
                <w:rFonts w:ascii="Arial" w:cs="Arial" w:eastAsia="Arial" w:hAnsi="Arial"/>
                <w:sz w:val="18"/>
                <w:szCs w:val="18"/>
                <w:color w:val="auto"/>
                <w:w w:val="90"/>
              </w:rPr>
              <w:t>Deferral Contributions with respect to Bonus Compensation only. The Employer requires Participants to enter into 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40" w:type="dxa"/>
            <w:vAlign w:val="bottom"/>
            <w:gridSpan w:val="9"/>
          </w:tcPr>
          <w:p>
            <w:pPr>
              <w:ind w:left="580"/>
              <w:spacing w:after="0"/>
              <w:rPr>
                <w:sz w:val="20"/>
                <w:szCs w:val="20"/>
                <w:color w:val="auto"/>
              </w:rPr>
            </w:pPr>
            <w:r>
              <w:rPr>
                <w:rFonts w:ascii="Arial" w:cs="Arial" w:eastAsia="Arial" w:hAnsi="Arial"/>
                <w:sz w:val="18"/>
                <w:szCs w:val="18"/>
                <w:color w:val="auto"/>
                <w:w w:val="95"/>
              </w:rPr>
              <w:t>special salary reduction agreement to make Deferral Contributions with respect to one or more Bonuses, subject to</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100" w:type="dxa"/>
            <w:vAlign w:val="bottom"/>
            <w:gridSpan w:val="6"/>
          </w:tcPr>
          <w:p>
            <w:pPr>
              <w:ind w:left="580"/>
              <w:spacing w:after="0"/>
              <w:rPr>
                <w:sz w:val="20"/>
                <w:szCs w:val="20"/>
                <w:color w:val="auto"/>
              </w:rPr>
            </w:pPr>
            <w:r>
              <w:rPr>
                <w:rFonts w:ascii="Arial" w:cs="Arial" w:eastAsia="Arial" w:hAnsi="Arial"/>
                <w:sz w:val="18"/>
                <w:szCs w:val="18"/>
                <w:color w:val="auto"/>
                <w:w w:val="92"/>
              </w:rPr>
              <w:t>minimum and maximum deferral limitations, as provided in the table below.</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8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151515"/>
                <w:w w:val="91"/>
              </w:rPr>
              <w:t>Treated As</w:t>
            </w:r>
          </w:p>
        </w:tc>
        <w:tc>
          <w:tcPr>
            <w:tcW w:w="104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gridSpan w:val="3"/>
          </w:tcPr>
          <w:p>
            <w:pPr>
              <w:ind w:left="720"/>
              <w:spacing w:after="0"/>
              <w:rPr>
                <w:sz w:val="20"/>
                <w:szCs w:val="20"/>
                <w:color w:val="auto"/>
              </w:rPr>
            </w:pPr>
            <w:r>
              <w:rPr>
                <w:rFonts w:ascii="Arial" w:cs="Arial" w:eastAsia="Arial" w:hAnsi="Arial"/>
                <w:sz w:val="16"/>
                <w:szCs w:val="16"/>
                <w:color w:val="151515"/>
              </w:rPr>
              <w:t>Dollar Amount</w:t>
            </w: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313131"/>
              </w:rPr>
              <w:t xml:space="preserve">% </w:t>
            </w:r>
            <w:r>
              <w:rPr>
                <w:rFonts w:ascii="Arial" w:cs="Arial" w:eastAsia="Arial" w:hAnsi="Arial"/>
                <w:sz w:val="16"/>
                <w:szCs w:val="16"/>
                <w:color w:val="151515"/>
              </w:rPr>
              <w:t>Amount</w:t>
            </w:r>
          </w:p>
        </w:tc>
        <w:tc>
          <w:tcPr>
            <w:tcW w:w="1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00" w:type="dxa"/>
            <w:vAlign w:val="bottom"/>
            <w:tcBorders>
              <w:left w:val="single" w:sz="8" w:color="auto"/>
              <w:right w:val="single" w:sz="8" w:color="auto"/>
            </w:tcBorders>
            <w:gridSpan w:val="2"/>
          </w:tcPr>
          <w:p>
            <w:pPr>
              <w:jc w:val="center"/>
              <w:ind w:left="196"/>
              <w:spacing w:after="0" w:line="180" w:lineRule="exact"/>
              <w:rPr>
                <w:sz w:val="20"/>
                <w:szCs w:val="20"/>
                <w:color w:val="auto"/>
              </w:rPr>
            </w:pPr>
            <w:r>
              <w:rPr>
                <w:rFonts w:ascii="Arial" w:cs="Arial" w:eastAsia="Arial" w:hAnsi="Arial"/>
                <w:sz w:val="16"/>
                <w:szCs w:val="16"/>
                <w:color w:val="151515"/>
                <w:w w:val="94"/>
              </w:rPr>
              <w:t>Deferral Contributions Type of</w:t>
            </w:r>
          </w:p>
        </w:tc>
        <w:tc>
          <w:tcPr>
            <w:tcW w:w="1340" w:type="dxa"/>
            <w:vAlign w:val="bottom"/>
            <w:tcBorders>
              <w:right w:val="single" w:sz="8" w:color="auto"/>
            </w:tcBorders>
          </w:tcPr>
          <w:p>
            <w:pPr>
              <w:ind w:left="40"/>
              <w:spacing w:after="0" w:line="180" w:lineRule="exact"/>
              <w:rPr>
                <w:sz w:val="20"/>
                <w:szCs w:val="20"/>
                <w:color w:val="auto"/>
              </w:rPr>
            </w:pPr>
            <w:r>
              <w:rPr>
                <w:rFonts w:ascii="Arial" w:cs="Arial" w:eastAsia="Arial" w:hAnsi="Arial"/>
                <w:sz w:val="16"/>
                <w:szCs w:val="16"/>
                <w:color w:val="151515"/>
                <w:w w:val="89"/>
              </w:rPr>
              <w:t>Performance Based</w:t>
            </w:r>
          </w:p>
        </w:tc>
        <w:tc>
          <w:tcPr>
            <w:tcW w:w="460" w:type="dxa"/>
            <w:vAlign w:val="bottom"/>
          </w:tcPr>
          <w:p>
            <w:pPr>
              <w:spacing w:after="0"/>
              <w:rPr>
                <w:sz w:val="15"/>
                <w:szCs w:val="15"/>
                <w:color w:val="auto"/>
              </w:rPr>
            </w:pPr>
          </w:p>
        </w:tc>
        <w:tc>
          <w:tcPr>
            <w:tcW w:w="1040" w:type="dxa"/>
            <w:vAlign w:val="bottom"/>
            <w:tcBorders>
              <w:right w:val="single" w:sz="8" w:color="auto"/>
            </w:tcBorders>
          </w:tcPr>
          <w:p>
            <w:pPr>
              <w:jc w:val="center"/>
              <w:ind w:right="479"/>
              <w:spacing w:after="0" w:line="180" w:lineRule="exact"/>
              <w:rPr>
                <w:sz w:val="20"/>
                <w:szCs w:val="20"/>
                <w:color w:val="auto"/>
              </w:rPr>
            </w:pPr>
            <w:r>
              <w:rPr>
                <w:rFonts w:ascii="Arial" w:cs="Arial" w:eastAsia="Arial" w:hAnsi="Arial"/>
                <w:sz w:val="16"/>
                <w:szCs w:val="16"/>
                <w:color w:val="151515"/>
                <w:w w:val="92"/>
              </w:rPr>
              <w:t>Non-</w:t>
            </w:r>
          </w:p>
        </w:tc>
        <w:tc>
          <w:tcPr>
            <w:tcW w:w="12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6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jc w:val="center"/>
              <w:ind w:right="1092"/>
              <w:spacing w:after="0"/>
              <w:rPr>
                <w:sz w:val="20"/>
                <w:szCs w:val="20"/>
                <w:color w:val="auto"/>
              </w:rPr>
            </w:pPr>
            <w:r>
              <w:rPr>
                <w:rFonts w:ascii="Arial" w:cs="Arial" w:eastAsia="Arial" w:hAnsi="Arial"/>
                <w:sz w:val="16"/>
                <w:szCs w:val="16"/>
                <w:color w:val="151515"/>
                <w:w w:val="92"/>
              </w:rPr>
              <w:t>Bonus</w:t>
            </w:r>
          </w:p>
        </w:tc>
        <w:tc>
          <w:tcPr>
            <w:tcW w:w="13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jc w:val="center"/>
              <w:ind w:right="19"/>
              <w:spacing w:after="0"/>
              <w:rPr>
                <w:sz w:val="20"/>
                <w:szCs w:val="20"/>
                <w:color w:val="auto"/>
              </w:rPr>
            </w:pPr>
            <w:r>
              <w:rPr>
                <w:rFonts w:ascii="Arial" w:cs="Arial" w:eastAsia="Arial" w:hAnsi="Arial"/>
                <w:sz w:val="16"/>
                <w:szCs w:val="16"/>
                <w:color w:val="151515"/>
                <w:w w:val="91"/>
              </w:rPr>
              <w:t>Performance</w:t>
            </w:r>
          </w:p>
        </w:tc>
        <w:tc>
          <w:tcPr>
            <w:tcW w:w="1220" w:type="dxa"/>
            <w:vAlign w:val="bottom"/>
            <w:tcBorders>
              <w:right w:val="single" w:sz="8" w:color="auto"/>
            </w:tcBorders>
            <w:vMerge w:val="restart"/>
          </w:tcPr>
          <w:p>
            <w:pPr>
              <w:ind w:left="460"/>
              <w:spacing w:after="0"/>
              <w:rPr>
                <w:sz w:val="20"/>
                <w:szCs w:val="20"/>
                <w:color w:val="auto"/>
              </w:rPr>
            </w:pPr>
            <w:r>
              <w:rPr>
                <w:rFonts w:ascii="Arial" w:cs="Arial" w:eastAsia="Arial" w:hAnsi="Arial"/>
                <w:sz w:val="16"/>
                <w:szCs w:val="16"/>
                <w:color w:val="151515"/>
              </w:rPr>
              <w:t>Min</w:t>
            </w:r>
          </w:p>
        </w:tc>
        <w:tc>
          <w:tcPr>
            <w:tcW w:w="400" w:type="dxa"/>
            <w:vAlign w:val="bottom"/>
          </w:tcPr>
          <w:p>
            <w:pPr>
              <w:spacing w:after="0"/>
              <w:rPr>
                <w:sz w:val="17"/>
                <w:szCs w:val="17"/>
                <w:color w:val="auto"/>
              </w:rPr>
            </w:pPr>
          </w:p>
        </w:tc>
        <w:tc>
          <w:tcPr>
            <w:tcW w:w="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151515"/>
              </w:rPr>
              <w:t>Max</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151515"/>
              </w:rPr>
              <w:t>Min</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151515"/>
                <w:w w:val="99"/>
              </w:rPr>
              <w:t>Max</w:t>
            </w:r>
          </w:p>
        </w:tc>
        <w:tc>
          <w:tcPr>
            <w:tcW w:w="0" w:type="dxa"/>
            <w:vAlign w:val="bottom"/>
          </w:tcPr>
          <w:p>
            <w:pPr>
              <w:spacing w:after="0"/>
              <w:rPr>
                <w:sz w:val="1"/>
                <w:szCs w:val="1"/>
                <w:color w:val="auto"/>
              </w:rPr>
            </w:pPr>
          </w:p>
        </w:tc>
      </w:tr>
      <w:tr>
        <w:trPr>
          <w:trHeight w:val="32"/>
        </w:trPr>
        <w:tc>
          <w:tcPr>
            <w:tcW w:w="146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gridSpan w:val="2"/>
            <w:vMerge w:val="continue"/>
          </w:tcPr>
          <w:p>
            <w:pPr>
              <w:spacing w:after="0"/>
              <w:rPr>
                <w:sz w:val="2"/>
                <w:szCs w:val="2"/>
                <w:color w:val="auto"/>
              </w:rPr>
            </w:pPr>
          </w:p>
        </w:tc>
        <w:tc>
          <w:tcPr>
            <w:tcW w:w="1220" w:type="dxa"/>
            <w:vAlign w:val="bottom"/>
            <w:tcBorders>
              <w:right w:val="single" w:sz="8" w:color="auto"/>
            </w:tcBorders>
            <w:vMerge w:val="continue"/>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right w:val="single" w:sz="8" w:color="auto"/>
            </w:tcBorders>
            <w:vMerge w:val="continue"/>
          </w:tcPr>
          <w:p>
            <w:pPr>
              <w:spacing w:after="0"/>
              <w:rPr>
                <w:sz w:val="2"/>
                <w:szCs w:val="2"/>
                <w:color w:val="auto"/>
              </w:rPr>
            </w:pPr>
          </w:p>
        </w:tc>
        <w:tc>
          <w:tcPr>
            <w:tcW w:w="1240" w:type="dxa"/>
            <w:vAlign w:val="bottom"/>
            <w:tcBorders>
              <w:right w:val="single" w:sz="8" w:color="auto"/>
            </w:tcBorders>
            <w:vMerge w:val="continue"/>
          </w:tcPr>
          <w:p>
            <w:pPr>
              <w:spacing w:after="0"/>
              <w:rPr>
                <w:sz w:val="2"/>
                <w:szCs w:val="2"/>
                <w:color w:val="auto"/>
              </w:rPr>
            </w:pPr>
          </w:p>
        </w:tc>
        <w:tc>
          <w:tcPr>
            <w:tcW w:w="11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46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ind w:right="479"/>
              <w:spacing w:after="0"/>
              <w:rPr>
                <w:sz w:val="20"/>
                <w:szCs w:val="20"/>
                <w:color w:val="auto"/>
              </w:rPr>
            </w:pPr>
            <w:r>
              <w:rPr>
                <w:rFonts w:ascii="Arial" w:cs="Arial" w:eastAsia="Arial" w:hAnsi="Arial"/>
                <w:sz w:val="16"/>
                <w:szCs w:val="16"/>
                <w:color w:val="151515"/>
                <w:w w:val="88"/>
              </w:rPr>
              <w:t>Based</w:t>
            </w:r>
          </w:p>
        </w:tc>
        <w:tc>
          <w:tcPr>
            <w:tcW w:w="12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4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6"/>
                <w:szCs w:val="16"/>
                <w:color w:val="151515"/>
                <w:w w:val="91"/>
              </w:rPr>
              <w:t>Bonus Compensation</w:t>
            </w:r>
          </w:p>
        </w:tc>
        <w:tc>
          <w:tcPr>
            <w:tcW w:w="16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151515"/>
              </w:rPr>
              <w:t>Yes</w:t>
            </w:r>
          </w:p>
        </w:tc>
        <w:tc>
          <w:tcPr>
            <w:tcW w:w="12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color w:val="151515"/>
              </w:rPr>
              <w:t>0</w:t>
            </w:r>
          </w:p>
        </w:tc>
        <w:tc>
          <w:tcPr>
            <w:tcW w:w="118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151515"/>
              </w:rPr>
              <w:t>100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280"/>
        <w:spacing w:after="0" w:line="311" w:lineRule="auto"/>
        <w:rPr>
          <w:sz w:val="20"/>
          <w:szCs w:val="20"/>
          <w:color w:val="auto"/>
        </w:rPr>
      </w:pPr>
      <w:r>
        <w:rPr>
          <w:rFonts w:ascii="Arial" w:cs="Arial" w:eastAsia="Arial" w:hAnsi="Arial"/>
          <w:sz w:val="16"/>
          <w:szCs w:val="16"/>
          <w:color w:val="auto"/>
        </w:rPr>
        <w:t xml:space="preserve">(Note: With respect to each type of Bonus, list the minimum and maximum dollar amounts or percentages as whole dollar amounts or whole number percentages. In the event a bonus identified as a Performance-based Bonus above does not constitute a Performance-based </w:t>
      </w:r>
      <w:r>
        <w:rPr>
          <w:rFonts w:ascii="Arial" w:cs="Arial" w:eastAsia="Arial" w:hAnsi="Arial"/>
          <w:sz w:val="16"/>
          <w:szCs w:val="16"/>
          <w:color w:val="0E0E0E"/>
        </w:rPr>
        <w:t>Bonus with respect to any Participant, such Bonus will be treated as a Non-Performance-based Bonus with respect to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0F0F0F"/>
        </w:rPr>
        <w:t>Plan Number: 44317 ECM NQ 2007 AA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F0F0F"/>
        </w:rPr>
        <w:t>(07/2007) 10/21/2019</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F0F0F"/>
        </w:rPr>
        <w:t>Page 1</w:t>
      </w:r>
    </w:p>
    <w:p>
      <w:pPr>
        <w:spacing w:after="0" w:line="11" w:lineRule="exact"/>
        <w:rPr>
          <w:sz w:val="20"/>
          <w:szCs w:val="20"/>
          <w:color w:val="auto"/>
        </w:rPr>
      </w:pPr>
    </w:p>
    <w:p>
      <w:pPr>
        <w:ind w:left="4080" w:hanging="162"/>
        <w:spacing w:after="0"/>
        <w:tabs>
          <w:tab w:leader="none" w:pos="4080" w:val="left"/>
        </w:tabs>
        <w:numPr>
          <w:ilvl w:val="0"/>
          <w:numId w:val="37"/>
        </w:numPr>
        <w:rPr>
          <w:rFonts w:ascii="Arial" w:cs="Arial" w:eastAsia="Arial" w:hAnsi="Arial"/>
          <w:sz w:val="16"/>
          <w:szCs w:val="16"/>
          <w:color w:val="0F0F0F"/>
        </w:rPr>
      </w:pPr>
      <w:r>
        <w:rPr>
          <w:rFonts w:ascii="Arial" w:cs="Arial" w:eastAsia="Arial" w:hAnsi="Arial"/>
          <w:sz w:val="16"/>
          <w:szCs w:val="16"/>
          <w:color w:val="0F0F0F"/>
        </w:rPr>
        <w:t>2007 Fidelity Management &amp; Research Company</w:t>
      </w:r>
    </w:p>
    <w:p>
      <w:pPr>
        <w:sectPr>
          <w:pgSz w:w="11900" w:h="16838" w:orient="portrait"/>
          <w:cols w:equalWidth="0" w:num="1">
            <w:col w:w="11180"/>
          </w:cols>
          <w:pgMar w:left="340" w:top="1423" w:right="379" w:bottom="1440" w:gutter="0" w:footer="0" w:header="0"/>
        </w:sectPr>
      </w:pPr>
    </w:p>
    <w:bookmarkStart w:id="83" w:name="page84"/>
    <w:bookmarkEnd w:id="83"/>
    <w:p>
      <w:pPr>
        <w:ind w:left="1280" w:hanging="647"/>
        <w:spacing w:after="0"/>
        <w:tabs>
          <w:tab w:leader="none" w:pos="1280" w:val="left"/>
        </w:tabs>
        <w:numPr>
          <w:ilvl w:val="0"/>
          <w:numId w:val="38"/>
        </w:numPr>
        <w:rPr>
          <w:rFonts w:ascii="Arial" w:cs="Arial" w:eastAsia="Arial" w:hAnsi="Arial"/>
          <w:sz w:val="16"/>
          <w:szCs w:val="16"/>
          <w:color w:val="0E0E0E"/>
        </w:rPr>
      </w:pPr>
      <w:r>
        <w:rPr>
          <w:rFonts w:ascii="Arial" w:cs="Arial" w:eastAsia="Arial" w:hAnsi="Arial"/>
          <w:sz w:val="16"/>
          <w:szCs w:val="16"/>
          <w:color w:val="0E0E0E"/>
        </w:rPr>
        <w:t xml:space="preserve">Matching Contributions </w:t>
      </w:r>
      <w:r>
        <w:rPr>
          <w:rFonts w:ascii="Arial" w:cs="Arial" w:eastAsia="Arial" w:hAnsi="Arial"/>
          <w:sz w:val="16"/>
          <w:szCs w:val="16"/>
          <w:i w:val="1"/>
          <w:iCs w:val="1"/>
          <w:color w:val="0E0E0E"/>
        </w:rPr>
        <w:t>(Choose (1) or (2) below, and (3) below, as applicable):</w:t>
      </w:r>
    </w:p>
    <w:p>
      <w:pPr>
        <w:sectPr>
          <w:pgSz w:w="11900" w:h="16838" w:orient="portrait"/>
          <w:cols w:equalWidth="0" w:num="1">
            <w:col w:w="11200"/>
          </w:cols>
          <w:pgMar w:left="340" w:top="1421" w:right="359" w:bottom="1440" w:gutter="0" w:footer="0" w:header="0"/>
        </w:sect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(1)</w:t>
      </w:r>
      <w:r>
        <w:rPr>
          <w:sz w:val="1"/>
          <w:szCs w:val="1"/>
          <w:color w:val="auto"/>
        </w:rPr>
        <w:drawing>
          <wp:inline distT="0" distB="0" distL="0" distR="0">
            <wp:extent cx="222885" cy="19748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2885" cy="1974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320" w:firstLine="345"/>
        <w:spacing w:after="0" w:line="277" w:lineRule="auto"/>
        <w:rPr>
          <w:sz w:val="20"/>
          <w:szCs w:val="20"/>
          <w:color w:val="auto"/>
        </w:rPr>
      </w:pPr>
      <w:r>
        <w:rPr>
          <w:rFonts w:ascii="Arial" w:cs="Arial" w:eastAsia="Arial" w:hAnsi="Arial"/>
          <w:sz w:val="18"/>
          <w:szCs w:val="18"/>
          <w:color w:val="auto"/>
        </w:rPr>
        <w:t>The Employer shall make a Matching Contribution on behalf of each Employee Participant in an amount described below:</w:t>
      </w:r>
    </w:p>
    <w:p>
      <w:pPr>
        <w:spacing w:after="0" w:line="200" w:lineRule="exact"/>
        <w:rPr>
          <w:sz w:val="20"/>
          <w:szCs w:val="20"/>
          <w:color w:val="auto"/>
        </w:rPr>
      </w:pPr>
    </w:p>
    <w:p>
      <w:pPr>
        <w:sectPr>
          <w:pgSz w:w="11900" w:h="16838" w:orient="portrait"/>
          <w:cols w:equalWidth="0" w:num="2">
            <w:col w:w="1860" w:space="400"/>
            <w:col w:w="8940"/>
          </w:cols>
          <w:pgMar w:left="340" w:top="1421" w:right="359" w:bottom="1440" w:gutter="0" w:footer="0" w:header="0"/>
          <w:type w:val="continuous"/>
        </w:sectPr>
      </w:pPr>
    </w:p>
    <w:p>
      <w:pPr>
        <w:spacing w:after="0" w:line="23" w:lineRule="exact"/>
        <w:rPr>
          <w:sz w:val="20"/>
          <w:szCs w:val="20"/>
          <w:color w:val="auto"/>
        </w:rPr>
      </w:pPr>
    </w:p>
    <w:p>
      <w:pPr>
        <w:ind w:left="1780"/>
        <w:spacing w:after="0"/>
        <w:tabs>
          <w:tab w:leader="none" w:pos="2220" w:val="left"/>
        </w:tabs>
        <w:rPr>
          <w:sz w:val="20"/>
          <w:szCs w:val="20"/>
          <w:color w:val="auto"/>
        </w:rPr>
      </w:pPr>
      <w:r>
        <w:rPr>
          <w:rFonts w:ascii="Arial" w:cs="Arial" w:eastAsia="Arial" w:hAnsi="Arial"/>
          <w:sz w:val="18"/>
          <w:szCs w:val="18"/>
          <w:color w:val="0E0E0E"/>
        </w:rPr>
        <w:t>(A)</w:t>
      </w:r>
      <w:r>
        <w:rPr>
          <w:sz w:val="20"/>
          <w:szCs w:val="20"/>
          <w:color w:val="auto"/>
        </w:rPr>
        <w:tab/>
      </w:r>
      <w:r>
        <w:rPr>
          <w:rFonts w:ascii="Arial" w:cs="Arial" w:eastAsia="Arial" w:hAnsi="Arial"/>
          <w:sz w:val="36"/>
          <w:szCs w:val="36"/>
          <w:color w:val="0E0E0E"/>
        </w:rPr>
        <w:t>□</w:t>
      </w:r>
      <w:r>
        <w:rPr>
          <w:rFonts w:ascii="Arial" w:cs="Arial" w:eastAsia="Arial" w:hAnsi="Arial"/>
          <w:sz w:val="17"/>
          <w:szCs w:val="17"/>
          <w:color w:val="0E0E0E"/>
        </w:rPr>
        <w:t>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0E0E0E"/>
        </w:rPr>
        <w:t>of the Employee Participant’s Deferral Contributions for the calendar year.</w:t>
      </w:r>
    </w:p>
    <w:p>
      <w:pPr>
        <w:spacing w:after="0" w:line="100" w:lineRule="exact"/>
        <w:rPr>
          <w:sz w:val="20"/>
          <w:szCs w:val="20"/>
          <w:color w:val="auto"/>
        </w:rPr>
      </w:pPr>
    </w:p>
    <w:p>
      <w:pPr>
        <w:sectPr>
          <w:pgSz w:w="11900" w:h="16838" w:orient="portrait"/>
          <w:cols w:equalWidth="0" w:num="2">
            <w:col w:w="2800" w:space="180"/>
            <w:col w:w="8220"/>
          </w:cols>
          <w:pgMar w:left="340" w:top="1421" w:right="359" w:bottom="1440" w:gutter="0" w:footer="0" w:header="0"/>
          <w:type w:val="continuous"/>
        </w:sectPr>
      </w:pPr>
    </w:p>
    <w:p>
      <w:pPr>
        <w:ind w:left="1780"/>
        <w:spacing w:after="0"/>
        <w:rPr>
          <w:sz w:val="20"/>
          <w:szCs w:val="20"/>
          <w:color w:val="auto"/>
        </w:rPr>
      </w:pPr>
      <w:r>
        <w:rPr>
          <w:rFonts w:ascii="Arial" w:cs="Arial" w:eastAsia="Arial" w:hAnsi="Arial"/>
          <w:sz w:val="16"/>
          <w:szCs w:val="16"/>
          <w:color w:val="0E0E0E"/>
        </w:rPr>
        <w:t>(B)</w:t>
      </w:r>
      <w:r>
        <w:rPr>
          <w:sz w:val="1"/>
          <w:szCs w:val="1"/>
          <w:color w:val="auto"/>
        </w:rPr>
        <w:drawing>
          <wp:inline distT="0" distB="0" distL="0" distR="0">
            <wp:extent cx="222885" cy="1885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2885" cy="188595"/>
                    </a:xfrm>
                    <a:prstGeom prst="rect">
                      <a:avLst/>
                    </a:prstGeom>
                    <a:noFill/>
                    <a:ln>
                      <a:noFill/>
                    </a:ln>
                  </pic:spPr>
                </pic:pic>
              </a:graphicData>
            </a:graphic>
          </wp:inline>
        </w:drawing>
      </w:r>
      <w:r>
        <w:rPr>
          <w:rFonts w:ascii="Arial" w:cs="Arial" w:eastAsia="Arial" w:hAnsi="Arial"/>
          <w:sz w:val="16"/>
          <w:szCs w:val="16"/>
          <w:color w:val="0E0E0E"/>
        </w:rPr>
        <w:t xml:space="preserve">   The amount, if any, declared by the Employer in writing, which writing is hereby incorporated herein.</w:t>
      </w:r>
    </w:p>
    <w:p>
      <w:pPr>
        <w:sectPr>
          <w:pgSz w:w="11900" w:h="16838" w:orient="portrait"/>
          <w:cols w:equalWidth="0" w:num="1">
            <w:col w:w="11200"/>
          </w:cols>
          <w:pgMar w:left="340" w:top="1421" w:right="359" w:bottom="1440" w:gutter="0" w:footer="0" w:header="0"/>
          <w:type w:val="continuous"/>
        </w:sectPr>
      </w:pPr>
    </w:p>
    <w:p>
      <w:pPr>
        <w:spacing w:after="0" w:line="99" w:lineRule="exact"/>
        <w:rPr>
          <w:sz w:val="20"/>
          <w:szCs w:val="20"/>
          <w:color w:val="auto"/>
        </w:rPr>
      </w:pPr>
    </w:p>
    <w:p>
      <w:pPr>
        <w:ind w:left="2260" w:hanging="490"/>
        <w:spacing w:after="0"/>
        <w:tabs>
          <w:tab w:leader="none" w:pos="2260" w:val="left"/>
        </w:tabs>
        <w:numPr>
          <w:ilvl w:val="0"/>
          <w:numId w:val="39"/>
        </w:numPr>
        <w:rPr>
          <w:rFonts w:ascii="Arial" w:cs="Arial" w:eastAsia="Arial" w:hAnsi="Arial"/>
          <w:sz w:val="18"/>
          <w:szCs w:val="18"/>
          <w:color w:val="0E0E0E"/>
        </w:rPr>
      </w:pPr>
      <w:r>
        <w:rPr>
          <w:rFonts w:ascii="Arial" w:cs="Arial" w:eastAsia="Arial" w:hAnsi="Arial"/>
          <w:sz w:val="36"/>
          <w:szCs w:val="36"/>
          <w:color w:val="0E0E0E"/>
        </w:rPr>
        <w:t xml:space="preserve">□ </w:t>
      </w:r>
      <w:r>
        <w:rPr>
          <w:rFonts w:ascii="Arial" w:cs="Arial" w:eastAsia="Arial" w:hAnsi="Arial"/>
          <w:sz w:val="17"/>
          <w:szCs w:val="17"/>
          <w:color w:val="0E0E0E"/>
        </w:rPr>
        <w:t>Other:</w:t>
      </w:r>
      <w:r>
        <w:rPr>
          <w:rFonts w:ascii="Arial" w:cs="Arial" w:eastAsia="Arial" w:hAnsi="Arial"/>
          <w:sz w:val="36"/>
          <w:szCs w:val="36"/>
          <w:color w:val="0E0E0E"/>
        </w:rPr>
        <w:t xml:space="preserve"> </w:t>
      </w:r>
      <w:r>
        <w:rPr>
          <w:rFonts w:ascii="Arial" w:cs="Arial" w:eastAsia="Arial" w:hAnsi="Arial"/>
          <w:sz w:val="17"/>
          <w:szCs w:val="17"/>
          <w:u w:val="single" w:color="auto"/>
          <w:color w:val="0E0E0E"/>
        </w:rPr>
        <w:t>____________________________________________________</w:t>
      </w:r>
    </w:p>
    <w:p>
      <w:pPr>
        <w:spacing w:after="0" w:line="249" w:lineRule="exact"/>
        <w:rPr>
          <w:sz w:val="20"/>
          <w:szCs w:val="20"/>
          <w:color w:val="auto"/>
        </w:rPr>
      </w:pPr>
    </w:p>
    <w:p>
      <w:pPr>
        <w:ind w:left="2260" w:hanging="971"/>
        <w:spacing w:after="0"/>
        <w:rPr>
          <w:sz w:val="20"/>
          <w:szCs w:val="20"/>
          <w:color w:val="auto"/>
        </w:rPr>
      </w:pPr>
      <w:r>
        <w:rPr>
          <w:rFonts w:ascii="Arial" w:cs="Arial" w:eastAsia="Arial" w:hAnsi="Arial"/>
          <w:sz w:val="18"/>
          <w:szCs w:val="18"/>
          <w:color w:val="auto"/>
        </w:rPr>
        <w:t>(2)</w:t>
      </w:r>
      <w:r>
        <w:rPr>
          <w:sz w:val="1"/>
          <w:szCs w:val="1"/>
          <w:color w:val="auto"/>
        </w:rPr>
        <w:drawing>
          <wp:inline distT="0" distB="0" distL="0" distR="0">
            <wp:extent cx="154305" cy="1797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179705"/>
                    </a:xfrm>
                    <a:prstGeom prst="rect">
                      <a:avLst/>
                    </a:prstGeom>
                    <a:noFill/>
                    <a:ln>
                      <a:noFill/>
                    </a:ln>
                  </pic:spPr>
                </pic:pic>
              </a:graphicData>
            </a:graphic>
          </wp:inline>
        </w:drawing>
      </w:r>
      <w:r>
        <w:rPr>
          <w:rFonts w:ascii="Arial" w:cs="Arial" w:eastAsia="Arial" w:hAnsi="Arial"/>
          <w:sz w:val="18"/>
          <w:szCs w:val="18"/>
          <w:color w:val="auto"/>
        </w:rPr>
        <w:t xml:space="preserve"> Matching Contribution Offset. For each Employee Participant who has made elective contributions (as defined in 26 CFR section l.401(k)-6 (“QP Deferrals”)) of the maximum permitted under Code section 402(g), or the maximum permitted under the terms of</w:t>
      </w:r>
    </w:p>
    <w:p>
      <w:pPr>
        <w:ind w:left="2240"/>
        <w:spacing w:after="0"/>
        <w:rPr>
          <w:sz w:val="20"/>
          <w:szCs w:val="20"/>
          <w:color w:val="auto"/>
        </w:rPr>
      </w:pPr>
      <w:r>
        <w:rPr>
          <w:rFonts w:ascii="Arial" w:cs="Arial" w:eastAsia="Arial" w:hAnsi="Arial"/>
          <w:sz w:val="16"/>
          <w:szCs w:val="16"/>
          <w:color w:val="auto"/>
        </w:rPr>
        <w:t>the ______________ Plan (the “QP”), to the QP, the Employer shall make a Matching Contribution in an amount equal to</w:t>
      </w:r>
    </w:p>
    <w:p>
      <w:pPr>
        <w:spacing w:after="0" w:line="32" w:lineRule="exact"/>
        <w:rPr>
          <w:sz w:val="20"/>
          <w:szCs w:val="20"/>
          <w:color w:val="auto"/>
        </w:rPr>
      </w:pPr>
    </w:p>
    <w:p>
      <w:pPr>
        <w:ind w:left="2560" w:hanging="304"/>
        <w:spacing w:after="0"/>
        <w:tabs>
          <w:tab w:leader="none" w:pos="2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minus (B) below:</w:t>
      </w:r>
    </w:p>
    <w:p>
      <w:pPr>
        <w:spacing w:after="0" w:line="237" w:lineRule="exact"/>
        <w:rPr>
          <w:rFonts w:ascii="Arial" w:cs="Arial" w:eastAsia="Arial" w:hAnsi="Arial"/>
          <w:sz w:val="18"/>
          <w:szCs w:val="18"/>
          <w:color w:val="auto"/>
        </w:rPr>
      </w:pPr>
    </w:p>
    <w:p>
      <w:pPr>
        <w:ind w:left="2260" w:right="80" w:hanging="490"/>
        <w:spacing w:after="0" w:line="263" w:lineRule="auto"/>
        <w:tabs>
          <w:tab w:leader="none" w:pos="2253" w:val="left"/>
        </w:tabs>
        <w:numPr>
          <w:ilvl w:val="0"/>
          <w:numId w:val="41"/>
        </w:numPr>
        <w:rPr>
          <w:rFonts w:ascii="Arial" w:cs="Arial" w:eastAsia="Arial" w:hAnsi="Arial"/>
          <w:sz w:val="18"/>
          <w:szCs w:val="18"/>
          <w:color w:val="0E0E0E"/>
        </w:rPr>
      </w:pPr>
      <w:r>
        <w:rPr>
          <w:rFonts w:ascii="Arial" w:cs="Arial" w:eastAsia="Arial" w:hAnsi="Arial"/>
          <w:sz w:val="18"/>
          <w:szCs w:val="18"/>
          <w:color w:val="0E0E0E"/>
        </w:rPr>
        <w:t>The matching contributions (as defined in 26 CFR section 1.401(m)-1(a)(2) (“QP Match”)) that the Employee Participant would have received under the QP on the sum of the Deferral Contributions and the Participant’s QP Deferrals, determined as though—</w:t>
      </w:r>
    </w:p>
    <w:p>
      <w:pPr>
        <w:spacing w:after="0" w:line="224" w:lineRule="exact"/>
        <w:rPr>
          <w:rFonts w:ascii="Arial" w:cs="Arial" w:eastAsia="Arial" w:hAnsi="Arial"/>
          <w:sz w:val="18"/>
          <w:szCs w:val="18"/>
          <w:color w:val="0E0E0E"/>
        </w:rPr>
      </w:pPr>
    </w:p>
    <w:p>
      <w:pPr>
        <w:ind w:left="3120" w:hanging="332"/>
        <w:spacing w:after="0"/>
        <w:tabs>
          <w:tab w:leader="none" w:pos="3120" w:val="left"/>
        </w:tabs>
        <w:numPr>
          <w:ilvl w:val="2"/>
          <w:numId w:val="41"/>
        </w:numPr>
        <w:rPr>
          <w:rFonts w:ascii="Arial" w:cs="Arial" w:eastAsia="Arial" w:hAnsi="Arial"/>
          <w:sz w:val="18"/>
          <w:szCs w:val="18"/>
          <w:color w:val="0E0E0E"/>
        </w:rPr>
      </w:pPr>
      <w:r>
        <w:rPr>
          <w:rFonts w:ascii="Arial" w:cs="Arial" w:eastAsia="Arial" w:hAnsi="Arial"/>
          <w:sz w:val="18"/>
          <w:szCs w:val="18"/>
          <w:color w:val="0E0E0E"/>
        </w:rPr>
        <w:t>no limits otherwise imposed by the tax law applied to such QP match; and</w:t>
      </w:r>
    </w:p>
    <w:p>
      <w:pPr>
        <w:spacing w:after="0" w:line="23" w:lineRule="exact"/>
        <w:rPr>
          <w:rFonts w:ascii="Arial" w:cs="Arial" w:eastAsia="Arial" w:hAnsi="Arial"/>
          <w:sz w:val="18"/>
          <w:szCs w:val="18"/>
          <w:color w:val="0E0E0E"/>
        </w:rPr>
      </w:pPr>
    </w:p>
    <w:p>
      <w:pPr>
        <w:ind w:left="3100" w:hanging="312"/>
        <w:spacing w:after="0"/>
        <w:tabs>
          <w:tab w:leader="none" w:pos="3100" w:val="left"/>
        </w:tabs>
        <w:numPr>
          <w:ilvl w:val="2"/>
          <w:numId w:val="41"/>
        </w:numPr>
        <w:rPr>
          <w:rFonts w:ascii="Arial" w:cs="Arial" w:eastAsia="Arial" w:hAnsi="Arial"/>
          <w:sz w:val="18"/>
          <w:szCs w:val="18"/>
          <w:color w:val="0E0E0E"/>
        </w:rPr>
      </w:pPr>
      <w:r>
        <w:rPr>
          <w:rFonts w:ascii="Arial" w:cs="Arial" w:eastAsia="Arial" w:hAnsi="Arial"/>
          <w:sz w:val="18"/>
          <w:szCs w:val="18"/>
          <w:color w:val="0E0E0E"/>
        </w:rPr>
        <w:t>the Employee Participant’s Deferral Contributions had been made to the QP.</w:t>
      </w:r>
    </w:p>
    <w:p>
      <w:pPr>
        <w:spacing w:after="0" w:line="264" w:lineRule="exact"/>
        <w:rPr>
          <w:rFonts w:ascii="Arial" w:cs="Arial" w:eastAsia="Arial" w:hAnsi="Arial"/>
          <w:sz w:val="18"/>
          <w:szCs w:val="18"/>
          <w:color w:val="0E0E0E"/>
        </w:rPr>
      </w:pPr>
    </w:p>
    <w:p>
      <w:pPr>
        <w:ind w:left="2260" w:hanging="490"/>
        <w:spacing w:after="0"/>
        <w:tabs>
          <w:tab w:leader="none" w:pos="2260" w:val="left"/>
        </w:tabs>
        <w:numPr>
          <w:ilvl w:val="0"/>
          <w:numId w:val="41"/>
        </w:numPr>
        <w:rPr>
          <w:rFonts w:ascii="Arial" w:cs="Arial" w:eastAsia="Arial" w:hAnsi="Arial"/>
          <w:sz w:val="18"/>
          <w:szCs w:val="18"/>
          <w:color w:val="0E0E0E"/>
        </w:rPr>
      </w:pPr>
      <w:r>
        <w:rPr>
          <w:rFonts w:ascii="Arial" w:cs="Arial" w:eastAsia="Arial" w:hAnsi="Arial"/>
          <w:sz w:val="18"/>
          <w:szCs w:val="18"/>
          <w:color w:val="0E0E0E"/>
        </w:rPr>
        <w:t>The QP Match actually made to such Employee Participant under the QP for the applicable calendar year.</w:t>
      </w:r>
    </w:p>
    <w:p>
      <w:pPr>
        <w:spacing w:after="0" w:line="252" w:lineRule="exact"/>
        <w:rPr>
          <w:sz w:val="20"/>
          <w:szCs w:val="20"/>
          <w:color w:val="auto"/>
        </w:rPr>
      </w:pPr>
    </w:p>
    <w:p>
      <w:pPr>
        <w:ind w:left="1580" w:right="120" w:hanging="3"/>
        <w:spacing w:after="0" w:line="277" w:lineRule="auto"/>
        <w:rPr>
          <w:sz w:val="20"/>
          <w:szCs w:val="20"/>
          <w:color w:val="auto"/>
        </w:rPr>
      </w:pPr>
      <w:r>
        <w:rPr>
          <w:rFonts w:ascii="Arial" w:cs="Arial" w:eastAsia="Arial" w:hAnsi="Arial"/>
          <w:sz w:val="18"/>
          <w:szCs w:val="18"/>
          <w:color w:val="0E0E0E"/>
        </w:rPr>
        <w:t>Provided, however, that the Matching Contributions made on behalf of any Employee Participant pursuant to this Section 1.05(b)(2) shall be limited as provided in Section 4.02 hereof.</w:t>
      </w:r>
    </w:p>
    <w:p>
      <w:pPr>
        <w:sectPr>
          <w:pgSz w:w="11900" w:h="16838" w:orient="portrait"/>
          <w:cols w:equalWidth="0" w:num="1">
            <w:col w:w="11200"/>
          </w:cols>
          <w:pgMar w:left="340" w:top="1421" w:right="359" w:bottom="1440" w:gutter="0" w:footer="0" w:header="0"/>
          <w:type w:val="continuous"/>
        </w:sectPr>
      </w:pP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(3)</w:t>
      </w:r>
      <w:r>
        <w:rPr>
          <w:sz w:val="1"/>
          <w:szCs w:val="1"/>
          <w:color w:val="auto"/>
        </w:rPr>
        <w:drawing>
          <wp:inline distT="0" distB="0" distL="0" distR="0">
            <wp:extent cx="154305" cy="1797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1797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Matching Contribution Limits </w:t>
      </w:r>
      <w:r>
        <w:rPr>
          <w:rFonts w:ascii="Arial" w:cs="Arial" w:eastAsia="Arial" w:hAnsi="Arial"/>
          <w:sz w:val="16"/>
          <w:szCs w:val="16"/>
          <w:i w:val="1"/>
          <w:iCs w:val="1"/>
          <w:color w:val="auto"/>
        </w:rPr>
        <w:t>(Check the appropriate box(es))</w:t>
      </w:r>
      <w:r>
        <w:rPr>
          <w:rFonts w:ascii="Arial" w:cs="Arial" w:eastAsia="Arial" w:hAnsi="Arial"/>
          <w:sz w:val="16"/>
          <w:szCs w:val="16"/>
          <w:color w:val="auto"/>
        </w:rPr>
        <w:t>:</w:t>
      </w:r>
    </w:p>
    <w:p>
      <w:pPr>
        <w:spacing w:after="0" w:line="219" w:lineRule="exact"/>
        <w:rPr>
          <w:sz w:val="20"/>
          <w:szCs w:val="20"/>
          <w:color w:val="auto"/>
        </w:rPr>
      </w:pPr>
    </w:p>
    <w:p>
      <w:pPr>
        <w:sectPr>
          <w:pgSz w:w="11900" w:h="16838" w:orient="portrait"/>
          <w:cols w:equalWidth="0" w:num="2">
            <w:col w:w="1820" w:space="720"/>
            <w:col w:w="8660"/>
          </w:cols>
          <w:pgMar w:left="340" w:top="1421" w:right="359" w:bottom="1440" w:gutter="0" w:footer="0" w:header="0"/>
          <w:type w:val="continuous"/>
        </w:sectPr>
      </w:pPr>
    </w:p>
    <w:p>
      <w:pPr>
        <w:spacing w:after="0" w:line="29" w:lineRule="exact"/>
        <w:rPr>
          <w:sz w:val="20"/>
          <w:szCs w:val="20"/>
          <w:color w:val="auto"/>
        </w:rPr>
      </w:pPr>
    </w:p>
    <w:p>
      <w:pPr>
        <w:ind w:left="2580" w:right="640" w:hanging="809"/>
        <w:spacing w:after="0"/>
        <w:rPr>
          <w:sz w:val="20"/>
          <w:szCs w:val="20"/>
          <w:color w:val="auto"/>
        </w:rPr>
      </w:pPr>
      <w:r>
        <w:rPr>
          <w:rFonts w:ascii="Arial" w:cs="Arial" w:eastAsia="Arial" w:hAnsi="Arial"/>
          <w:sz w:val="18"/>
          <w:szCs w:val="18"/>
          <w:color w:val="0E0E0E"/>
        </w:rPr>
        <w:t>(A)</w:t>
      </w:r>
      <w:r>
        <w:rPr>
          <w:sz w:val="1"/>
          <w:szCs w:val="1"/>
          <w:color w:val="auto"/>
        </w:rPr>
        <w:drawing>
          <wp:inline distT="0" distB="0" distL="0" distR="0">
            <wp:extent cx="154305" cy="1885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188595"/>
                    </a:xfrm>
                    <a:prstGeom prst="rect">
                      <a:avLst/>
                    </a:prstGeom>
                    <a:noFill/>
                    <a:ln>
                      <a:noFill/>
                    </a:ln>
                  </pic:spPr>
                </pic:pic>
              </a:graphicData>
            </a:graphic>
          </wp:inline>
        </w:drawing>
      </w:r>
      <w:r>
        <w:rPr>
          <w:rFonts w:ascii="Arial" w:cs="Arial" w:eastAsia="Arial" w:hAnsi="Arial"/>
          <w:sz w:val="18"/>
          <w:szCs w:val="18"/>
          <w:color w:val="0E0E0E"/>
        </w:rPr>
        <w:t xml:space="preserve"> Deferral Contributions in excess of __% of the Employee Participant’s Compensation for the calendar year shall not be considered for Matching Contributions.</w:t>
      </w:r>
    </w:p>
    <w:p>
      <w:pPr>
        <w:sectPr>
          <w:pgSz w:w="11900" w:h="16838" w:orient="portrait"/>
          <w:cols w:equalWidth="0" w:num="1">
            <w:col w:w="11200"/>
          </w:cols>
          <w:pgMar w:left="340" w:top="14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0F0F0F"/>
        </w:rPr>
        <w:t>Plan Number: 44317 ECM NQ 2007 AA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F0F0F"/>
        </w:rPr>
        <w:t>(07/2007) 10/21/2019</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F0F0F"/>
        </w:rPr>
        <w:t>Page 2</w:t>
      </w:r>
    </w:p>
    <w:p>
      <w:pPr>
        <w:spacing w:after="0" w:line="5" w:lineRule="exact"/>
        <w:rPr>
          <w:sz w:val="20"/>
          <w:szCs w:val="20"/>
          <w:color w:val="auto"/>
        </w:rPr>
      </w:pPr>
    </w:p>
    <w:p>
      <w:pPr>
        <w:ind w:left="4080" w:hanging="162"/>
        <w:spacing w:after="0"/>
        <w:tabs>
          <w:tab w:leader="none" w:pos="4080" w:val="left"/>
        </w:tabs>
        <w:numPr>
          <w:ilvl w:val="0"/>
          <w:numId w:val="42"/>
        </w:numPr>
        <w:rPr>
          <w:rFonts w:ascii="Arial" w:cs="Arial" w:eastAsia="Arial" w:hAnsi="Arial"/>
          <w:sz w:val="14"/>
          <w:szCs w:val="14"/>
          <w:color w:val="0F0F0F"/>
        </w:rPr>
      </w:pPr>
      <w:r>
        <w:rPr>
          <w:rFonts w:ascii="Arial" w:cs="Arial" w:eastAsia="Arial" w:hAnsi="Arial"/>
          <w:sz w:val="14"/>
          <w:szCs w:val="14"/>
          <w:color w:val="0F0F0F"/>
        </w:rPr>
        <w:t>2007 Fidelity Management &amp; Research Company</w:t>
      </w:r>
    </w:p>
    <w:p>
      <w:pPr>
        <w:sectPr>
          <w:pgSz w:w="11900" w:h="16838" w:orient="portrait"/>
          <w:cols w:equalWidth="0" w:num="1">
            <w:col w:w="11200"/>
          </w:cols>
          <w:pgMar w:left="340" w:top="1421" w:right="359" w:bottom="1440" w:gutter="0" w:footer="0" w:header="0"/>
          <w:type w:val="continuous"/>
        </w:sectPr>
      </w:pPr>
    </w:p>
    <w:bookmarkStart w:id="84" w:name="page85"/>
    <w:bookmarkEnd w:id="84"/>
    <w:p>
      <w:pPr>
        <w:spacing w:after="0" w:line="347" w:lineRule="exact"/>
        <w:rPr>
          <w:sz w:val="20"/>
          <w:szCs w:val="20"/>
          <w:color w:val="auto"/>
        </w:rPr>
      </w:pPr>
    </w:p>
    <w:p>
      <w:pPr>
        <w:ind w:left="1780"/>
        <w:spacing w:after="0"/>
        <w:tabs>
          <w:tab w:leader="none" w:pos="10280" w:val="left"/>
        </w:tabs>
        <w:rPr>
          <w:sz w:val="20"/>
          <w:szCs w:val="20"/>
          <w:color w:val="auto"/>
        </w:rPr>
      </w:pPr>
      <w:r>
        <w:rPr>
          <w:rFonts w:ascii="Arial" w:cs="Arial" w:eastAsia="Arial" w:hAnsi="Arial"/>
          <w:sz w:val="15"/>
          <w:szCs w:val="15"/>
          <w:color w:val="auto"/>
        </w:rPr>
        <w:t>(B)</w:t>
      </w:r>
      <w:r>
        <w:rPr>
          <w:sz w:val="1"/>
          <w:szCs w:val="1"/>
          <w:color w:val="auto"/>
        </w:rPr>
        <w:drawing>
          <wp:inline distT="0" distB="0" distL="0" distR="0">
            <wp:extent cx="154305" cy="18859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188595"/>
                    </a:xfrm>
                    <a:prstGeom prst="rect">
                      <a:avLst/>
                    </a:prstGeom>
                    <a:noFill/>
                    <a:ln>
                      <a:noFill/>
                    </a:ln>
                  </pic:spPr>
                </pic:pic>
              </a:graphicData>
            </a:graphic>
          </wp:inline>
        </w:drawing>
      </w:r>
      <w:r>
        <w:rPr>
          <w:rFonts w:ascii="Arial" w:cs="Arial" w:eastAsia="Arial" w:hAnsi="Arial"/>
          <w:sz w:val="17"/>
          <w:szCs w:val="17"/>
          <w:color w:val="0F0F0F"/>
        </w:rPr>
        <w:t xml:space="preserve">       Matching Contributions for each Employee Participant for each calendar year shall be limited to $</w:t>
      </w:r>
      <w:r>
        <w:rPr>
          <w:sz w:val="20"/>
          <w:szCs w:val="20"/>
          <w:color w:val="auto"/>
        </w:rPr>
        <w:tab/>
      </w:r>
      <w:r>
        <w:rPr>
          <w:rFonts w:ascii="Arial" w:cs="Arial" w:eastAsia="Arial" w:hAnsi="Arial"/>
          <w:sz w:val="14"/>
          <w:szCs w:val="14"/>
          <w:color w:val="0F0F0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6278880</wp:posOffset>
            </wp:positionH>
            <wp:positionV relativeFrom="paragraph">
              <wp:posOffset>-13335</wp:posOffset>
            </wp:positionV>
            <wp:extent cx="2857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94" w:lineRule="exact"/>
        <w:rPr>
          <w:sz w:val="20"/>
          <w:szCs w:val="20"/>
          <w:color w:val="auto"/>
        </w:rPr>
      </w:pPr>
    </w:p>
    <w:p>
      <w:pPr>
        <w:ind w:left="1280" w:hanging="655"/>
        <w:spacing w:after="0"/>
        <w:tabs>
          <w:tab w:leader="none" w:pos="1280" w:val="left"/>
        </w:tabs>
        <w:numPr>
          <w:ilvl w:val="0"/>
          <w:numId w:val="43"/>
        </w:numPr>
        <w:rPr>
          <w:rFonts w:ascii="Arial" w:cs="Arial" w:eastAsia="Arial" w:hAnsi="Arial"/>
          <w:sz w:val="18"/>
          <w:szCs w:val="18"/>
          <w:color w:val="0F0F0F"/>
        </w:rPr>
      </w:pPr>
      <w:r>
        <w:rPr>
          <w:rFonts w:ascii="Arial" w:cs="Arial" w:eastAsia="Arial" w:hAnsi="Arial"/>
          <w:sz w:val="18"/>
          <w:szCs w:val="18"/>
          <w:color w:val="0F0F0F"/>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168910</wp:posOffset>
            </wp:positionV>
            <wp:extent cx="15430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188595"/>
                    </a:xfrm>
                    <a:prstGeom prst="rect">
                      <a:avLst/>
                    </a:prstGeom>
                    <a:noFill/>
                  </pic:spPr>
                </pic:pic>
              </a:graphicData>
            </a:graphic>
          </wp:anchor>
        </w:drawing>
      </w:r>
    </w:p>
    <w:p>
      <w:pPr>
        <w:spacing w:after="0" w:line="367"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90"/>
              </w:rPr>
              <w:t>(1)</w:t>
            </w:r>
          </w:p>
        </w:tc>
        <w:tc>
          <w:tcPr>
            <w:tcW w:w="9340" w:type="dxa"/>
            <w:vAlign w:val="bottom"/>
          </w:tcPr>
          <w:p>
            <w:pPr>
              <w:ind w:left="660"/>
              <w:spacing w:after="0"/>
              <w:rPr>
                <w:sz w:val="20"/>
                <w:szCs w:val="20"/>
                <w:color w:val="auto"/>
              </w:rPr>
            </w:pPr>
            <w:r>
              <w:rPr>
                <w:rFonts w:ascii="Arial" w:cs="Arial" w:eastAsia="Arial" w:hAnsi="Arial"/>
                <w:sz w:val="18"/>
                <w:szCs w:val="18"/>
                <w:color w:val="auto"/>
                <w:w w:val="97"/>
              </w:rPr>
              <w:t>Fixed Employer Contributions. The Employer shall make an Employer Contribution on behalf of each Employee</w:t>
            </w:r>
          </w:p>
        </w:tc>
      </w:tr>
      <w:tr>
        <w:trPr>
          <w:trHeight w:val="230"/>
        </w:trPr>
        <w:tc>
          <w:tcPr>
            <w:tcW w:w="600" w:type="dxa"/>
            <w:vAlign w:val="bottom"/>
          </w:tcPr>
          <w:p>
            <w:pPr>
              <w:spacing w:after="0"/>
              <w:rPr>
                <w:sz w:val="20"/>
                <w:szCs w:val="20"/>
                <w:color w:val="auto"/>
              </w:rPr>
            </w:pPr>
          </w:p>
        </w:tc>
        <w:tc>
          <w:tcPr>
            <w:tcW w:w="9340" w:type="dxa"/>
            <w:vAlign w:val="bottom"/>
          </w:tcPr>
          <w:p>
            <w:pPr>
              <w:ind w:left="380"/>
              <w:spacing w:after="0"/>
              <w:rPr>
                <w:sz w:val="20"/>
                <w:szCs w:val="20"/>
                <w:color w:val="auto"/>
              </w:rPr>
            </w:pPr>
            <w:r>
              <w:rPr>
                <w:rFonts w:ascii="Arial" w:cs="Arial" w:eastAsia="Arial" w:hAnsi="Arial"/>
                <w:sz w:val="18"/>
                <w:szCs w:val="18"/>
                <w:color w:val="auto"/>
              </w:rPr>
              <w:t>Participant in an amount determined as described below:</w:t>
            </w:r>
          </w:p>
        </w:tc>
      </w:tr>
      <w:tr>
        <w:trPr>
          <w:trHeight w:val="877"/>
        </w:trPr>
        <w:tc>
          <w:tcPr>
            <w:tcW w:w="600" w:type="dxa"/>
            <w:vAlign w:val="bottom"/>
          </w:tcPr>
          <w:p>
            <w:pPr>
              <w:jc w:val="right"/>
              <w:ind w:right="290"/>
              <w:spacing w:after="0"/>
              <w:rPr>
                <w:sz w:val="20"/>
                <w:szCs w:val="20"/>
                <w:color w:val="auto"/>
              </w:rPr>
            </w:pPr>
            <w:r>
              <w:rPr>
                <w:rFonts w:ascii="Arial" w:cs="Arial" w:eastAsia="Arial" w:hAnsi="Arial"/>
                <w:sz w:val="18"/>
                <w:szCs w:val="18"/>
                <w:color w:val="0E0E0E"/>
                <w:w w:val="90"/>
              </w:rPr>
              <w:t>(2)</w:t>
            </w:r>
          </w:p>
        </w:tc>
        <w:tc>
          <w:tcPr>
            <w:tcW w:w="9340" w:type="dxa"/>
            <w:vAlign w:val="bottom"/>
          </w:tcPr>
          <w:p>
            <w:pPr>
              <w:ind w:left="760"/>
              <w:spacing w:after="0"/>
              <w:rPr>
                <w:sz w:val="20"/>
                <w:szCs w:val="20"/>
                <w:color w:val="auto"/>
              </w:rPr>
            </w:pPr>
            <w:r>
              <w:rPr>
                <w:rFonts w:ascii="Arial" w:cs="Arial" w:eastAsia="Arial" w:hAnsi="Arial"/>
                <w:sz w:val="18"/>
                <w:szCs w:val="18"/>
                <w:color w:val="auto"/>
                <w:w w:val="91"/>
              </w:rPr>
              <w:t>Discretionary Employer Contributions. The Employer may make Employer Contributions to the accounts of Employee</w:t>
            </w:r>
          </w:p>
        </w:tc>
      </w:tr>
      <w:tr>
        <w:trPr>
          <w:trHeight w:val="216"/>
        </w:trPr>
        <w:tc>
          <w:tcPr>
            <w:tcW w:w="600" w:type="dxa"/>
            <w:vAlign w:val="bottom"/>
          </w:tcPr>
          <w:p>
            <w:pPr>
              <w:spacing w:after="0"/>
              <w:rPr>
                <w:sz w:val="18"/>
                <w:szCs w:val="18"/>
                <w:color w:val="auto"/>
              </w:rPr>
            </w:pPr>
          </w:p>
        </w:tc>
        <w:tc>
          <w:tcPr>
            <w:tcW w:w="9340" w:type="dxa"/>
            <w:vAlign w:val="bottom"/>
          </w:tcPr>
          <w:p>
            <w:pPr>
              <w:ind w:left="380"/>
              <w:spacing w:after="0"/>
              <w:rPr>
                <w:sz w:val="20"/>
                <w:szCs w:val="20"/>
                <w:color w:val="auto"/>
              </w:rPr>
            </w:pPr>
            <w:r>
              <w:rPr>
                <w:rFonts w:ascii="Arial" w:cs="Arial" w:eastAsia="Arial" w:hAnsi="Arial"/>
                <w:sz w:val="18"/>
                <w:szCs w:val="18"/>
                <w:color w:val="auto"/>
                <w:w w:val="92"/>
              </w:rPr>
              <w:t>Participants in any amount (which amount may be zero), as determined by the Employer in its sole discretion from time to</w:t>
            </w:r>
          </w:p>
        </w:tc>
      </w:tr>
      <w:tr>
        <w:trPr>
          <w:trHeight w:val="230"/>
        </w:trPr>
        <w:tc>
          <w:tcPr>
            <w:tcW w:w="600" w:type="dxa"/>
            <w:vAlign w:val="bottom"/>
          </w:tcPr>
          <w:p>
            <w:pPr>
              <w:spacing w:after="0"/>
              <w:rPr>
                <w:sz w:val="20"/>
                <w:szCs w:val="20"/>
                <w:color w:val="auto"/>
              </w:rPr>
            </w:pPr>
          </w:p>
        </w:tc>
        <w:tc>
          <w:tcPr>
            <w:tcW w:w="9340" w:type="dxa"/>
            <w:vAlign w:val="bottom"/>
          </w:tcPr>
          <w:p>
            <w:pPr>
              <w:ind w:left="380"/>
              <w:spacing w:after="0"/>
              <w:rPr>
                <w:sz w:val="20"/>
                <w:szCs w:val="20"/>
                <w:color w:val="auto"/>
              </w:rPr>
            </w:pPr>
            <w:r>
              <w:rPr>
                <w:rFonts w:ascii="Arial" w:cs="Arial" w:eastAsia="Arial" w:hAnsi="Arial"/>
                <w:sz w:val="18"/>
                <w:szCs w:val="18"/>
                <w:color w:val="auto"/>
              </w:rPr>
              <w:t>time in a writing, which is hereby incorporated herein.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-676910</wp:posOffset>
            </wp:positionV>
            <wp:extent cx="38144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14445" cy="8255"/>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-513715</wp:posOffset>
            </wp:positionV>
            <wp:extent cx="428625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62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0F0F0F"/>
        </w:rPr>
        <w:t>Plan Number: 44317 ECM NQ 2007 AA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F0F0F"/>
        </w:rPr>
        <w:t>(07/2007) 10/21/2019</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0F0F0F"/>
        </w:rPr>
        <w:t>Page 3</w:t>
      </w:r>
    </w:p>
    <w:p>
      <w:pPr>
        <w:spacing w:after="0" w:line="11" w:lineRule="exact"/>
        <w:rPr>
          <w:sz w:val="20"/>
          <w:szCs w:val="20"/>
          <w:color w:val="auto"/>
        </w:rPr>
      </w:pPr>
    </w:p>
    <w:p>
      <w:pPr>
        <w:ind w:left="4080" w:hanging="162"/>
        <w:spacing w:after="0"/>
        <w:tabs>
          <w:tab w:leader="none" w:pos="4080" w:val="left"/>
        </w:tabs>
        <w:numPr>
          <w:ilvl w:val="0"/>
          <w:numId w:val="44"/>
        </w:numPr>
        <w:rPr>
          <w:rFonts w:ascii="Arial" w:cs="Arial" w:eastAsia="Arial" w:hAnsi="Arial"/>
          <w:sz w:val="16"/>
          <w:szCs w:val="16"/>
          <w:color w:val="0F0F0F"/>
        </w:rPr>
      </w:pPr>
      <w:r>
        <w:rPr>
          <w:rFonts w:ascii="Arial" w:cs="Arial" w:eastAsia="Arial" w:hAnsi="Arial"/>
          <w:sz w:val="16"/>
          <w:szCs w:val="16"/>
          <w:color w:val="0F0F0F"/>
        </w:rPr>
        <w:t>2007 Fidelity Management &amp; Research Company</w:t>
      </w:r>
    </w:p>
    <w:p>
      <w:pPr>
        <w:sectPr>
          <w:pgSz w:w="11900" w:h="16838" w:orient="portrait"/>
          <w:cols w:equalWidth="0" w:num="1">
            <w:col w:w="11220"/>
          </w:cols>
          <w:pgMar w:left="340" w:top="1440" w:right="339" w:bottom="1440" w:gutter="0" w:footer="0" w:header="0"/>
        </w:sectPr>
      </w:pPr>
    </w:p>
    <w:bookmarkStart w:id="85" w:name="page86"/>
    <w:bookmarkEnd w:id="85"/>
    <w:p>
      <w:pPr>
        <w:spacing w:after="0" w:line="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51515"/>
        </w:rPr>
        <w:t>AMENDMENT EXECUTION PAGE</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51515"/>
        </w:rPr>
        <w:t>(Fidelity’s Copy)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Plan Name:</w:t>
      </w:r>
      <w:r>
        <w:rPr>
          <w:sz w:val="20"/>
          <w:szCs w:val="20"/>
          <w:color w:val="auto"/>
        </w:rPr>
        <w:tab/>
      </w:r>
      <w:r>
        <w:rPr>
          <w:rFonts w:ascii="Arial" w:cs="Arial" w:eastAsia="Arial" w:hAnsi="Arial"/>
          <w:sz w:val="16"/>
          <w:szCs w:val="16"/>
          <w:color w:val="auto"/>
        </w:rPr>
        <w:t>EchoStar Non-Qualified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-10160</wp:posOffset>
            </wp:positionV>
            <wp:extent cx="2037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Employer:</w:t>
      </w:r>
      <w:r>
        <w:rPr>
          <w:sz w:val="20"/>
          <w:szCs w:val="20"/>
          <w:color w:val="auto"/>
        </w:rPr>
        <w:tab/>
      </w:r>
      <w:r>
        <w:rPr>
          <w:rFonts w:ascii="Arial" w:cs="Arial" w:eastAsia="Arial" w:hAnsi="Arial"/>
          <w:sz w:val="16"/>
          <w:szCs w:val="16"/>
          <w:color w:val="auto"/>
        </w:rPr>
        <w:t>EchoStar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-10160</wp:posOffset>
            </wp:positionV>
            <wp:extent cx="11137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37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These execution pages are to be completed in the event the Employer modifies any prior election(s) or makes a new election(s) in this Adoption Agreement. Attach the amended page(s) of the Adoption Agreement to these execution pages.)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section(s) of the Plan are hereby amended effective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530" w:type="dxa"/>
        <w:tblCellMar>
          <w:top w:w="0" w:type="dxa"/>
          <w:left w:w="0" w:type="dxa"/>
          <w:bottom w:w="0" w:type="dxa"/>
          <w:right w:w="0" w:type="dxa"/>
        </w:tblCellMar>
      </w:tblPr>
      <w:tr>
        <w:trPr>
          <w:trHeight w:val="258"/>
        </w:trPr>
        <w:tc>
          <w:tcPr>
            <w:tcW w:w="51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Section Amended</w:t>
            </w:r>
          </w:p>
        </w:tc>
        <w:tc>
          <w:tcPr>
            <w:tcW w:w="5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Effective Date</w:t>
            </w:r>
          </w:p>
        </w:tc>
      </w:tr>
      <w:tr>
        <w:trPr>
          <w:trHeight w:val="25"/>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38"/>
        </w:trPr>
        <w:tc>
          <w:tcPr>
            <w:tcW w:w="5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1.05(a)</w:t>
            </w:r>
          </w:p>
        </w:tc>
        <w:tc>
          <w:tcPr>
            <w:tcW w:w="5120" w:type="dxa"/>
            <w:vAlign w:val="bottom"/>
            <w:tcBorders>
              <w:right w:val="single" w:sz="8" w:color="auto"/>
            </w:tcBorders>
          </w:tcPr>
          <w:p>
            <w:pPr>
              <w:jc w:val="right"/>
              <w:ind w:right="2106"/>
              <w:spacing w:after="0"/>
              <w:rPr>
                <w:sz w:val="20"/>
                <w:szCs w:val="20"/>
                <w:color w:val="auto"/>
              </w:rPr>
            </w:pPr>
            <w:r>
              <w:rPr>
                <w:rFonts w:ascii="Arial" w:cs="Arial" w:eastAsia="Arial" w:hAnsi="Arial"/>
                <w:sz w:val="19"/>
                <w:szCs w:val="19"/>
                <w:color w:val="auto"/>
              </w:rPr>
              <w:t>11/1/2019</w:t>
            </w:r>
          </w:p>
        </w:tc>
      </w:tr>
      <w:tr>
        <w:trPr>
          <w:trHeight w:val="25"/>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r>
        <w:trPr>
          <w:trHeight w:val="250"/>
        </w:trPr>
        <w:tc>
          <w:tcPr>
            <w:tcW w:w="512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r>
        <w:trPr>
          <w:trHeight w:val="250"/>
        </w:trPr>
        <w:tc>
          <w:tcPr>
            <w:tcW w:w="512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Employer has caused this Amendment to be executed on the date below.</w:t>
      </w:r>
    </w:p>
    <w:p>
      <w:pPr>
        <w:spacing w:after="0" w:line="252" w:lineRule="exact"/>
        <w:rPr>
          <w:sz w:val="20"/>
          <w:szCs w:val="20"/>
          <w:color w:val="auto"/>
        </w:rPr>
      </w:pPr>
    </w:p>
    <w:p>
      <w:pPr>
        <w:ind w:left="4060"/>
        <w:spacing w:after="0"/>
        <w:tabs>
          <w:tab w:leader="none" w:pos="4980" w:val="left"/>
        </w:tabs>
        <w:rPr>
          <w:sz w:val="20"/>
          <w:szCs w:val="20"/>
          <w:color w:val="auto"/>
        </w:rPr>
      </w:pPr>
      <w:r>
        <w:rPr>
          <w:rFonts w:ascii="Arial" w:cs="Arial" w:eastAsia="Arial" w:hAnsi="Arial"/>
          <w:sz w:val="18"/>
          <w:szCs w:val="18"/>
          <w:color w:val="auto"/>
        </w:rPr>
        <w:t>Employer:</w:t>
      </w:r>
      <w:r>
        <w:rPr>
          <w:sz w:val="20"/>
          <w:szCs w:val="20"/>
          <w:color w:val="auto"/>
        </w:rPr>
        <w:tab/>
      </w:r>
      <w:r>
        <w:rPr>
          <w:rFonts w:ascii="Arial" w:cs="Arial" w:eastAsia="Arial" w:hAnsi="Arial"/>
          <w:sz w:val="16"/>
          <w:szCs w:val="16"/>
          <w:u w:val="single" w:color="auto"/>
          <w:color w:val="auto"/>
        </w:rPr>
        <w:t>EchoStar Corporation</w:t>
      </w:r>
    </w:p>
    <w:p>
      <w:pPr>
        <w:spacing w:after="0" w:line="252"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Michelle Pearre</w:t>
      </w:r>
    </w:p>
    <w:p>
      <w:pPr>
        <w:spacing w:after="0" w:line="252" w:lineRule="exact"/>
        <w:rPr>
          <w:sz w:val="20"/>
          <w:szCs w:val="20"/>
          <w:color w:val="auto"/>
        </w:rPr>
      </w:pPr>
    </w:p>
    <w:p>
      <w:pPr>
        <w:ind w:left="4060"/>
        <w:spacing w:after="0"/>
        <w:tabs>
          <w:tab w:leader="none" w:pos="4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Senior Vice President, Human Resources</w:t>
      </w:r>
    </w:p>
    <w:p>
      <w:pPr>
        <w:spacing w:after="0" w:line="252" w:lineRule="exact"/>
        <w:rPr>
          <w:sz w:val="20"/>
          <w:szCs w:val="20"/>
          <w:color w:val="auto"/>
        </w:rPr>
      </w:pPr>
    </w:p>
    <w:p>
      <w:pPr>
        <w:ind w:left="4060"/>
        <w:spacing w:after="0"/>
        <w:tabs>
          <w:tab w:leader="none" w:pos="4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u w:val="single" w:color="auto"/>
          <w:color w:val="auto"/>
        </w:rPr>
        <w:t>10/21/2019</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6"/>
          <w:szCs w:val="16"/>
          <w:color w:val="0F0F0F"/>
        </w:rPr>
        <w:t>Plan Number: 44317 ECM NQ 2007 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0F0F0F"/>
        </w:rPr>
        <w:t>(07/2007) 10/21/2019</w:t>
      </w:r>
    </w:p>
    <w:p>
      <w:pPr>
        <w:spacing w:after="0" w:line="26"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0F0F0F"/>
        </w:rPr>
        <w:t>Page 4</w:t>
      </w:r>
    </w:p>
    <w:p>
      <w:pPr>
        <w:spacing w:after="0" w:line="11" w:lineRule="exact"/>
        <w:rPr>
          <w:sz w:val="20"/>
          <w:szCs w:val="20"/>
          <w:color w:val="auto"/>
        </w:rPr>
      </w:pPr>
    </w:p>
    <w:p>
      <w:pPr>
        <w:ind w:left="4100" w:hanging="162"/>
        <w:spacing w:after="0"/>
        <w:tabs>
          <w:tab w:leader="none" w:pos="4100" w:val="left"/>
        </w:tabs>
        <w:numPr>
          <w:ilvl w:val="0"/>
          <w:numId w:val="45"/>
        </w:numPr>
        <w:rPr>
          <w:rFonts w:ascii="Arial" w:cs="Arial" w:eastAsia="Arial" w:hAnsi="Arial"/>
          <w:sz w:val="16"/>
          <w:szCs w:val="16"/>
          <w:color w:val="0F0F0F"/>
        </w:rPr>
      </w:pPr>
      <w:r>
        <w:rPr>
          <w:rFonts w:ascii="Arial" w:cs="Arial" w:eastAsia="Arial" w:hAnsi="Arial"/>
          <w:sz w:val="16"/>
          <w:szCs w:val="16"/>
          <w:color w:val="0F0F0F"/>
        </w:rPr>
        <w:t>2007 Fidelity Management &amp; Research Company</w:t>
      </w:r>
    </w:p>
    <w:p>
      <w:pPr>
        <w:sectPr>
          <w:pgSz w:w="11900" w:h="16838" w:orient="portrait"/>
          <w:cols w:equalWidth="0" w:num="1">
            <w:col w:w="10880"/>
          </w:cols>
          <w:pgMar w:left="320" w:top="1440" w:right="699" w:bottom="1440" w:gutter="0" w:footer="0" w:header="0"/>
        </w:sectPr>
      </w:pPr>
    </w:p>
    <w:bookmarkStart w:id="86" w:name="page87"/>
    <w:bookmarkEnd w:id="86"/>
    <w:p>
      <w:pPr>
        <w:spacing w:after="0" w:line="4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131313"/>
        </w:rPr>
        <w:t>AMENDMENT EXECUTION PAGE</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131313"/>
        </w:rPr>
        <w:t>(Employer’s Copy)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Plan Name:</w:t>
      </w:r>
      <w:r>
        <w:rPr>
          <w:sz w:val="20"/>
          <w:szCs w:val="20"/>
          <w:color w:val="auto"/>
        </w:rPr>
        <w:tab/>
      </w:r>
      <w:r>
        <w:rPr>
          <w:rFonts w:ascii="Arial" w:cs="Arial" w:eastAsia="Arial" w:hAnsi="Arial"/>
          <w:sz w:val="16"/>
          <w:szCs w:val="16"/>
          <w:color w:val="auto"/>
        </w:rPr>
        <w:t>EchoStar Non-Qualified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-10160</wp:posOffset>
            </wp:positionV>
            <wp:extent cx="2037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Employer:</w:t>
      </w:r>
      <w:r>
        <w:rPr>
          <w:sz w:val="20"/>
          <w:szCs w:val="20"/>
          <w:color w:val="auto"/>
        </w:rPr>
        <w:tab/>
      </w:r>
      <w:r>
        <w:rPr>
          <w:rFonts w:ascii="Arial" w:cs="Arial" w:eastAsia="Arial" w:hAnsi="Arial"/>
          <w:sz w:val="16"/>
          <w:szCs w:val="16"/>
          <w:color w:val="auto"/>
        </w:rPr>
        <w:t>EchoStar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-10160</wp:posOffset>
            </wp:positionV>
            <wp:extent cx="11137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37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These execution pages are to be completed in the event the Employer modifies any prior election(s) or makes a new election(s) in this Adoption Agreement. Attach the amended page(s) of the Adoption Agreement to these execution pages.)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30" w:type="dxa"/>
        <w:tblCellMar>
          <w:top w:w="0" w:type="dxa"/>
          <w:left w:w="0" w:type="dxa"/>
          <w:bottom w:w="0" w:type="dxa"/>
          <w:right w:w="0" w:type="dxa"/>
        </w:tblCellMar>
      </w:tblPr>
      <w:tr>
        <w:trPr>
          <w:trHeight w:val="258"/>
        </w:trPr>
        <w:tc>
          <w:tcPr>
            <w:tcW w:w="51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Section Amended</w:t>
            </w:r>
          </w:p>
        </w:tc>
        <w:tc>
          <w:tcPr>
            <w:tcW w:w="5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Effective Date</w:t>
            </w:r>
          </w:p>
        </w:tc>
      </w:tr>
      <w:tr>
        <w:trPr>
          <w:trHeight w:val="25"/>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38"/>
        </w:trPr>
        <w:tc>
          <w:tcPr>
            <w:tcW w:w="5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1.05(a)</w:t>
            </w:r>
          </w:p>
        </w:tc>
        <w:tc>
          <w:tcPr>
            <w:tcW w:w="5120" w:type="dxa"/>
            <w:vAlign w:val="bottom"/>
            <w:tcBorders>
              <w:right w:val="single" w:sz="8" w:color="auto"/>
            </w:tcBorders>
          </w:tcPr>
          <w:p>
            <w:pPr>
              <w:jc w:val="right"/>
              <w:ind w:right="2106"/>
              <w:spacing w:after="0"/>
              <w:rPr>
                <w:sz w:val="20"/>
                <w:szCs w:val="20"/>
                <w:color w:val="auto"/>
              </w:rPr>
            </w:pPr>
            <w:r>
              <w:rPr>
                <w:rFonts w:ascii="Arial" w:cs="Arial" w:eastAsia="Arial" w:hAnsi="Arial"/>
                <w:sz w:val="19"/>
                <w:szCs w:val="19"/>
                <w:color w:val="auto"/>
              </w:rPr>
              <w:t>11/1/2019</w:t>
            </w:r>
          </w:p>
        </w:tc>
      </w:tr>
      <w:tr>
        <w:trPr>
          <w:trHeight w:val="25"/>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r>
        <w:trPr>
          <w:trHeight w:val="250"/>
        </w:trPr>
        <w:tc>
          <w:tcPr>
            <w:tcW w:w="512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r>
        <w:trPr>
          <w:trHeight w:val="250"/>
        </w:trPr>
        <w:tc>
          <w:tcPr>
            <w:tcW w:w="512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Employer has caused this Amendment to be executed on the date below.</w:t>
      </w:r>
    </w:p>
    <w:p>
      <w:pPr>
        <w:spacing w:after="0" w:line="252" w:lineRule="exact"/>
        <w:rPr>
          <w:sz w:val="20"/>
          <w:szCs w:val="20"/>
          <w:color w:val="auto"/>
        </w:rPr>
      </w:pPr>
    </w:p>
    <w:p>
      <w:pPr>
        <w:ind w:left="4060"/>
        <w:spacing w:after="0"/>
        <w:tabs>
          <w:tab w:leader="none" w:pos="4980" w:val="left"/>
        </w:tabs>
        <w:rPr>
          <w:sz w:val="20"/>
          <w:szCs w:val="20"/>
          <w:color w:val="auto"/>
        </w:rPr>
      </w:pPr>
      <w:r>
        <w:rPr>
          <w:rFonts w:ascii="Arial" w:cs="Arial" w:eastAsia="Arial" w:hAnsi="Arial"/>
          <w:sz w:val="18"/>
          <w:szCs w:val="18"/>
          <w:color w:val="auto"/>
        </w:rPr>
        <w:t>Employer:</w:t>
      </w:r>
      <w:r>
        <w:rPr>
          <w:sz w:val="20"/>
          <w:szCs w:val="20"/>
          <w:color w:val="auto"/>
        </w:rPr>
        <w:tab/>
      </w:r>
      <w:r>
        <w:rPr>
          <w:rFonts w:ascii="Arial" w:cs="Arial" w:eastAsia="Arial" w:hAnsi="Arial"/>
          <w:sz w:val="16"/>
          <w:szCs w:val="16"/>
          <w:u w:val="single" w:color="auto"/>
          <w:color w:val="auto"/>
        </w:rPr>
        <w:t>EchoStar Corporation</w:t>
      </w:r>
    </w:p>
    <w:p>
      <w:pPr>
        <w:spacing w:after="0" w:line="252" w:lineRule="exact"/>
        <w:rPr>
          <w:sz w:val="20"/>
          <w:szCs w:val="20"/>
          <w:color w:val="auto"/>
        </w:rPr>
      </w:pPr>
    </w:p>
    <w:p>
      <w:pPr>
        <w:ind w:left="406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Michelle Pearre</w:t>
      </w:r>
    </w:p>
    <w:p>
      <w:pPr>
        <w:spacing w:after="0" w:line="252" w:lineRule="exact"/>
        <w:rPr>
          <w:sz w:val="20"/>
          <w:szCs w:val="20"/>
          <w:color w:val="auto"/>
        </w:rPr>
      </w:pPr>
    </w:p>
    <w:p>
      <w:pPr>
        <w:ind w:left="4060"/>
        <w:spacing w:after="0"/>
        <w:tabs>
          <w:tab w:leader="none" w:pos="4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Senior Vice President, Human Resources</w:t>
      </w:r>
    </w:p>
    <w:p>
      <w:pPr>
        <w:spacing w:after="0" w:line="252" w:lineRule="exact"/>
        <w:rPr>
          <w:sz w:val="20"/>
          <w:szCs w:val="20"/>
          <w:color w:val="auto"/>
        </w:rPr>
      </w:pPr>
    </w:p>
    <w:p>
      <w:pPr>
        <w:ind w:left="4060"/>
        <w:spacing w:after="0"/>
        <w:tabs>
          <w:tab w:leader="none" w:pos="4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u w:val="single" w:color="auto"/>
          <w:color w:val="auto"/>
        </w:rPr>
        <w:t>10/21/2019</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6"/>
          <w:szCs w:val="16"/>
          <w:color w:val="0F0F0F"/>
        </w:rPr>
        <w:t>Plan Number: 44317 ECM NQ 2007 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0F0F0F"/>
        </w:rPr>
        <w:t>(07/2007) 10/21/2019</w:t>
      </w:r>
    </w:p>
    <w:p>
      <w:pPr>
        <w:spacing w:after="0" w:line="26"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0F0F0F"/>
        </w:rPr>
        <w:t>Page 5</w:t>
      </w:r>
    </w:p>
    <w:p>
      <w:pPr>
        <w:spacing w:after="0" w:line="11" w:lineRule="exact"/>
        <w:rPr>
          <w:sz w:val="20"/>
          <w:szCs w:val="20"/>
          <w:color w:val="auto"/>
        </w:rPr>
      </w:pPr>
    </w:p>
    <w:p>
      <w:pPr>
        <w:ind w:left="4100" w:hanging="162"/>
        <w:spacing w:after="0"/>
        <w:tabs>
          <w:tab w:leader="none" w:pos="4100" w:val="left"/>
        </w:tabs>
        <w:numPr>
          <w:ilvl w:val="0"/>
          <w:numId w:val="46"/>
        </w:numPr>
        <w:rPr>
          <w:rFonts w:ascii="Arial" w:cs="Arial" w:eastAsia="Arial" w:hAnsi="Arial"/>
          <w:sz w:val="16"/>
          <w:szCs w:val="16"/>
          <w:color w:val="0F0F0F"/>
        </w:rPr>
      </w:pPr>
      <w:r>
        <w:rPr>
          <w:rFonts w:ascii="Arial" w:cs="Arial" w:eastAsia="Arial" w:hAnsi="Arial"/>
          <w:sz w:val="16"/>
          <w:szCs w:val="16"/>
          <w:color w:val="0F0F0F"/>
        </w:rPr>
        <w:t>2007 Fidelity Management &amp; Research Company</w:t>
      </w:r>
    </w:p>
    <w:p>
      <w:pPr>
        <w:sectPr>
          <w:pgSz w:w="11900" w:h="16838" w:orient="portrait"/>
          <w:cols w:equalWidth="0" w:num="1">
            <w:col w:w="10880"/>
          </w:cols>
          <w:pgMar w:left="320" w:top="1440" w:right="6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 Contract between</w:t>
      </w:r>
    </w:p>
    <w:p>
      <w:pPr>
        <w:jc w:val="center"/>
        <w:spacing w:after="0"/>
        <w:rPr>
          <w:sz w:val="20"/>
          <w:szCs w:val="20"/>
          <w:color w:val="auto"/>
        </w:rPr>
      </w:pPr>
      <w:r>
        <w:rPr>
          <w:rFonts w:ascii="Arial" w:cs="Arial" w:eastAsia="Arial" w:hAnsi="Arial"/>
          <w:sz w:val="20"/>
          <w:szCs w:val="20"/>
          <w:b w:val="1"/>
          <w:bCs w:val="1"/>
          <w:color w:val="auto"/>
        </w:rPr>
        <w:t>EchoStar XXIV L.L.C. and Space Systems/Loral, LLC</w:t>
      </w:r>
    </w:p>
    <w:p>
      <w:pPr>
        <w:jc w:val="center"/>
        <w:spacing w:after="0"/>
        <w:rPr>
          <w:sz w:val="20"/>
          <w:szCs w:val="20"/>
          <w:color w:val="auto"/>
        </w:rPr>
      </w:pPr>
      <w:r>
        <w:rPr>
          <w:rFonts w:ascii="Arial" w:cs="Arial" w:eastAsia="Arial" w:hAnsi="Arial"/>
          <w:sz w:val="20"/>
          <w:szCs w:val="20"/>
          <w:b w:val="1"/>
          <w:bCs w:val="1"/>
          <w:color w:val="auto"/>
        </w:rPr>
        <w:t>for the Jupiter 3 Satellite Program</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Amendment No. 1 (“Amendment No. 1”) to the Contract between Echostar XXIV L.L.C. (hereinafter referred as “EchoStar” or the “Purchaser”) and Space Systems/Loral, LLC (hereinafter referred as “SSL” or the “Contractor”), dated April 19, 2017, (referred to hereinafter as the “Contract”) is made as of October 1, 2018 (“Amendment No. 1 Effective Date”) by and between EchoStar and SSL (collectively, the “Parties”). Capitalized terms used but not defined in this Amendment No. 1 have the meaning given to them in the Contract.</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Parties agree to make changes to certain technical specifications of the Satellite and other corresponding and/or conforming changes to the Contract; and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WHEREAS, the Parties wish to incorporate these changes into the Contract by executing this Amendment No. 1 to the Contract.</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NOW, THEREFORE, in consideration of the promises and mutual covenants and agreements contained in this Amendment No. 1, the Parties agree to amend the Contract as follows:</w:t>
      </w:r>
    </w:p>
    <w:p>
      <w:pPr>
        <w:spacing w:after="0" w:line="204" w:lineRule="exact"/>
        <w:rPr>
          <w:sz w:val="20"/>
          <w:szCs w:val="20"/>
          <w:color w:val="auto"/>
        </w:rPr>
      </w:pPr>
    </w:p>
    <w:p>
      <w:pPr>
        <w:jc w:val="both"/>
        <w:ind w:left="340" w:hanging="332"/>
        <w:spacing w:after="0" w:line="250"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“Exhibit B, Satellite Performance Specification, dated April 19, 2017” is hereby deleted in its entirety and replaced with “Exhibit B, Satellite Performance Specification, dated October 1, 2018”, attached to this Amendment No. 1 and incorporated herein by reference in its entirety.</w:t>
      </w:r>
    </w:p>
    <w:p>
      <w:pPr>
        <w:spacing w:after="0" w:line="212" w:lineRule="exact"/>
        <w:rPr>
          <w:rFonts w:ascii="Arial" w:cs="Arial" w:eastAsia="Arial" w:hAnsi="Arial"/>
          <w:sz w:val="20"/>
          <w:szCs w:val="20"/>
          <w:color w:val="auto"/>
        </w:rPr>
      </w:pPr>
    </w:p>
    <w:p>
      <w:pPr>
        <w:ind w:left="340" w:hanging="332"/>
        <w:spacing w:after="0" w:line="260"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“Exhibit E, Payment Plan, dated April 19, 2017” is hereby deleted in its entirety and replaced with “Exhibit E, Payment Plan, dated October 1, 2018”, attached to this Amendment No. 1 and incorporated herein by reference in its entirety.</w:t>
      </w:r>
    </w:p>
    <w:p>
      <w:pPr>
        <w:spacing w:after="0" w:line="203" w:lineRule="exact"/>
        <w:rPr>
          <w:rFonts w:ascii="Arial" w:cs="Arial" w:eastAsia="Arial" w:hAnsi="Arial"/>
          <w:sz w:val="20"/>
          <w:szCs w:val="20"/>
          <w:color w:val="auto"/>
        </w:rPr>
      </w:pPr>
    </w:p>
    <w:p>
      <w:pPr>
        <w:ind w:left="340" w:hanging="332"/>
        <w:spacing w:after="0" w:line="260"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Article 2.1(ii), the reference to “Exhibit B, Satellite Performance Specification, dated April 19, 2017” is hereby deleted and replaced with the following: “Exhibit B, Satellite Performance Specification, dated October 1, 2018”.</w:t>
      </w:r>
    </w:p>
    <w:p>
      <w:pPr>
        <w:spacing w:after="0" w:line="203" w:lineRule="exact"/>
        <w:rPr>
          <w:rFonts w:ascii="Arial" w:cs="Arial" w:eastAsia="Arial" w:hAnsi="Arial"/>
          <w:sz w:val="20"/>
          <w:szCs w:val="20"/>
          <w:color w:val="auto"/>
        </w:rPr>
      </w:pPr>
    </w:p>
    <w:p>
      <w:pPr>
        <w:ind w:left="340" w:hanging="332"/>
        <w:spacing w:after="0" w:line="260" w:lineRule="auto"/>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Article 2.1(v), the reference to “Exhibit E, Payment Plan, dated April 19, 2017” is hereby deleted and replaced with the following: “Exhibit E, Payment Plan, dated October 1, 2018”.</w:t>
      </w:r>
    </w:p>
    <w:p>
      <w:pPr>
        <w:spacing w:after="0" w:line="203" w:lineRule="exact"/>
        <w:rPr>
          <w:rFonts w:ascii="Arial" w:cs="Arial" w:eastAsia="Arial" w:hAnsi="Arial"/>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Article 3.1, the reference to *** in Item 1 of the table is hereby deleted and replaced with the following: *** and, in the note under the</w:t>
      </w:r>
    </w:p>
    <w:p>
      <w:pPr>
        <w:spacing w:after="0" w:line="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table denoted by an asterisk, the reference to *** is hereby deleted and replaced with the following: ***.</w:t>
      </w:r>
    </w:p>
    <w:p>
      <w:pPr>
        <w:spacing w:after="0" w:line="226"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Article 4, the reference to *** is hereby deleted and replaced with the following: ***.</w:t>
      </w:r>
    </w:p>
    <w:p>
      <w:pPr>
        <w:spacing w:after="0" w:line="242" w:lineRule="exact"/>
        <w:rPr>
          <w:rFonts w:ascii="Arial" w:cs="Arial" w:eastAsia="Arial" w:hAnsi="Arial"/>
          <w:sz w:val="20"/>
          <w:szCs w:val="20"/>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Articles 14.1 and 15.3, the references to *** are hereby deleted and replaced with the following: ***.</w:t>
      </w:r>
    </w:p>
    <w:p>
      <w:pPr>
        <w:spacing w:after="0" w:line="242" w:lineRule="exact"/>
        <w:rPr>
          <w:rFonts w:ascii="Arial" w:cs="Arial" w:eastAsia="Arial" w:hAnsi="Arial"/>
          <w:sz w:val="20"/>
          <w:szCs w:val="20"/>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Article 17.1, the reference to *** is hereby deleted and replaced with the following: ***.</w:t>
      </w:r>
    </w:p>
    <w:p>
      <w:pPr>
        <w:spacing w:after="0" w:line="242" w:lineRule="exact"/>
        <w:rPr>
          <w:rFonts w:ascii="Arial" w:cs="Arial" w:eastAsia="Arial" w:hAnsi="Arial"/>
          <w:sz w:val="20"/>
          <w:szCs w:val="20"/>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Article 17.2.1 is hereby deleted in its entirety and replaced with the following:</w:t>
      </w:r>
    </w:p>
    <w:p>
      <w:pPr>
        <w:spacing w:after="0" w:line="15"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Certain confidential portions of this exhibit were omitted by means of redacting a portion of the text.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EchoStar and SSL Proprietary</w:t>
      </w:r>
    </w:p>
    <w:p>
      <w:pPr>
        <w:sectPr>
          <w:pgSz w:w="11900" w:h="16838" w:orient="portrait"/>
          <w:cols w:equalWidth="0" w:num="1">
            <w:col w:w="11240"/>
          </w:cols>
          <w:pgMar w:left="320" w:top="121" w:right="339" w:bottom="1440" w:gutter="0" w:footer="0" w:header="0"/>
        </w:sectPr>
      </w:pPr>
    </w:p>
    <w:bookmarkStart w:id="88" w:name="page89"/>
    <w:bookmarkEnd w:id="88"/>
    <w:p>
      <w:pPr>
        <w:spacing w:after="0" w:line="222"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Article 17.2.2, the reference to *** is hereby deleted and replaced with the following: ***.</w:t>
      </w:r>
    </w:p>
    <w:p>
      <w:pPr>
        <w:spacing w:after="0" w:line="242" w:lineRule="exact"/>
        <w:rPr>
          <w:rFonts w:ascii="Arial" w:cs="Arial" w:eastAsia="Arial" w:hAnsi="Arial"/>
          <w:sz w:val="20"/>
          <w:szCs w:val="20"/>
          <w:color w:val="auto"/>
        </w:rPr>
      </w:pPr>
    </w:p>
    <w:p>
      <w:pPr>
        <w:ind w:left="320" w:hanging="312"/>
        <w:spacing w:after="0"/>
        <w:tabs>
          <w:tab w:leader="none" w:pos="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Article 27.1.2, the reference to *** is hereby deleted and replaced with the following: ***.</w:t>
      </w:r>
    </w:p>
    <w:p>
      <w:pPr>
        <w:spacing w:after="0" w:line="242" w:lineRule="exact"/>
        <w:rPr>
          <w:rFonts w:ascii="Arial" w:cs="Arial" w:eastAsia="Arial" w:hAnsi="Arial"/>
          <w:sz w:val="20"/>
          <w:szCs w:val="20"/>
          <w:color w:val="auto"/>
        </w:rPr>
      </w:pPr>
    </w:p>
    <w:p>
      <w:pPr>
        <w:ind w:left="320" w:hanging="312"/>
        <w:spacing w:after="0"/>
        <w:tabs>
          <w:tab w:leader="none" w:pos="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Article 27.2, the references to *** is hereby deleted and replaced with the following: ***.</w:t>
      </w:r>
    </w:p>
    <w:p>
      <w:pPr>
        <w:spacing w:after="0" w:line="242" w:lineRule="exact"/>
        <w:rPr>
          <w:rFonts w:ascii="Arial" w:cs="Arial" w:eastAsia="Arial" w:hAnsi="Arial"/>
          <w:sz w:val="20"/>
          <w:szCs w:val="20"/>
          <w:color w:val="auto"/>
        </w:rPr>
      </w:pPr>
    </w:p>
    <w:p>
      <w:pPr>
        <w:jc w:val="both"/>
        <w:ind w:left="340" w:hanging="332"/>
        <w:spacing w:after="0" w:line="244" w:lineRule="auto"/>
        <w:tabs>
          <w:tab w:leader="none" w:pos="331" w:val="left"/>
        </w:tabs>
        <w:numPr>
          <w:ilvl w:val="0"/>
          <w:numId w:val="49"/>
        </w:numPr>
        <w:rPr>
          <w:rFonts w:ascii="Arial" w:cs="Arial" w:eastAsia="Arial" w:hAnsi="Arial"/>
          <w:sz w:val="20"/>
          <w:szCs w:val="20"/>
          <w:color w:val="auto"/>
        </w:rPr>
      </w:pPr>
      <w:r>
        <w:rPr>
          <w:rFonts w:ascii="Arial" w:cs="Arial" w:eastAsia="Arial" w:hAnsi="Arial"/>
          <w:sz w:val="20"/>
          <w:szCs w:val="20"/>
          <w:color w:val="auto"/>
        </w:rPr>
        <w:t>Except as expressly amended by this Amendment No. 1, all terms, conditions, obligations and covenants of the Contract shall remain and continue in full force and effect, without any change whatsoever, and Contractor and Purchaser hereby ratify and confirm the Contract, as amended. In the event of a conflict between this Amendment No. 1 and the Contract, this Amendment No. 1 shall prevail. This Amendment No. 1 will be binding upon, and inure to the benefits of, the heirs, personal representatives, successors and assigns of the Parties.</w:t>
      </w:r>
    </w:p>
    <w:p>
      <w:pPr>
        <w:spacing w:after="0" w:line="221" w:lineRule="exact"/>
        <w:rPr>
          <w:rFonts w:ascii="Arial" w:cs="Arial" w:eastAsia="Arial" w:hAnsi="Arial"/>
          <w:sz w:val="20"/>
          <w:szCs w:val="20"/>
          <w:color w:val="auto"/>
        </w:rPr>
      </w:pPr>
    </w:p>
    <w:p>
      <w:pPr>
        <w:jc w:val="both"/>
        <w:ind w:left="340" w:hanging="332"/>
        <w:spacing w:after="0" w:line="250" w:lineRule="auto"/>
        <w:tabs>
          <w:tab w:leader="none" w:pos="331"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Counterparts. This Amendment No. 1 may be executed in one (1) or more counterparts, each of which, when executed, shall be deemed an original and all of which taken together will constitute one (1) and the same instrument. Execution of this Amendment No. 1 by facsimile shall be effective to create a binding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9"/>
          <w:szCs w:val="9"/>
          <w:color w:val="auto"/>
        </w:rPr>
      </w:pPr>
      <w:r>
        <w:rPr>
          <w:rFonts w:ascii="Arial" w:cs="Arial" w:eastAsia="Arial" w:hAnsi="Arial"/>
          <w:sz w:val="14"/>
          <w:szCs w:val="14"/>
          <w:color w:val="auto"/>
        </w:rPr>
        <w:t>Certain confidential portions of this exhibit were omitted by means of redacting a portion of the text.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60" w:lineRule="auto"/>
        <w:rPr>
          <w:sz w:val="20"/>
          <w:szCs w:val="20"/>
          <w:color w:val="auto"/>
        </w:rPr>
      </w:pPr>
      <w:r>
        <w:rPr>
          <w:rFonts w:ascii="Arial" w:cs="Arial" w:eastAsia="Arial" w:hAnsi="Arial"/>
          <w:sz w:val="20"/>
          <w:szCs w:val="20"/>
          <w:color w:val="auto"/>
        </w:rPr>
        <w:t>IN WITNESS WHEREOF, the Parties have executed this Amendment No. 1 by their duly authorized representatives as of the Amendment No. 1 Effective Date.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Space Systems/Loral, LLC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Mladen Brkic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Mladen Brkic</w:t>
      </w:r>
    </w:p>
    <w:p>
      <w:pPr>
        <w:ind w:left="200"/>
        <w:spacing w:after="0"/>
        <w:rPr>
          <w:sz w:val="20"/>
          <w:szCs w:val="20"/>
          <w:color w:val="auto"/>
        </w:rPr>
      </w:pPr>
      <w:r>
        <w:rPr>
          <w:rFonts w:ascii="Arial" w:cs="Arial" w:eastAsia="Arial" w:hAnsi="Arial"/>
          <w:sz w:val="20"/>
          <w:szCs w:val="20"/>
          <w:color w:val="auto"/>
        </w:rPr>
        <w:t>Title: Vice President and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EchoStar XXIV L.L.C.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9160"/>
        <w:spacing w:after="0"/>
        <w:tabs>
          <w:tab w:leader="none" w:pos="10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Dean Manson</w:t>
      </w:r>
    </w:p>
    <w:p>
      <w:pPr>
        <w:spacing w:after="0" w:line="16" w:lineRule="exact"/>
        <w:rPr>
          <w:sz w:val="20"/>
          <w:szCs w:val="20"/>
          <w:color w:val="auto"/>
        </w:rPr>
      </w:pPr>
    </w:p>
    <w:p>
      <w:pPr>
        <w:jc w:val="right"/>
        <w:ind w:right="9120"/>
        <w:spacing w:after="0"/>
        <w:rPr>
          <w:sz w:val="20"/>
          <w:szCs w:val="20"/>
          <w:color w:val="auto"/>
        </w:rPr>
      </w:pPr>
      <w:r>
        <w:rPr>
          <w:rFonts w:ascii="Arial" w:cs="Arial" w:eastAsia="Arial" w:hAnsi="Arial"/>
          <w:sz w:val="19"/>
          <w:szCs w:val="19"/>
          <w:color w:val="auto"/>
        </w:rPr>
        <w:t>Name: Dean Manson</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 Executive Vice President, General Counsel</w:t>
      </w:r>
    </w:p>
    <w:p>
      <w:pPr>
        <w:ind w:left="460"/>
        <w:spacing w:after="0"/>
        <w:rPr>
          <w:sz w:val="20"/>
          <w:szCs w:val="20"/>
          <w:color w:val="auto"/>
        </w:rPr>
      </w:pPr>
      <w:r>
        <w:rPr>
          <w:rFonts w:ascii="Arial" w:cs="Arial" w:eastAsia="Arial" w:hAnsi="Arial"/>
          <w:sz w:val="20"/>
          <w:szCs w:val="20"/>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EchoStar and SSL Proprietary</w:t>
      </w:r>
    </w:p>
    <w:p>
      <w:pPr>
        <w:sectPr>
          <w:pgSz w:w="11900" w:h="16838" w:orient="portrait"/>
          <w:cols w:equalWidth="0" w:num="1">
            <w:col w:w="11000"/>
          </w:cols>
          <w:pgMar w:left="320" w:top="1419" w:right="5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5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6"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81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82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5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61" w:lineRule="auto"/>
        <w:tabs>
          <w:tab w:leader="none" w:pos="8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2020</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8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8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5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6"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9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740" w:right="20" w:hanging="408"/>
        <w:spacing w:after="0" w:line="256" w:lineRule="auto"/>
        <w:tabs>
          <w:tab w:leader="none" w:pos="110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1083"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98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5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740" w:hanging="408"/>
        <w:spacing w:after="0" w:line="261" w:lineRule="auto"/>
        <w:tabs>
          <w:tab w:leader="none" w:pos="91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40" w:right="20" w:hanging="408"/>
        <w:spacing w:after="0" w:line="261" w:lineRule="auto"/>
        <w:tabs>
          <w:tab w:leader="none" w:pos="10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2020</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20"/>
              <w:spacing w:after="0"/>
              <w:rPr>
                <w:sz w:val="20"/>
                <w:szCs w:val="20"/>
                <w:color w:val="auto"/>
              </w:rPr>
            </w:pPr>
            <w:r>
              <w:rPr>
                <w:rFonts w:ascii="Arial" w:cs="Arial" w:eastAsia="Arial" w:hAnsi="Arial"/>
                <w:sz w:val="18"/>
                <w:szCs w:val="18"/>
                <w:i w:val="1"/>
                <w:iCs w:val="1"/>
                <w:color w:val="auto"/>
              </w:rPr>
              <w:t>/s/ David J. Rayner</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86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1"/>
        </w:trPr>
        <w:tc>
          <w:tcPr>
            <w:tcW w:w="86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5"/>
        </w:trPr>
        <w:tc>
          <w:tcPr>
            <w:tcW w:w="8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connection with the quarterly report for the quarter ended September 30, 2020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93" w:lineRule="exact"/>
        <w:rPr>
          <w:sz w:val="20"/>
          <w:szCs w:val="20"/>
          <w:color w:val="auto"/>
        </w:rPr>
      </w:pPr>
    </w:p>
    <w:p>
      <w:pPr>
        <w:ind w:left="1060" w:hanging="404"/>
        <w:spacing w:after="0" w:line="261" w:lineRule="auto"/>
        <w:tabs>
          <w:tab w:leader="none" w:pos="13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1060" w:hanging="404"/>
        <w:spacing w:after="0" w:line="261" w:lineRule="auto"/>
        <w:tabs>
          <w:tab w:leader="none" w:pos="11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20"/>
              <w:spacing w:after="0"/>
              <w:rPr>
                <w:sz w:val="20"/>
                <w:szCs w:val="20"/>
                <w:color w:val="auto"/>
              </w:rPr>
            </w:pPr>
            <w:r>
              <w:rPr>
                <w:rFonts w:ascii="Arial" w:cs="Arial" w:eastAsia="Arial" w:hAnsi="Arial"/>
                <w:sz w:val="18"/>
                <w:szCs w:val="18"/>
                <w:i w:val="1"/>
                <w:iCs w:val="1"/>
                <w:color w:val="auto"/>
              </w:rPr>
              <w:t>/s/ Michael T. Dugan</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8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68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20"/>
              <w:spacing w:after="0"/>
              <w:rPr>
                <w:sz w:val="20"/>
                <w:szCs w:val="20"/>
                <w:color w:val="auto"/>
              </w:rPr>
            </w:pPr>
            <w:r>
              <w:rPr>
                <w:rFonts w:ascii="Arial" w:cs="Arial" w:eastAsia="Arial" w:hAnsi="Arial"/>
                <w:sz w:val="18"/>
                <w:szCs w:val="18"/>
                <w:i w:val="1"/>
                <w:iCs w:val="1"/>
                <w:color w:val="auto"/>
              </w:rPr>
              <w:t>/s/ David J. Rayner</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86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1"/>
        </w:trPr>
        <w:tc>
          <w:tcPr>
            <w:tcW w:w="86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5"/>
        </w:trPr>
        <w:tc>
          <w:tcPr>
            <w:tcW w:w="8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Three and Nine Months Ended September 30, 2020</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November 5, 2020—</w:t>
      </w:r>
      <w:r>
        <w:rPr>
          <w:rFonts w:ascii="Arial" w:cs="Arial" w:eastAsia="Arial" w:hAnsi="Arial"/>
          <w:sz w:val="18"/>
          <w:szCs w:val="18"/>
          <w:color w:val="auto"/>
        </w:rPr>
        <w:t>EchoStar Corporation (NASDAQ: SATS) today announced its financial results for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Financial Highlights:</w:t>
      </w:r>
    </w:p>
    <w:p>
      <w:pPr>
        <w:spacing w:after="0" w:line="27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revenues of $473.5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income from continuing operations of $23.3 million, consolidated net income attributable to EchoStar common stock of $25.4 million, and diluted earnings per share of $0.26.</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Adjusted EBITDA of $166.7 million (see discussion and the reconciliation of GAAP to this non-GAAP measure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Financial Highlights:</w:t>
      </w:r>
    </w:p>
    <w:p>
      <w:pPr>
        <w:spacing w:after="0" w:line="27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Consolidated revenues of $1,398.6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loss from continuing operations of $49.3 million, consolidated net loss attributable to EchoStar common stock of $40.3 million, and diluted loss per share of $(0.41).</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Consolidated Adjusted EBITDA of $476.2 million (see discussion and the reconciliation of GAAP to this non-GAAP measure below).</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another outstanding quarter,” commented Michael Dugan, CEO and President of EchoStar. “We increased our consumer subscriber base by approximately 38,000, driven by our international markets, and grew our Net income and Adjusted EBITDA from the same period last year. The continued growth in demand for our service demonstrates the importance of our networks and services for businesses and families everywhere. We will continue to focus on the needs of our customers as connectivity becomes a more vital part of business, entertainment, and communications.”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 Additional Information:</w:t>
      </w:r>
    </w:p>
    <w:p>
      <w:pPr>
        <w:spacing w:after="0" w:line="274"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revenue was up $1.2 million year over year including an estimated negative foreign exchange impact of $10.9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increased 9% or $14.3 million year over year.</w:t>
      </w:r>
    </w:p>
    <w:p>
      <w:pPr>
        <w:spacing w:after="0" w:line="130"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Hughes segment Adjusted EBITDA increased $13.2 million year over year. The increase was driven primarily by the higher margin associated with the growth in our consumer broadband service.</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ESS segment Adjusted EBITDA increased by $0.5 million year over year.</w:t>
      </w:r>
    </w:p>
    <w:p>
      <w:pPr>
        <w:spacing w:after="0" w:line="144" w:lineRule="exact"/>
        <w:rPr>
          <w:rFonts w:ascii="Arial" w:cs="Arial" w:eastAsia="Arial" w:hAnsi="Arial"/>
          <w:sz w:val="18"/>
          <w:szCs w:val="18"/>
          <w:color w:val="auto"/>
        </w:rPr>
      </w:pPr>
    </w:p>
    <w:p>
      <w:pPr>
        <w:ind w:left="1300" w:right="20" w:hanging="320"/>
        <w:spacing w:after="0" w:line="261"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Corporate and Other segment Adjusted EBITDA increased by $0.7 million. The increase was primarily driven by lower equity losses in unconsolidated affiliates of $1.3 million compared to the same period last year.</w:t>
      </w:r>
    </w:p>
    <w:p>
      <w:pPr>
        <w:spacing w:after="0" w:line="10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from continuing operations was $23.3 million, an increase of $46.4 million from last year. The change was primarily due to higher operating income of $10.9 million, improvement in foreign currency transactions, net, of $21.8 million, higher gains on investments, net, of $6.7 million, and lower income tax provision of $2.1 million.</w:t>
      </w:r>
    </w:p>
    <w:p>
      <w:pPr>
        <w:spacing w:after="0" w:line="10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Hughes broadband subscribers are approximately 1,580,000 as of September 30, 2020 including approximately 364,000 subscribers in Latin America.</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 three months ended September 30, 2020, approximately 71% of Hughes segment revenue was attributable to our consumer customers with approximately 29% attributable to our enterprise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94" w:name="page95"/>
    <w:bookmarkEnd w:id="94"/>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cash equivalents and marketable investment securities were $2.5 billion as of September 30, 2020.</w:t>
      </w:r>
    </w:p>
    <w:p>
      <w:pPr>
        <w:spacing w:after="0" w:line="200" w:lineRule="exact"/>
        <w:rPr>
          <w:sz w:val="20"/>
          <w:szCs w:val="20"/>
          <w:color w:val="auto"/>
        </w:rPr>
      </w:pPr>
    </w:p>
    <w:p>
      <w:pPr>
        <w:spacing w:after="0" w:line="29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three and nine months ended September 30, 2020 and 2019 (amounts in thousands) from continuing operations (all US GAAP amounts reference results from continuing operations):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7"/>
                <w:szCs w:val="17"/>
                <w:color w:val="auto"/>
              </w:rPr>
            </w:pPr>
          </w:p>
        </w:tc>
        <w:tc>
          <w:tcPr>
            <w:tcW w:w="29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760" w:type="dxa"/>
            <w:vAlign w:val="bottom"/>
          </w:tcPr>
          <w:p>
            <w:pPr>
              <w:ind w:left="220"/>
              <w:spacing w:after="0"/>
              <w:rPr>
                <w:sz w:val="20"/>
                <w:szCs w:val="20"/>
                <w:color w:val="auto"/>
              </w:rPr>
            </w:pPr>
            <w:r>
              <w:rPr>
                <w:rFonts w:ascii="Arial" w:cs="Arial" w:eastAsia="Arial" w:hAnsi="Arial"/>
                <w:sz w:val="18"/>
                <w:szCs w:val="18"/>
                <w:color w:val="auto"/>
              </w:rPr>
              <w:t>Hughes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466,762</w:t>
            </w:r>
          </w:p>
        </w:tc>
        <w:tc>
          <w:tcPr>
            <w:tcW w:w="1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463,735</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1,378,416</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1,360,919</w:t>
            </w:r>
          </w:p>
        </w:tc>
        <w:tc>
          <w:tcPr>
            <w:tcW w:w="0" w:type="dxa"/>
            <w:vAlign w:val="bottom"/>
          </w:tcPr>
          <w:p>
            <w:pPr>
              <w:spacing w:after="0"/>
              <w:rPr>
                <w:sz w:val="1"/>
                <w:szCs w:val="1"/>
                <w:color w:val="auto"/>
              </w:rPr>
            </w:pPr>
          </w:p>
        </w:tc>
      </w:tr>
      <w:tr>
        <w:trPr>
          <w:trHeight w:val="270"/>
        </w:trPr>
        <w:tc>
          <w:tcPr>
            <w:tcW w:w="4760" w:type="dxa"/>
            <w:vAlign w:val="bottom"/>
          </w:tcPr>
          <w:p>
            <w:pPr>
              <w:ind w:left="220"/>
              <w:spacing w:after="0"/>
              <w:rPr>
                <w:sz w:val="20"/>
                <w:szCs w:val="20"/>
                <w:color w:val="auto"/>
              </w:rPr>
            </w:pPr>
            <w:r>
              <w:rPr>
                <w:rFonts w:ascii="Arial" w:cs="Arial" w:eastAsia="Arial" w:hAnsi="Arial"/>
                <w:sz w:val="18"/>
                <w:szCs w:val="18"/>
                <w:color w:val="auto"/>
              </w:rPr>
              <w:t>EchoStar Satellite Services</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70"/>
        </w:trPr>
        <w:tc>
          <w:tcPr>
            <w:tcW w:w="476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0" w:type="dxa"/>
            <w:vAlign w:val="bottom"/>
          </w:tcPr>
          <w:p>
            <w:pPr>
              <w:spacing w:after="0"/>
              <w:rPr>
                <w:sz w:val="1"/>
                <w:szCs w:val="1"/>
                <w:color w:val="auto"/>
              </w:rPr>
            </w:pPr>
          </w:p>
        </w:tc>
      </w:tr>
      <w:tr>
        <w:trPr>
          <w:trHeight w:val="223"/>
        </w:trPr>
        <w:tc>
          <w:tcPr>
            <w:tcW w:w="47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473,502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472,262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1,398,634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1,387,075</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60" w:type="dxa"/>
            <w:vAlign w:val="bottom"/>
          </w:tcPr>
          <w:p>
            <w:pPr>
              <w:ind w:left="220"/>
              <w:spacing w:after="0"/>
              <w:rPr>
                <w:sz w:val="20"/>
                <w:szCs w:val="20"/>
                <w:color w:val="auto"/>
              </w:rPr>
            </w:pPr>
            <w:r>
              <w:rPr>
                <w:rFonts w:ascii="Arial" w:cs="Arial" w:eastAsia="Arial" w:hAnsi="Arial"/>
                <w:sz w:val="18"/>
                <w:szCs w:val="18"/>
                <w:color w:val="auto"/>
              </w:rPr>
              <w:t>Hughes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186,458</w:t>
            </w:r>
          </w:p>
        </w:tc>
        <w:tc>
          <w:tcPr>
            <w:tcW w:w="1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173,298</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534,955</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490,152</w:t>
            </w:r>
          </w:p>
        </w:tc>
        <w:tc>
          <w:tcPr>
            <w:tcW w:w="0" w:type="dxa"/>
            <w:vAlign w:val="bottom"/>
          </w:tcPr>
          <w:p>
            <w:pPr>
              <w:spacing w:after="0"/>
              <w:rPr>
                <w:sz w:val="1"/>
                <w:szCs w:val="1"/>
                <w:color w:val="auto"/>
              </w:rPr>
            </w:pPr>
          </w:p>
        </w:tc>
      </w:tr>
      <w:tr>
        <w:trPr>
          <w:trHeight w:val="270"/>
        </w:trPr>
        <w:tc>
          <w:tcPr>
            <w:tcW w:w="4760" w:type="dxa"/>
            <w:vAlign w:val="bottom"/>
          </w:tcPr>
          <w:p>
            <w:pPr>
              <w:ind w:left="220"/>
              <w:spacing w:after="0"/>
              <w:rPr>
                <w:sz w:val="20"/>
                <w:szCs w:val="20"/>
                <w:color w:val="auto"/>
              </w:rPr>
            </w:pPr>
            <w:r>
              <w:rPr>
                <w:rFonts w:ascii="Arial" w:cs="Arial" w:eastAsia="Arial" w:hAnsi="Arial"/>
                <w:sz w:val="18"/>
                <w:szCs w:val="18"/>
                <w:color w:val="auto"/>
              </w:rPr>
              <w:t>EchoStar Satellite Services</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476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(21,572)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(20,981)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(63,948)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188"/>
        </w:trPr>
        <w:tc>
          <w:tcPr>
            <w:tcW w:w="4760" w:type="dxa"/>
            <w:vAlign w:val="bottom"/>
          </w:tcPr>
          <w:p>
            <w:pPr>
              <w:ind w:left="440"/>
              <w:spacing w:after="0" w:line="189" w:lineRule="exact"/>
              <w:rPr>
                <w:sz w:val="20"/>
                <w:szCs w:val="20"/>
                <w:color w:val="auto"/>
              </w:rPr>
            </w:pPr>
            <w:r>
              <w:rPr>
                <w:rFonts w:ascii="Arial" w:cs="Arial" w:eastAsia="Arial" w:hAnsi="Arial"/>
                <w:sz w:val="18"/>
                <w:szCs w:val="18"/>
                <w:color w:val="auto"/>
              </w:rPr>
              <w:t>Equity in earnings (losses) of unconsolidated</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440"/>
              <w:spacing w:after="0"/>
              <w:rPr>
                <w:sz w:val="20"/>
                <w:szCs w:val="20"/>
                <w:color w:val="auto"/>
              </w:rPr>
            </w:pPr>
            <w:r>
              <w:rPr>
                <w:rFonts w:ascii="Arial" w:cs="Arial" w:eastAsia="Arial" w:hAnsi="Arial"/>
                <w:sz w:val="18"/>
                <w:szCs w:val="18"/>
                <w:color w:val="auto"/>
              </w:rPr>
              <w:t>affiliates, net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(9,507)</w:t>
            </w:r>
          </w:p>
        </w:tc>
        <w:tc>
          <w:tcPr>
            <w:tcW w:w="0" w:type="dxa"/>
            <w:vAlign w:val="bottom"/>
          </w:tcPr>
          <w:p>
            <w:pPr>
              <w:spacing w:after="0"/>
              <w:rPr>
                <w:sz w:val="1"/>
                <w:szCs w:val="1"/>
                <w:color w:val="auto"/>
              </w:rPr>
            </w:pPr>
          </w:p>
        </w:tc>
      </w:tr>
      <w:tr>
        <w:trPr>
          <w:trHeight w:val="250"/>
        </w:trPr>
        <w:tc>
          <w:tcPr>
            <w:tcW w:w="476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(22,763)</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(64,608)</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(68,276)</w:t>
            </w:r>
          </w:p>
        </w:tc>
        <w:tc>
          <w:tcPr>
            <w:tcW w:w="0" w:type="dxa"/>
            <w:vAlign w:val="bottom"/>
          </w:tcPr>
          <w:p>
            <w:pPr>
              <w:spacing w:after="0"/>
              <w:rPr>
                <w:sz w:val="1"/>
                <w:szCs w:val="1"/>
                <w:color w:val="auto"/>
              </w:rPr>
            </w:pPr>
          </w:p>
        </w:tc>
      </w:tr>
      <w:tr>
        <w:trPr>
          <w:trHeight w:val="223"/>
        </w:trPr>
        <w:tc>
          <w:tcPr>
            <w:tcW w:w="476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166,656</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152,326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476,194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426,882</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60" w:type="dxa"/>
            <w:vAlign w:val="bottom"/>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98,137</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95,155</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295,041</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314,351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8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7"/>
                <w:szCs w:val="17"/>
                <w:color w:val="auto"/>
              </w:rPr>
            </w:pPr>
          </w:p>
        </w:tc>
        <w:tc>
          <w:tcPr>
            <w:tcW w:w="29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30"/>
        </w:trPr>
        <w:tc>
          <w:tcPr>
            <w:tcW w:w="4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(21,106)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(11,158)</w:t>
            </w:r>
          </w:p>
        </w:tc>
      </w:tr>
      <w:tr>
        <w:trPr>
          <w:trHeight w:val="229"/>
        </w:trPr>
        <w:tc>
          <w:tcPr>
            <w:tcW w:w="47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(64,817)</w:t>
            </w:r>
          </w:p>
        </w:tc>
      </w:tr>
      <w:tr>
        <w:trPr>
          <w:trHeight w:val="230"/>
        </w:trPr>
        <w:tc>
          <w:tcPr>
            <w:tcW w:w="476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37,967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112,458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156,813</w:t>
            </w:r>
          </w:p>
        </w:tc>
      </w:tr>
      <w:tr>
        <w:trPr>
          <w:trHeight w:val="229"/>
        </w:trPr>
        <w:tc>
          <w:tcPr>
            <w:tcW w:w="476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12,607</w:t>
            </w:r>
          </w:p>
        </w:tc>
      </w:tr>
      <w:tr>
        <w:trPr>
          <w:trHeight w:val="229"/>
        </w:trPr>
        <w:tc>
          <w:tcPr>
            <w:tcW w:w="4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129,822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392,077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361,619</w:t>
            </w:r>
          </w:p>
        </w:tc>
      </w:tr>
      <w:tr>
        <w:trPr>
          <w:trHeight w:val="230"/>
        </w:trPr>
        <w:tc>
          <w:tcPr>
            <w:tcW w:w="4760" w:type="dxa"/>
            <w:vAlign w:val="bottom"/>
          </w:tcPr>
          <w:p>
            <w:pPr>
              <w:ind w:left="200"/>
              <w:spacing w:after="0"/>
              <w:rPr>
                <w:sz w:val="20"/>
                <w:szCs w:val="20"/>
                <w:color w:val="auto"/>
              </w:rPr>
            </w:pPr>
            <w:r>
              <w:rPr>
                <w:rFonts w:ascii="Arial" w:cs="Arial" w:eastAsia="Arial" w:hAnsi="Arial"/>
                <w:sz w:val="18"/>
                <w:szCs w:val="18"/>
                <w:color w:val="auto"/>
              </w:rPr>
              <w:t>Net loss (income) from discontinued operations</w:t>
            </w:r>
          </w:p>
        </w:tc>
        <w:tc>
          <w:tcPr>
            <w:tcW w:w="2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(46,223)</w:t>
            </w:r>
          </w:p>
        </w:tc>
      </w:tr>
      <w:tr>
        <w:trPr>
          <w:trHeight w:val="188"/>
        </w:trPr>
        <w:tc>
          <w:tcPr>
            <w:tcW w:w="4760" w:type="dxa"/>
            <w:vAlign w:val="bottom"/>
          </w:tcPr>
          <w:p>
            <w:pPr>
              <w:ind w:left="200"/>
              <w:spacing w:after="0" w:line="189" w:lineRule="exact"/>
              <w:rPr>
                <w:sz w:val="20"/>
                <w:szCs w:val="20"/>
                <w:color w:val="auto"/>
              </w:rPr>
            </w:pPr>
            <w:r>
              <w:rPr>
                <w:rFonts w:ascii="Arial" w:cs="Arial" w:eastAsia="Arial" w:hAnsi="Arial"/>
                <w:sz w:val="18"/>
                <w:szCs w:val="18"/>
                <w:color w:val="auto"/>
              </w:rPr>
              <w:t>Net loss (income) attributable to non-controlling</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47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4760" w:type="dxa"/>
            <w:vAlign w:val="bottom"/>
          </w:tcPr>
          <w:p>
            <w:pPr>
              <w:ind w:left="44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188,815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139,763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436,870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410,200</w:t>
            </w: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37,764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(28,087)</w:t>
            </w:r>
          </w:p>
        </w:tc>
      </w:tr>
      <w:tr>
        <w:trPr>
          <w:trHeight w:val="230"/>
        </w:trPr>
        <w:tc>
          <w:tcPr>
            <w:tcW w:w="4760" w:type="dxa"/>
            <w:vAlign w:val="bottom"/>
          </w:tcPr>
          <w:p>
            <w:pPr>
              <w:ind w:left="440"/>
              <w:spacing w:after="0"/>
              <w:rPr>
                <w:sz w:val="20"/>
                <w:szCs w:val="20"/>
                <w:color w:val="auto"/>
              </w:rPr>
            </w:pPr>
            <w:r>
              <w:rPr>
                <w:rFonts w:ascii="Arial" w:cs="Arial" w:eastAsia="Arial" w:hAnsi="Arial"/>
                <w:sz w:val="18"/>
                <w:szCs w:val="18"/>
                <w:color w:val="auto"/>
              </w:rPr>
              <w:t>Litigation Expense</w:t>
            </w:r>
          </w:p>
        </w:tc>
        <w:tc>
          <w:tcPr>
            <w:tcW w:w="2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26,328</w:t>
            </w:r>
          </w:p>
        </w:tc>
      </w:tr>
      <w:tr>
        <w:trPr>
          <w:trHeight w:val="188"/>
        </w:trPr>
        <w:tc>
          <w:tcPr>
            <w:tcW w:w="4760" w:type="dxa"/>
            <w:vAlign w:val="bottom"/>
          </w:tcPr>
          <w:p>
            <w:pPr>
              <w:ind w:left="460"/>
              <w:spacing w:after="0" w:line="189" w:lineRule="exact"/>
              <w:rPr>
                <w:sz w:val="20"/>
                <w:szCs w:val="20"/>
                <w:color w:val="auto"/>
              </w:rPr>
            </w:pPr>
            <w:r>
              <w:rPr>
                <w:rFonts w:ascii="Arial" w:cs="Arial" w:eastAsia="Arial" w:hAnsi="Arial"/>
                <w:sz w:val="18"/>
                <w:szCs w:val="18"/>
                <w:color w:val="auto"/>
              </w:rPr>
              <w:t>License fee dispute - India, net of non-controlling</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7"/>
        </w:trPr>
        <w:tc>
          <w:tcPr>
            <w:tcW w:w="4760" w:type="dxa"/>
            <w:vAlign w:val="bottom"/>
          </w:tcPr>
          <w:p>
            <w:pPr>
              <w:ind w:left="46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3,940</w:t>
            </w:r>
          </w:p>
        </w:tc>
      </w:tr>
      <w:tr>
        <w:trPr>
          <w:trHeight w:val="270"/>
        </w:trPr>
        <w:tc>
          <w:tcPr>
            <w:tcW w:w="476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w:t>
            </w:r>
          </w:p>
        </w:tc>
      </w:tr>
      <w:tr>
        <w:trPr>
          <w:trHeight w:val="223"/>
        </w:trPr>
        <w:tc>
          <w:tcPr>
            <w:tcW w:w="4760" w:type="dxa"/>
            <w:vAlign w:val="bottom"/>
          </w:tcPr>
          <w:p>
            <w:pPr>
              <w:ind w:left="66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166,656</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152,326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476,194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426,882</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“Net income (loss) from discontinued operations,” and “Net income (loss) attributable to non-controlling interests.”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September 30, 2020 and 2019 are attached to this press release. Detailed financial data and other information are available in EchoStar’s Quarterly Report on Form 10-Q for the period ended September 30, 2020 filed today with the Securities and Exchange Commission.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will host a conference call and webcast to discuss its earnings on Thursday, November 5, 2020 at 11:00 a.m. Eastern Time. The call-in numbers are (877) 815-1625 (US) and (716) 247-5178 (International), Conference ID 8263356. The webcast will be available on EchoStar’s investor relations website at www.echostar.com.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8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About EchoStar Corporation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2019 and Quarterly Report on Form 10-Q for the period ended September 30, 2020 as filed with the Securities and Exchange Commission and in the other documents EchoStar files with the Securities and Exchange Commission from time to time.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765" w:right="339" w:bottom="1440" w:gutter="0" w:footer="0" w:header="0"/>
        </w:sectPr>
      </w:pP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65" w:lineRule="exact"/>
        <w:rPr>
          <w:sz w:val="20"/>
          <w:szCs w:val="20"/>
          <w:color w:val="auto"/>
        </w:rPr>
      </w:pPr>
    </w:p>
    <w:p>
      <w:pPr>
        <w:sectPr>
          <w:pgSz w:w="11900" w:h="16838" w:orient="portrait"/>
          <w:cols w:equalWidth="0" w:num="2">
            <w:col w:w="4940" w:space="720"/>
            <w:col w:w="5580"/>
          </w:cols>
          <w:pgMar w:left="320" w:top="76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Terry Brown</w:t>
      </w:r>
    </w:p>
    <w:p>
      <w:pPr>
        <w:ind w:left="40"/>
        <w:spacing w:after="0" w:line="203" w:lineRule="auto"/>
        <w:rPr>
          <w:sz w:val="20"/>
          <w:szCs w:val="20"/>
          <w:color w:val="auto"/>
        </w:rPr>
      </w:pPr>
      <w:r>
        <w:rPr>
          <w:rFonts w:ascii="Arial" w:cs="Arial" w:eastAsia="Arial" w:hAnsi="Arial"/>
          <w:sz w:val="18"/>
          <w:szCs w:val="18"/>
          <w:color w:val="auto"/>
        </w:rPr>
        <w:t>Phone: +1 303-728-5179</w:t>
      </w:r>
    </w:p>
    <w:p>
      <w:pPr>
        <w:ind w:left="4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20" w:space="720"/>
            <w:col w:w="5600"/>
          </w:cols>
          <w:pgMar w:left="320" w:top="765" w:right="3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765" w:right="339" w:bottom="1440" w:gutter="0" w:footer="0" w:header="0"/>
          <w:type w:val="continuous"/>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80" w:type="dxa"/>
            <w:vAlign w:val="bottom"/>
          </w:tcPr>
          <w:p>
            <w:pPr>
              <w:spacing w:after="0"/>
              <w:rPr>
                <w:sz w:val="18"/>
                <w:szCs w:val="18"/>
                <w:color w:val="auto"/>
              </w:rPr>
            </w:pP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193"/>
        </w:trPr>
        <w:tc>
          <w:tcPr>
            <w:tcW w:w="7780" w:type="dxa"/>
            <w:vAlign w:val="bottom"/>
          </w:tcPr>
          <w:p>
            <w:pPr>
              <w:ind w:left="3560"/>
              <w:spacing w:after="0"/>
              <w:rPr>
                <w:sz w:val="20"/>
                <w:szCs w:val="20"/>
                <w:color w:val="auto"/>
              </w:rPr>
            </w:pPr>
            <w:r>
              <w:rPr>
                <w:rFonts w:ascii="Arial" w:cs="Arial" w:eastAsia="Arial" w:hAnsi="Arial"/>
                <w:sz w:val="16"/>
                <w:szCs w:val="16"/>
                <w:b w:val="1"/>
                <w:bCs w:val="1"/>
                <w:color w:val="auto"/>
              </w:rPr>
              <w:t>Assets</w:t>
            </w:r>
          </w:p>
        </w:tc>
        <w:tc>
          <w:tcPr>
            <w:tcW w:w="4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555,550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1,519,431</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1,950,804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940,623</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190,950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196,629</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179,531</w:t>
            </w:r>
          </w:p>
        </w:tc>
        <w:tc>
          <w:tcPr>
            <w:tcW w:w="0" w:type="dxa"/>
            <w:vAlign w:val="bottom"/>
          </w:tcPr>
          <w:p>
            <w:pPr>
              <w:spacing w:after="0"/>
              <w:rPr>
                <w:sz w:val="1"/>
                <w:szCs w:val="1"/>
                <w:color w:val="auto"/>
              </w:rPr>
            </w:pPr>
          </w:p>
        </w:tc>
      </w:tr>
      <w:tr>
        <w:trPr>
          <w:trHeight w:val="209"/>
        </w:trPr>
        <w:tc>
          <w:tcPr>
            <w:tcW w:w="778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2,890,028</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2,836,214</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2,372,594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2,528,738</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129,073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114,042</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508,660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506,953</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475,824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478,598</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29,507</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284,238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325,405</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344,569</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334,841</w:t>
            </w:r>
          </w:p>
        </w:tc>
        <w:tc>
          <w:tcPr>
            <w:tcW w:w="0" w:type="dxa"/>
            <w:vAlign w:val="bottom"/>
          </w:tcPr>
          <w:p>
            <w:pPr>
              <w:spacing w:after="0"/>
              <w:rPr>
                <w:sz w:val="1"/>
                <w:szCs w:val="1"/>
                <w:color w:val="auto"/>
              </w:rPr>
            </w:pPr>
          </w:p>
        </w:tc>
      </w:tr>
      <w:tr>
        <w:trPr>
          <w:trHeight w:val="209"/>
        </w:trPr>
        <w:tc>
          <w:tcPr>
            <w:tcW w:w="7780" w:type="dxa"/>
            <w:vAlign w:val="bottom"/>
          </w:tcPr>
          <w:p>
            <w:pPr>
              <w:ind w:left="440"/>
              <w:spacing w:after="0"/>
              <w:rPr>
                <w:sz w:val="20"/>
                <w:szCs w:val="20"/>
                <w:color w:val="auto"/>
              </w:rPr>
            </w:pPr>
            <w:r>
              <w:rPr>
                <w:rFonts w:ascii="Arial" w:cs="Arial" w:eastAsia="Arial" w:hAnsi="Arial"/>
                <w:sz w:val="16"/>
                <w:szCs w:val="16"/>
                <w:color w:val="auto"/>
              </w:rPr>
              <w:t>Total non-current assets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4,135,508</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4,318,084</w:t>
            </w:r>
          </w:p>
        </w:tc>
        <w:tc>
          <w:tcPr>
            <w:tcW w:w="0" w:type="dxa"/>
            <w:vAlign w:val="bottom"/>
          </w:tcPr>
          <w:p>
            <w:pPr>
              <w:spacing w:after="0"/>
              <w:rPr>
                <w:sz w:val="1"/>
                <w:szCs w:val="1"/>
                <w:color w:val="auto"/>
              </w:rPr>
            </w:pPr>
          </w:p>
        </w:tc>
      </w:tr>
      <w:tr>
        <w:trPr>
          <w:trHeight w:val="210"/>
        </w:trPr>
        <w:tc>
          <w:tcPr>
            <w:tcW w:w="7780" w:type="dxa"/>
            <w:vAlign w:val="bottom"/>
          </w:tcPr>
          <w:p>
            <w:pPr>
              <w:ind w:left="64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7,025,536</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7,154,298</w:t>
            </w:r>
          </w:p>
        </w:tc>
        <w:tc>
          <w:tcPr>
            <w:tcW w:w="0" w:type="dxa"/>
            <w:vAlign w:val="bottom"/>
          </w:tcPr>
          <w:p>
            <w:pPr>
              <w:spacing w:after="0"/>
              <w:rPr>
                <w:sz w:val="1"/>
                <w:szCs w:val="1"/>
                <w:color w:val="auto"/>
              </w:rPr>
            </w:pPr>
          </w:p>
        </w:tc>
      </w:tr>
      <w:tr>
        <w:trPr>
          <w:trHeight w:val="26"/>
        </w:trPr>
        <w:tc>
          <w:tcPr>
            <w:tcW w:w="7780" w:type="dxa"/>
            <w:vAlign w:val="bottom"/>
            <w:vMerge w:val="restart"/>
          </w:tcPr>
          <w:p>
            <w:pPr>
              <w:ind w:left="246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7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111,099</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124,080</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897,303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89,622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101,060</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276,703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270,879</w:t>
            </w:r>
          </w:p>
        </w:tc>
        <w:tc>
          <w:tcPr>
            <w:tcW w:w="0" w:type="dxa"/>
            <w:vAlign w:val="bottom"/>
          </w:tcPr>
          <w:p>
            <w:pPr>
              <w:spacing w:after="0"/>
              <w:rPr>
                <w:sz w:val="1"/>
                <w:szCs w:val="1"/>
                <w:color w:val="auto"/>
              </w:rPr>
            </w:pPr>
          </w:p>
        </w:tc>
      </w:tr>
      <w:tr>
        <w:trPr>
          <w:trHeight w:val="209"/>
        </w:trPr>
        <w:tc>
          <w:tcPr>
            <w:tcW w:w="778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1,374,727</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496,019</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1,495,078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2,389,168</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352,948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351,692</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115,376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96,941</w:t>
            </w:r>
          </w:p>
        </w:tc>
        <w:tc>
          <w:tcPr>
            <w:tcW w:w="0" w:type="dxa"/>
            <w:vAlign w:val="bottom"/>
          </w:tcPr>
          <w:p>
            <w:pPr>
              <w:spacing w:after="0"/>
              <w:rPr>
                <w:sz w:val="1"/>
                <w:szCs w:val="1"/>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74,925</w:t>
            </w:r>
          </w:p>
        </w:tc>
        <w:tc>
          <w:tcPr>
            <w:tcW w:w="0" w:type="dxa"/>
            <w:vAlign w:val="bottom"/>
          </w:tcPr>
          <w:p>
            <w:pPr>
              <w:spacing w:after="0"/>
              <w:rPr>
                <w:sz w:val="1"/>
                <w:szCs w:val="1"/>
                <w:color w:val="auto"/>
              </w:rPr>
            </w:pPr>
          </w:p>
        </w:tc>
      </w:tr>
      <w:tr>
        <w:trPr>
          <w:trHeight w:val="209"/>
        </w:trPr>
        <w:tc>
          <w:tcPr>
            <w:tcW w:w="7780" w:type="dxa"/>
            <w:vAlign w:val="bottom"/>
          </w:tcPr>
          <w:p>
            <w:pPr>
              <w:ind w:left="440"/>
              <w:spacing w:after="0"/>
              <w:rPr>
                <w:sz w:val="20"/>
                <w:szCs w:val="20"/>
                <w:color w:val="auto"/>
              </w:rPr>
            </w:pPr>
            <w:r>
              <w:rPr>
                <w:rFonts w:ascii="Arial" w:cs="Arial" w:eastAsia="Arial" w:hAnsi="Arial"/>
                <w:sz w:val="16"/>
                <w:szCs w:val="16"/>
                <w:color w:val="auto"/>
              </w:rPr>
              <w:t>Total non-current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2,037,673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2,912,726</w:t>
            </w:r>
          </w:p>
        </w:tc>
        <w:tc>
          <w:tcPr>
            <w:tcW w:w="0" w:type="dxa"/>
            <w:vAlign w:val="bottom"/>
          </w:tcPr>
          <w:p>
            <w:pPr>
              <w:spacing w:after="0"/>
              <w:rPr>
                <w:sz w:val="1"/>
                <w:szCs w:val="1"/>
                <w:color w:val="auto"/>
              </w:rPr>
            </w:pPr>
          </w:p>
        </w:tc>
      </w:tr>
      <w:tr>
        <w:trPr>
          <w:trHeight w:val="213"/>
        </w:trPr>
        <w:tc>
          <w:tcPr>
            <w:tcW w:w="7780" w:type="dxa"/>
            <w:vAlign w:val="bottom"/>
          </w:tcPr>
          <w:p>
            <w:pPr>
              <w:ind w:left="64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3,412,400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3,408,745</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76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3"/>
        </w:trPr>
        <w:tc>
          <w:tcPr>
            <w:tcW w:w="8080" w:type="dxa"/>
            <w:vAlign w:val="bottom"/>
          </w:tcPr>
          <w:p>
            <w:pPr>
              <w:ind w:left="100"/>
              <w:spacing w:after="0"/>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8080" w:type="dxa"/>
            <w:vAlign w:val="bottom"/>
          </w:tcPr>
          <w:p>
            <w:pPr>
              <w:ind w:left="100"/>
              <w:spacing w:after="0"/>
              <w:rPr>
                <w:sz w:val="20"/>
                <w:szCs w:val="20"/>
                <w:color w:val="auto"/>
              </w:rPr>
            </w:pPr>
            <w:r>
              <w:rPr>
                <w:rFonts w:ascii="Arial" w:cs="Arial" w:eastAsia="Arial" w:hAnsi="Arial"/>
                <w:sz w:val="16"/>
                <w:szCs w:val="16"/>
                <w:color w:val="auto"/>
              </w:rPr>
              <w:t>September 30, 2020 and December 31, 2019</w:t>
            </w:r>
          </w:p>
        </w:tc>
        <w:tc>
          <w:tcPr>
            <w:tcW w:w="4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80" w:type="dxa"/>
            <w:vAlign w:val="bottom"/>
          </w:tcPr>
          <w:p>
            <w:pPr>
              <w:ind w:left="100"/>
              <w:spacing w:after="0"/>
              <w:rPr>
                <w:sz w:val="20"/>
                <w:szCs w:val="20"/>
                <w:color w:val="auto"/>
              </w:rPr>
            </w:pPr>
            <w:r>
              <w:rPr>
                <w:rFonts w:ascii="Arial" w:cs="Arial" w:eastAsia="Arial" w:hAnsi="Arial"/>
                <w:sz w:val="16"/>
                <w:szCs w:val="16"/>
                <w:color w:val="auto"/>
              </w:rPr>
              <w:t>Common stock, $0.001 par value, 4,000,000,000 shares authorized:</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3"/>
        </w:trPr>
        <w:tc>
          <w:tcPr>
            <w:tcW w:w="8080" w:type="dxa"/>
            <w:vAlign w:val="bottom"/>
          </w:tcPr>
          <w:p>
            <w:pPr>
              <w:ind w:left="320"/>
              <w:spacing w:after="0"/>
              <w:rPr>
                <w:sz w:val="20"/>
                <w:szCs w:val="20"/>
                <w:color w:val="auto"/>
              </w:rPr>
            </w:pPr>
            <w:r>
              <w:rPr>
                <w:rFonts w:ascii="Arial" w:cs="Arial" w:eastAsia="Arial" w:hAnsi="Arial"/>
                <w:sz w:val="16"/>
                <w:szCs w:val="16"/>
                <w:color w:val="auto"/>
              </w:rPr>
              <w:t>Class A common stock, $0.001 par value, 1,600,000,000 shares authorized, 57,140,432 shares issued</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2"/>
        </w:trPr>
        <w:tc>
          <w:tcPr>
            <w:tcW w:w="8080" w:type="dxa"/>
            <w:vAlign w:val="bottom"/>
          </w:tcPr>
          <w:p>
            <w:pPr>
              <w:ind w:left="320"/>
              <w:spacing w:after="0" w:line="162" w:lineRule="exact"/>
              <w:rPr>
                <w:sz w:val="20"/>
                <w:szCs w:val="20"/>
                <w:color w:val="auto"/>
              </w:rPr>
            </w:pPr>
            <w:r>
              <w:rPr>
                <w:rFonts w:ascii="Arial" w:cs="Arial" w:eastAsia="Arial" w:hAnsi="Arial"/>
                <w:sz w:val="16"/>
                <w:szCs w:val="16"/>
                <w:color w:val="auto"/>
              </w:rPr>
              <w:t>and 50,458,512 shares outstanding at September 30, 2020 and 56,592,251 shares issued and 50,107,330</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shares outstanding at December 31, 2019</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3"/>
        </w:trPr>
        <w:tc>
          <w:tcPr>
            <w:tcW w:w="8080" w:type="dxa"/>
            <w:vAlign w:val="bottom"/>
          </w:tcPr>
          <w:p>
            <w:pPr>
              <w:ind w:left="32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issued and outstanding at both September 30, 2020 and December 31, 2019</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3"/>
        </w:trPr>
        <w:tc>
          <w:tcPr>
            <w:tcW w:w="8080" w:type="dxa"/>
            <w:vAlign w:val="bottom"/>
          </w:tcPr>
          <w:p>
            <w:pPr>
              <w:ind w:left="32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outstanding at both September 30, 2020 and December 31, 2019</w:t>
            </w:r>
          </w:p>
        </w:tc>
        <w:tc>
          <w:tcPr>
            <w:tcW w:w="4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8080" w:type="dxa"/>
            <w:vAlign w:val="bottom"/>
          </w:tcPr>
          <w:p>
            <w:pPr>
              <w:ind w:left="320"/>
              <w:spacing w:after="0"/>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8080" w:type="dxa"/>
            <w:vAlign w:val="bottom"/>
          </w:tcPr>
          <w:p>
            <w:pPr>
              <w:ind w:left="320"/>
              <w:spacing w:after="0"/>
              <w:rPr>
                <w:sz w:val="20"/>
                <w:szCs w:val="20"/>
                <w:color w:val="auto"/>
              </w:rPr>
            </w:pPr>
            <w:r>
              <w:rPr>
                <w:rFonts w:ascii="Arial" w:cs="Arial" w:eastAsia="Arial" w:hAnsi="Arial"/>
                <w:sz w:val="16"/>
                <w:szCs w:val="16"/>
                <w:color w:val="auto"/>
              </w:rPr>
              <w:t>both September 30, 2020 and December 31, 2019</w:t>
            </w:r>
          </w:p>
        </w:tc>
        <w:tc>
          <w:tcPr>
            <w:tcW w:w="4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8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3,317,868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3,290,483</w:t>
            </w:r>
          </w:p>
        </w:tc>
      </w:tr>
      <w:tr>
        <w:trPr>
          <w:trHeight w:val="216"/>
        </w:trPr>
        <w:tc>
          <w:tcPr>
            <w:tcW w:w="808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(209,538)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(122,138)</w:t>
            </w:r>
          </w:p>
        </w:tc>
      </w:tr>
      <w:tr>
        <w:trPr>
          <w:trHeight w:val="216"/>
        </w:trPr>
        <w:tc>
          <w:tcPr>
            <w:tcW w:w="808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583,474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632,809</w:t>
            </w:r>
          </w:p>
        </w:tc>
      </w:tr>
      <w:tr>
        <w:trPr>
          <w:trHeight w:val="216"/>
        </w:trPr>
        <w:tc>
          <w:tcPr>
            <w:tcW w:w="8080" w:type="dxa"/>
            <w:vAlign w:val="bottom"/>
          </w:tcPr>
          <w:p>
            <w:pPr>
              <w:ind w:left="200"/>
              <w:spacing w:after="0"/>
              <w:rPr>
                <w:sz w:val="20"/>
                <w:szCs w:val="20"/>
                <w:color w:val="auto"/>
              </w:rPr>
            </w:pPr>
            <w:r>
              <w:rPr>
                <w:rFonts w:ascii="Arial" w:cs="Arial" w:eastAsia="Arial" w:hAnsi="Arial"/>
                <w:sz w:val="16"/>
                <w:szCs w:val="16"/>
                <w:color w:val="auto"/>
              </w:rPr>
              <w:t>Treasury stock, at cost</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(137,347)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(131,454)</w:t>
            </w:r>
          </w:p>
        </w:tc>
      </w:tr>
      <w:tr>
        <w:trPr>
          <w:trHeight w:val="209"/>
        </w:trPr>
        <w:tc>
          <w:tcPr>
            <w:tcW w:w="8080" w:type="dxa"/>
            <w:vAlign w:val="bottom"/>
          </w:tcPr>
          <w:p>
            <w:pPr>
              <w:ind w:left="440"/>
              <w:spacing w:after="0"/>
              <w:rPr>
                <w:sz w:val="20"/>
                <w:szCs w:val="20"/>
                <w:color w:val="auto"/>
              </w:rPr>
            </w:pPr>
            <w:r>
              <w:rPr>
                <w:rFonts w:ascii="Arial" w:cs="Arial" w:eastAsia="Arial" w:hAnsi="Arial"/>
                <w:sz w:val="16"/>
                <w:szCs w:val="16"/>
                <w:color w:val="auto"/>
              </w:rPr>
              <w:t>Total EchoStar Corporation stockholders’ equity</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3,554,562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3,669,805</w:t>
            </w:r>
          </w:p>
        </w:tc>
      </w:tr>
      <w:tr>
        <w:trPr>
          <w:trHeight w:val="216"/>
        </w:trPr>
        <w:tc>
          <w:tcPr>
            <w:tcW w:w="808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58,574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75,748</w:t>
            </w:r>
          </w:p>
        </w:tc>
      </w:tr>
      <w:tr>
        <w:trPr>
          <w:trHeight w:val="209"/>
        </w:trPr>
        <w:tc>
          <w:tcPr>
            <w:tcW w:w="8080" w:type="dxa"/>
            <w:vAlign w:val="bottom"/>
          </w:tcPr>
          <w:p>
            <w:pPr>
              <w:ind w:left="440"/>
              <w:spacing w:after="0"/>
              <w:rPr>
                <w:sz w:val="20"/>
                <w:szCs w:val="20"/>
                <w:color w:val="auto"/>
              </w:rPr>
            </w:pPr>
            <w:r>
              <w:rPr>
                <w:rFonts w:ascii="Arial" w:cs="Arial" w:eastAsia="Arial" w:hAnsi="Arial"/>
                <w:sz w:val="16"/>
                <w:szCs w:val="16"/>
                <w:b w:val="1"/>
                <w:bCs w:val="1"/>
                <w:color w:val="auto"/>
              </w:rPr>
              <w:t>Total stockholders’ equity</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3,613,136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3,745,553</w:t>
            </w:r>
          </w:p>
        </w:tc>
      </w:tr>
      <w:tr>
        <w:trPr>
          <w:trHeight w:val="212"/>
        </w:trPr>
        <w:tc>
          <w:tcPr>
            <w:tcW w:w="8080" w:type="dxa"/>
            <w:vAlign w:val="bottom"/>
          </w:tcPr>
          <w:p>
            <w:pPr>
              <w:ind w:left="64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7,025,536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7,154,298</w:t>
            </w:r>
          </w:p>
        </w:tc>
      </w:tr>
      <w:tr>
        <w:trPr>
          <w:trHeight w:val="24"/>
        </w:trPr>
        <w:tc>
          <w:tcPr>
            <w:tcW w:w="8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904" w:right="33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7"/>
                <w:szCs w:val="17"/>
                <w:color w:val="auto"/>
              </w:rPr>
            </w:pPr>
          </w:p>
        </w:tc>
        <w:tc>
          <w:tcPr>
            <w:tcW w:w="26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9"/>
                <w:szCs w:val="19"/>
                <w:color w:val="auto"/>
              </w:rPr>
            </w:pPr>
          </w:p>
        </w:tc>
        <w:tc>
          <w:tcPr>
            <w:tcW w:w="26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Services and other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426,532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406,537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1,251,932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1,211,991</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Equipment revenue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175,084</w:t>
            </w:r>
          </w:p>
        </w:tc>
        <w:tc>
          <w:tcPr>
            <w:tcW w:w="0" w:type="dxa"/>
            <w:vAlign w:val="bottom"/>
          </w:tcPr>
          <w:p>
            <w:pPr>
              <w:spacing w:after="0"/>
              <w:rPr>
                <w:sz w:val="1"/>
                <w:szCs w:val="1"/>
                <w:color w:val="auto"/>
              </w:rPr>
            </w:pPr>
          </w:p>
        </w:tc>
      </w:tr>
      <w:tr>
        <w:trPr>
          <w:trHeight w:val="214"/>
        </w:trPr>
        <w:tc>
          <w:tcPr>
            <w:tcW w:w="54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473,502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1,387,075</w:t>
            </w:r>
          </w:p>
        </w:tc>
        <w:tc>
          <w:tcPr>
            <w:tcW w:w="0" w:type="dxa"/>
            <w:vAlign w:val="bottom"/>
          </w:tcPr>
          <w:p>
            <w:pPr>
              <w:spacing w:after="0"/>
              <w:rPr>
                <w:sz w:val="1"/>
                <w:szCs w:val="1"/>
                <w:color w:val="auto"/>
              </w:rPr>
            </w:pPr>
          </w:p>
        </w:tc>
      </w:tr>
      <w:tr>
        <w:trPr>
          <w:trHeight w:val="239"/>
        </w:trPr>
        <w:tc>
          <w:tcPr>
            <w:tcW w:w="54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480" w:type="dxa"/>
            <w:vAlign w:val="bottom"/>
          </w:tcPr>
          <w:p>
            <w:pPr>
              <w:ind w:left="200"/>
              <w:spacing w:after="0" w:line="189" w:lineRule="exact"/>
              <w:rPr>
                <w:sz w:val="20"/>
                <w:szCs w:val="20"/>
                <w:color w:val="auto"/>
              </w:rPr>
            </w:pPr>
            <w:r>
              <w:rPr>
                <w:rFonts w:ascii="Arial" w:cs="Arial" w:eastAsia="Arial" w:hAnsi="Arial"/>
                <w:sz w:val="18"/>
                <w:szCs w:val="18"/>
                <w:color w:val="auto"/>
              </w:rPr>
              <w:t>Cost of sales - services and other (exclusive of depreciation and</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146,577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429,869</w:t>
            </w:r>
          </w:p>
        </w:tc>
        <w:tc>
          <w:tcPr>
            <w:tcW w:w="0" w:type="dxa"/>
            <w:vAlign w:val="bottom"/>
          </w:tcPr>
          <w:p>
            <w:pPr>
              <w:spacing w:after="0"/>
              <w:rPr>
                <w:sz w:val="1"/>
                <w:szCs w:val="1"/>
                <w:color w:val="auto"/>
              </w:rPr>
            </w:pPr>
          </w:p>
        </w:tc>
      </w:tr>
      <w:tr>
        <w:trPr>
          <w:trHeight w:val="188"/>
        </w:trPr>
        <w:tc>
          <w:tcPr>
            <w:tcW w:w="5480" w:type="dxa"/>
            <w:vAlign w:val="bottom"/>
          </w:tcPr>
          <w:p>
            <w:pPr>
              <w:ind w:left="200"/>
              <w:spacing w:after="0" w:line="189" w:lineRule="exact"/>
              <w:rPr>
                <w:sz w:val="20"/>
                <w:szCs w:val="20"/>
                <w:color w:val="auto"/>
              </w:rPr>
            </w:pPr>
            <w:r>
              <w:rPr>
                <w:rFonts w:ascii="Arial" w:cs="Arial" w:eastAsia="Arial" w:hAnsi="Arial"/>
                <w:sz w:val="18"/>
                <w:szCs w:val="18"/>
                <w:color w:val="auto"/>
              </w:rPr>
              <w:t>Cost of sales - equipment (exclusive of depreciation and</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115,529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142,744</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115,358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383,952</w:t>
            </w: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361,619</w:t>
            </w: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446,169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1,316,269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1,337,595</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49,480</w:t>
            </w:r>
          </w:p>
        </w:tc>
        <w:tc>
          <w:tcPr>
            <w:tcW w:w="0" w:type="dxa"/>
            <w:vAlign w:val="bottom"/>
          </w:tcPr>
          <w:p>
            <w:pPr>
              <w:spacing w:after="0"/>
              <w:rPr>
                <w:sz w:val="1"/>
                <w:szCs w:val="1"/>
                <w:color w:val="auto"/>
              </w:rPr>
            </w:pPr>
          </w:p>
        </w:tc>
      </w:tr>
      <w:tr>
        <w:trPr>
          <w:trHeight w:val="219"/>
        </w:trPr>
        <w:tc>
          <w:tcPr>
            <w:tcW w:w="5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(156,813)</w:t>
            </w: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Gains (losses) on investments,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28,087</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Equity in earnings (losses) of unconsolidated affiliates,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Foreign currency transaction gains (losses),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(125,363)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(94,254)</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(44,774)</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Income tax benefit (provision), net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(57,381)</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(11,158)</w:t>
            </w:r>
          </w:p>
        </w:tc>
        <w:tc>
          <w:tcPr>
            <w:tcW w:w="0" w:type="dxa"/>
            <w:vAlign w:val="bottom"/>
          </w:tcPr>
          <w:p>
            <w:pPr>
              <w:spacing w:after="0"/>
              <w:rPr>
                <w:sz w:val="1"/>
                <w:szCs w:val="1"/>
                <w:color w:val="auto"/>
              </w:rPr>
            </w:pPr>
          </w:p>
        </w:tc>
      </w:tr>
      <w:tr>
        <w:trPr>
          <w:trHeight w:val="229"/>
        </w:trPr>
        <w:tc>
          <w:tcPr>
            <w:tcW w:w="5480" w:type="dxa"/>
            <w:vAlign w:val="bottom"/>
          </w:tcPr>
          <w:p>
            <w:pPr>
              <w:ind w:left="200"/>
              <w:spacing w:after="0"/>
              <w:rPr>
                <w:sz w:val="20"/>
                <w:szCs w:val="20"/>
                <w:color w:val="auto"/>
              </w:rPr>
            </w:pPr>
            <w:r>
              <w:rPr>
                <w:rFonts w:ascii="Arial" w:cs="Arial" w:eastAsia="Arial" w:hAnsi="Arial"/>
                <w:sz w:val="18"/>
                <w:szCs w:val="18"/>
                <w:color w:val="auto"/>
              </w:rPr>
              <w:t>Less: Net loss (income) attributable to non-controlling interests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Arial" w:cs="Arial" w:eastAsia="Arial" w:hAnsi="Arial"/>
                <w:sz w:val="18"/>
                <w:szCs w:val="18"/>
                <w:color w:val="auto"/>
              </w:rPr>
              <w:t>Net income (loss) attributable to EchoStar Corporation common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25,440</w:t>
            </w:r>
          </w:p>
        </w:tc>
        <w:tc>
          <w:tcPr>
            <w:tcW w:w="120" w:type="dxa"/>
            <w:vAlign w:val="bottom"/>
          </w:tcPr>
          <w:p>
            <w:pPr>
              <w:spacing w:after="0"/>
              <w:rPr>
                <w:sz w:val="14"/>
                <w:szCs w:val="1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(40,267)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190"/>
        </w:trPr>
        <w:tc>
          <w:tcPr>
            <w:tcW w:w="5480" w:type="dxa"/>
            <w:vAlign w:val="bottom"/>
          </w:tcPr>
          <w:p>
            <w:pPr>
              <w:spacing w:after="0" w:line="190" w:lineRule="exact"/>
              <w:rPr>
                <w:sz w:val="20"/>
                <w:szCs w:val="20"/>
                <w:color w:val="auto"/>
              </w:rPr>
            </w:pPr>
            <w:r>
              <w:rPr>
                <w:rFonts w:ascii="Arial" w:cs="Arial" w:eastAsia="Arial" w:hAnsi="Arial"/>
                <w:sz w:val="18"/>
                <w:szCs w:val="18"/>
                <w:color w:val="auto"/>
              </w:rPr>
              <w:t>stock</w:t>
            </w: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tcPr>
          <w:p>
            <w:pPr>
              <w:ind w:left="200"/>
              <w:spacing w:after="0" w:line="189" w:lineRule="exact"/>
              <w:rPr>
                <w:sz w:val="20"/>
                <w:szCs w:val="20"/>
                <w:color w:val="auto"/>
              </w:rPr>
            </w:pPr>
            <w:r>
              <w:rPr>
                <w:rFonts w:ascii="Arial" w:cs="Arial" w:eastAsia="Arial" w:hAnsi="Arial"/>
                <w:sz w:val="18"/>
                <w:szCs w:val="18"/>
                <w:color w:val="auto"/>
              </w:rPr>
              <w:t>Basic and diluted earnings (losses) from continuing operations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95"/>
        </w:trPr>
        <w:tc>
          <w:tcPr>
            <w:tcW w:w="5480" w:type="dxa"/>
            <w:vAlign w:val="bottom"/>
          </w:tcPr>
          <w:p>
            <w:pPr>
              <w:ind w:left="200"/>
              <w:spacing w:after="0" w:line="190" w:lineRule="exact"/>
              <w:rPr>
                <w:sz w:val="20"/>
                <w:szCs w:val="20"/>
                <w:color w:val="auto"/>
              </w:rPr>
            </w:pPr>
            <w:r>
              <w:rPr>
                <w:rFonts w:ascii="Arial" w:cs="Arial" w:eastAsia="Arial" w:hAnsi="Arial"/>
                <w:sz w:val="18"/>
                <w:szCs w:val="18"/>
                <w:color w:val="auto"/>
              </w:rPr>
              <w:t>per share</w:t>
            </w: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0"/>
              <w:spacing w:after="0"/>
              <w:rPr>
                <w:sz w:val="20"/>
                <w:szCs w:val="20"/>
                <w:color w:val="auto"/>
              </w:rPr>
            </w:pPr>
            <w:r>
              <w:rPr>
                <w:rFonts w:ascii="Arial" w:cs="Arial" w:eastAsia="Arial" w:hAnsi="Arial"/>
                <w:sz w:val="18"/>
                <w:szCs w:val="18"/>
                <w:color w:val="auto"/>
              </w:rPr>
              <w:t>Total basic and diluted earnings (losses)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765" w:right="33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4"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For the nine months ended</w:t>
      </w:r>
    </w:p>
    <w:p>
      <w:pPr>
        <w:jc w:val="center"/>
        <w:ind w:left="79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84"/>
        </w:trPr>
        <w:tc>
          <w:tcPr>
            <w:tcW w:w="79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8"/>
        </w:trPr>
        <w:tc>
          <w:tcPr>
            <w:tcW w:w="798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(49,307)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(11,158)</w:t>
            </w:r>
          </w:p>
        </w:tc>
      </w:tr>
      <w:tr>
        <w:trPr>
          <w:trHeight w:val="190"/>
        </w:trPr>
        <w:tc>
          <w:tcPr>
            <w:tcW w:w="7980" w:type="dxa"/>
            <w:vAlign w:val="bottom"/>
          </w:tcPr>
          <w:p>
            <w:pPr>
              <w:ind w:left="100"/>
              <w:spacing w:after="0"/>
              <w:rPr>
                <w:sz w:val="20"/>
                <w:szCs w:val="20"/>
                <w:color w:val="auto"/>
              </w:rPr>
            </w:pPr>
            <w:r>
              <w:rPr>
                <w:rFonts w:ascii="Arial" w:cs="Arial" w:eastAsia="Arial" w:hAnsi="Arial"/>
                <w:sz w:val="14"/>
                <w:szCs w:val="14"/>
                <w:b w:val="1"/>
                <w:bCs w:val="1"/>
                <w:color w:val="auto"/>
              </w:rPr>
              <w:t>Adjustments to reconcile net income (loss) to net cash flows from operating activities: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392,077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459,054</w:t>
            </w: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Losses (gains) on investments, net</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37,764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(28,087)</w:t>
            </w: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Equity in losses (earnings) of unconsolidated affiliates, net</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5,866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14,317</w:t>
            </w: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Foreign currency transaction losses (gains), net</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2,603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14,501</w:t>
            </w: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Deferred tax provision (benefit), net</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22,949</w:t>
            </w: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7,120</w:t>
            </w: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4,882</w:t>
            </w:r>
          </w:p>
        </w:tc>
      </w:tr>
      <w:tr>
        <w:trPr>
          <w:trHeight w:val="189"/>
        </w:trPr>
        <w:tc>
          <w:tcPr>
            <w:tcW w:w="7980" w:type="dxa"/>
            <w:vAlign w:val="bottom"/>
          </w:tcPr>
          <w:p>
            <w:pPr>
              <w:ind w:left="300"/>
              <w:spacing w:after="0"/>
              <w:rPr>
                <w:sz w:val="20"/>
                <w:szCs w:val="20"/>
                <w:color w:val="auto"/>
              </w:rPr>
            </w:pPr>
            <w:r>
              <w:rPr>
                <w:rFonts w:ascii="Arial" w:cs="Arial" w:eastAsia="Arial" w:hAnsi="Arial"/>
                <w:sz w:val="14"/>
                <w:szCs w:val="14"/>
                <w:color w:val="auto"/>
              </w:rPr>
              <w:t>Dividends received from unconsolidated affiliates</w:t>
            </w:r>
          </w:p>
        </w:tc>
        <w:tc>
          <w:tcPr>
            <w:tcW w:w="3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188"/>
        </w:trPr>
        <w:tc>
          <w:tcPr>
            <w:tcW w:w="7980" w:type="dxa"/>
            <w:vAlign w:val="bottom"/>
          </w:tcPr>
          <w:p>
            <w:pPr>
              <w:ind w:left="30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9,617</w:t>
            </w:r>
          </w:p>
        </w:tc>
      </w:tr>
      <w:tr>
        <w:trPr>
          <w:trHeight w:val="190"/>
        </w:trPr>
        <w:tc>
          <w:tcPr>
            <w:tcW w:w="7980" w:type="dxa"/>
            <w:vAlign w:val="bottom"/>
          </w:tcPr>
          <w:p>
            <w:pPr>
              <w:ind w:left="300"/>
              <w:spacing w:after="0"/>
              <w:rPr>
                <w:sz w:val="20"/>
                <w:szCs w:val="20"/>
                <w:color w:val="auto"/>
              </w:rPr>
            </w:pPr>
            <w:r>
              <w:rPr>
                <w:rFonts w:ascii="Arial" w:cs="Arial" w:eastAsia="Arial" w:hAnsi="Arial"/>
                <w:sz w:val="14"/>
                <w:szCs w:val="14"/>
                <w:b w:val="1"/>
                <w:bCs w:val="1"/>
                <w:color w:val="auto"/>
              </w:rPr>
              <w:t>Changes in assets and liabilities, net:</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7980" w:type="dxa"/>
            <w:vAlign w:val="bottom"/>
          </w:tcPr>
          <w:p>
            <w:pPr>
              <w:ind w:left="500"/>
              <w:spacing w:after="0"/>
              <w:rPr>
                <w:sz w:val="20"/>
                <w:szCs w:val="20"/>
                <w:color w:val="auto"/>
              </w:rPr>
            </w:pPr>
            <w:r>
              <w:rPr>
                <w:rFonts w:ascii="Arial" w:cs="Arial" w:eastAsia="Arial" w:hAnsi="Arial"/>
                <w:sz w:val="14"/>
                <w:szCs w:val="14"/>
                <w:color w:val="auto"/>
              </w:rPr>
              <w:t>Trade accounts receivable and contract assets, net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(5,439)</w:t>
            </w:r>
          </w:p>
        </w:tc>
      </w:tr>
      <w:tr>
        <w:trPr>
          <w:trHeight w:val="189"/>
        </w:trPr>
        <w:tc>
          <w:tcPr>
            <w:tcW w:w="7980" w:type="dxa"/>
            <w:vAlign w:val="bottom"/>
          </w:tcPr>
          <w:p>
            <w:pPr>
              <w:ind w:left="500"/>
              <w:spacing w:after="0"/>
              <w:rPr>
                <w:sz w:val="20"/>
                <w:szCs w:val="20"/>
                <w:color w:val="auto"/>
              </w:rPr>
            </w:pPr>
            <w:r>
              <w:rPr>
                <w:rFonts w:ascii="Arial" w:cs="Arial" w:eastAsia="Arial" w:hAnsi="Arial"/>
                <w:sz w:val="14"/>
                <w:szCs w:val="14"/>
                <w:color w:val="auto"/>
              </w:rPr>
              <w:t>Other current assets, net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(42,140)</w:t>
            </w:r>
          </w:p>
        </w:tc>
      </w:tr>
      <w:tr>
        <w:trPr>
          <w:trHeight w:val="189"/>
        </w:trPr>
        <w:tc>
          <w:tcPr>
            <w:tcW w:w="7980" w:type="dxa"/>
            <w:vAlign w:val="bottom"/>
          </w:tcPr>
          <w:p>
            <w:pPr>
              <w:ind w:left="500"/>
              <w:spacing w:after="0"/>
              <w:rPr>
                <w:sz w:val="20"/>
                <w:szCs w:val="20"/>
                <w:color w:val="auto"/>
              </w:rPr>
            </w:pPr>
            <w:r>
              <w:rPr>
                <w:rFonts w:ascii="Arial" w:cs="Arial" w:eastAsia="Arial" w:hAnsi="Arial"/>
                <w:sz w:val="14"/>
                <w:szCs w:val="14"/>
                <w:color w:val="auto"/>
              </w:rPr>
              <w:t>Trade accounts payable</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18,180</w:t>
            </w:r>
          </w:p>
        </w:tc>
      </w:tr>
      <w:tr>
        <w:trPr>
          <w:trHeight w:val="189"/>
        </w:trPr>
        <w:tc>
          <w:tcPr>
            <w:tcW w:w="7980" w:type="dxa"/>
            <w:vAlign w:val="bottom"/>
          </w:tcPr>
          <w:p>
            <w:pPr>
              <w:ind w:left="500"/>
              <w:spacing w:after="0"/>
              <w:rPr>
                <w:sz w:val="20"/>
                <w:szCs w:val="20"/>
                <w:color w:val="auto"/>
              </w:rPr>
            </w:pPr>
            <w:r>
              <w:rPr>
                <w:rFonts w:ascii="Arial" w:cs="Arial" w:eastAsia="Arial" w:hAnsi="Arial"/>
                <w:sz w:val="14"/>
                <w:szCs w:val="14"/>
                <w:color w:val="auto"/>
              </w:rPr>
              <w:t>Contract liabilities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37,273</w:t>
            </w:r>
          </w:p>
        </w:tc>
      </w:tr>
      <w:tr>
        <w:trPr>
          <w:trHeight w:val="189"/>
        </w:trPr>
        <w:tc>
          <w:tcPr>
            <w:tcW w:w="7980" w:type="dxa"/>
            <w:vAlign w:val="bottom"/>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29,155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27,972</w:t>
            </w:r>
          </w:p>
        </w:tc>
      </w:tr>
      <w:tr>
        <w:trPr>
          <w:trHeight w:val="188"/>
        </w:trPr>
        <w:tc>
          <w:tcPr>
            <w:tcW w:w="7980" w:type="dxa"/>
            <w:vAlign w:val="bottom"/>
          </w:tcPr>
          <w:p>
            <w:pPr>
              <w:ind w:left="500"/>
              <w:spacing w:after="0"/>
              <w:rPr>
                <w:sz w:val="20"/>
                <w:szCs w:val="20"/>
                <w:color w:val="auto"/>
              </w:rPr>
            </w:pPr>
            <w:r>
              <w:rPr>
                <w:rFonts w:ascii="Arial" w:cs="Arial" w:eastAsia="Arial" w:hAnsi="Arial"/>
                <w:sz w:val="14"/>
                <w:szCs w:val="14"/>
                <w:color w:val="auto"/>
              </w:rPr>
              <w:t>Non-current assets and non-current liabilities, net</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r>
      <w:tr>
        <w:trPr>
          <w:trHeight w:val="183"/>
        </w:trPr>
        <w:tc>
          <w:tcPr>
            <w:tcW w:w="7980" w:type="dxa"/>
            <w:vAlign w:val="bottom"/>
          </w:tcPr>
          <w:p>
            <w:pPr>
              <w:spacing w:after="0"/>
              <w:rPr>
                <w:sz w:val="20"/>
                <w:szCs w:val="20"/>
                <w:color w:val="auto"/>
              </w:rPr>
            </w:pPr>
            <w:r>
              <w:rPr>
                <w:rFonts w:ascii="Arial" w:cs="Arial" w:eastAsia="Arial" w:hAnsi="Arial"/>
                <w:sz w:val="14"/>
                <w:szCs w:val="14"/>
                <w:b w:val="1"/>
                <w:bCs w:val="1"/>
                <w:color w:val="auto"/>
              </w:rPr>
              <w:t>Net cash flows from operating activities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365,402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533,060</w:t>
            </w:r>
          </w:p>
        </w:tc>
      </w:tr>
      <w:tr>
        <w:trPr>
          <w:trHeight w:val="319"/>
        </w:trPr>
        <w:tc>
          <w:tcPr>
            <w:tcW w:w="79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Purchases of marketable investment securities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(2,234,671)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(655,265)</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Sales and maturities of marketable investment securities</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1,231,790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1,988,078</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Expenditures for property and equipment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(295,041)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(314,861)</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Expenditures for externally marketed software</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(21,364)</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Purchase of other investments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Investments in unconsolidated affiliates</w:t>
            </w:r>
          </w:p>
        </w:tc>
        <w:tc>
          <w:tcPr>
            <w:tcW w:w="3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(7,503)</w:t>
            </w:r>
          </w:p>
        </w:tc>
      </w:tr>
      <w:tr>
        <w:trPr>
          <w:trHeight w:val="188"/>
        </w:trPr>
        <w:tc>
          <w:tcPr>
            <w:tcW w:w="7980" w:type="dxa"/>
            <w:vAlign w:val="bottom"/>
          </w:tcPr>
          <w:p>
            <w:pPr>
              <w:ind w:left="100"/>
              <w:spacing w:after="0"/>
              <w:rPr>
                <w:sz w:val="20"/>
                <w:szCs w:val="20"/>
                <w:color w:val="auto"/>
              </w:rPr>
            </w:pPr>
            <w:r>
              <w:rPr>
                <w:rFonts w:ascii="Arial" w:cs="Arial" w:eastAsia="Arial" w:hAnsi="Arial"/>
                <w:sz w:val="14"/>
                <w:szCs w:val="14"/>
                <w:color w:val="auto"/>
              </w:rPr>
              <w:t>Dividend received from unconsolidated affiliate</w:t>
            </w:r>
          </w:p>
        </w:tc>
        <w:tc>
          <w:tcPr>
            <w:tcW w:w="3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2,284</w:t>
            </w:r>
          </w:p>
        </w:tc>
      </w:tr>
      <w:tr>
        <w:trPr>
          <w:trHeight w:val="183"/>
        </w:trPr>
        <w:tc>
          <w:tcPr>
            <w:tcW w:w="7980" w:type="dxa"/>
            <w:vAlign w:val="bottom"/>
          </w:tcPr>
          <w:p>
            <w:pPr>
              <w:spacing w:after="0"/>
              <w:rPr>
                <w:sz w:val="20"/>
                <w:szCs w:val="20"/>
                <w:color w:val="auto"/>
              </w:rPr>
            </w:pPr>
            <w:r>
              <w:rPr>
                <w:rFonts w:ascii="Arial" w:cs="Arial" w:eastAsia="Arial" w:hAnsi="Arial"/>
                <w:sz w:val="14"/>
                <w:szCs w:val="14"/>
                <w:b w:val="1"/>
                <w:bCs w:val="1"/>
                <w:color w:val="auto"/>
              </w:rPr>
              <w:t>Net cash flows from investing activities</w:t>
            </w: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(1,331,246)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991,369</w:t>
            </w:r>
          </w:p>
        </w:tc>
      </w:tr>
      <w:tr>
        <w:trPr>
          <w:trHeight w:val="319"/>
        </w:trPr>
        <w:tc>
          <w:tcPr>
            <w:tcW w:w="79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Repurchase and maturity of the 2019 Senior Secured Notes</w:t>
            </w:r>
          </w:p>
        </w:tc>
        <w:tc>
          <w:tcPr>
            <w:tcW w:w="3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(920,923)</w:t>
            </w:r>
          </w:p>
        </w:tc>
      </w:tr>
      <w:tr>
        <w:trPr>
          <w:trHeight w:val="189"/>
        </w:trPr>
        <w:tc>
          <w:tcPr>
            <w:tcW w:w="7980" w:type="dxa"/>
            <w:vAlign w:val="bottom"/>
          </w:tcPr>
          <w:p>
            <w:pPr>
              <w:ind w:left="180"/>
              <w:spacing w:after="0"/>
              <w:rPr>
                <w:sz w:val="20"/>
                <w:szCs w:val="20"/>
                <w:color w:val="auto"/>
              </w:rPr>
            </w:pPr>
            <w:r>
              <w:rPr>
                <w:rFonts w:ascii="Arial" w:cs="Arial" w:eastAsia="Arial" w:hAnsi="Arial"/>
                <w:sz w:val="14"/>
                <w:szCs w:val="14"/>
                <w:color w:val="auto"/>
              </w:rPr>
              <w:t>Payment of finance lease obligations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(29,135)</w:t>
            </w:r>
          </w:p>
        </w:tc>
      </w:tr>
      <w:tr>
        <w:trPr>
          <w:trHeight w:val="189"/>
        </w:trPr>
        <w:tc>
          <w:tcPr>
            <w:tcW w:w="7980" w:type="dxa"/>
            <w:vAlign w:val="bottom"/>
          </w:tcPr>
          <w:p>
            <w:pPr>
              <w:ind w:left="180"/>
              <w:spacing w:after="0"/>
              <w:rPr>
                <w:sz w:val="20"/>
                <w:szCs w:val="20"/>
                <w:color w:val="auto"/>
              </w:rPr>
            </w:pPr>
            <w:r>
              <w:rPr>
                <w:rFonts w:ascii="Arial" w:cs="Arial" w:eastAsia="Arial" w:hAnsi="Arial"/>
                <w:sz w:val="14"/>
                <w:szCs w:val="14"/>
                <w:color w:val="auto"/>
              </w:rPr>
              <w:t>Payment of in-orbit incentive obligations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(5,269)</w:t>
            </w:r>
          </w:p>
        </w:tc>
      </w:tr>
      <w:tr>
        <w:trPr>
          <w:trHeight w:val="189"/>
        </w:trPr>
        <w:tc>
          <w:tcPr>
            <w:tcW w:w="7980" w:type="dxa"/>
            <w:vAlign w:val="bottom"/>
          </w:tcPr>
          <w:p>
            <w:pPr>
              <w:ind w:left="180"/>
              <w:spacing w:after="0"/>
              <w:rPr>
                <w:sz w:val="20"/>
                <w:szCs w:val="20"/>
                <w:color w:val="auto"/>
              </w:rPr>
            </w:pPr>
            <w:r>
              <w:rPr>
                <w:rFonts w:ascii="Arial" w:cs="Arial" w:eastAsia="Arial" w:hAnsi="Arial"/>
                <w:sz w:val="14"/>
                <w:szCs w:val="14"/>
                <w:color w:val="auto"/>
              </w:rPr>
              <w:t>Net proceeds from Class A common stock options exercised</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64,143</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8,066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7,724</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Treasury share purchase</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Contribution by non-controlling interest holder</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14,268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100"/>
              <w:spacing w:after="0"/>
              <w:rPr>
                <w:sz w:val="20"/>
                <w:szCs w:val="20"/>
                <w:color w:val="auto"/>
              </w:rPr>
            </w:pPr>
            <w:r>
              <w:rPr>
                <w:rFonts w:ascii="Arial" w:cs="Arial" w:eastAsia="Arial" w:hAnsi="Arial"/>
                <w:sz w:val="14"/>
                <w:szCs w:val="14"/>
                <w:color w:val="auto"/>
              </w:rPr>
              <w:t>Purchase of non-controlling interest</w:t>
            </w:r>
          </w:p>
        </w:tc>
        <w:tc>
          <w:tcPr>
            <w:tcW w:w="3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(7,313)</w:t>
            </w:r>
          </w:p>
        </w:tc>
      </w:tr>
      <w:tr>
        <w:trPr>
          <w:trHeight w:val="188"/>
        </w:trPr>
        <w:tc>
          <w:tcPr>
            <w:tcW w:w="798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r>
      <w:tr>
        <w:trPr>
          <w:trHeight w:val="183"/>
        </w:trPr>
        <w:tc>
          <w:tcPr>
            <w:tcW w:w="7980" w:type="dxa"/>
            <w:vAlign w:val="bottom"/>
          </w:tcPr>
          <w:p>
            <w:pPr>
              <w:spacing w:after="0"/>
              <w:rPr>
                <w:sz w:val="20"/>
                <w:szCs w:val="20"/>
                <w:color w:val="auto"/>
              </w:rPr>
            </w:pPr>
            <w:r>
              <w:rPr>
                <w:rFonts w:ascii="Arial" w:cs="Arial" w:eastAsia="Arial" w:hAnsi="Arial"/>
                <w:sz w:val="14"/>
                <w:szCs w:val="14"/>
                <w:b w:val="1"/>
                <w:bCs w:val="1"/>
                <w:color w:val="auto"/>
              </w:rPr>
              <w:t>Net cash flows from financing activities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16,548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(890,015)</w:t>
            </w:r>
          </w:p>
        </w:tc>
      </w:tr>
      <w:tr>
        <w:trPr>
          <w:trHeight w:val="318"/>
        </w:trPr>
        <w:tc>
          <w:tcPr>
            <w:tcW w:w="7980" w:type="dxa"/>
            <w:vAlign w:val="bottom"/>
          </w:tcPr>
          <w:p>
            <w:pPr>
              <w:spacing w:after="0"/>
              <w:rPr>
                <w:sz w:val="20"/>
                <w:szCs w:val="20"/>
                <w:color w:val="auto"/>
              </w:rPr>
            </w:pPr>
            <w:r>
              <w:rPr>
                <w:rFonts w:ascii="Arial" w:cs="Arial" w:eastAsia="Arial" w:hAnsi="Arial"/>
                <w:sz w:val="14"/>
                <w:szCs w:val="14"/>
                <w:color w:val="auto"/>
              </w:rPr>
              <w:t>Effect of exchange rates on cash and cash equivalents</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r>
      <w:tr>
        <w:trPr>
          <w:trHeight w:val="184"/>
        </w:trPr>
        <w:tc>
          <w:tcPr>
            <w:tcW w:w="798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(957,644)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634,003</w:t>
            </w:r>
          </w:p>
        </w:tc>
      </w:tr>
      <w:tr>
        <w:trPr>
          <w:trHeight w:val="188"/>
        </w:trPr>
        <w:tc>
          <w:tcPr>
            <w:tcW w:w="798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1,521,889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929,495</w:t>
            </w:r>
          </w:p>
        </w:tc>
      </w:tr>
      <w:tr>
        <w:trPr>
          <w:trHeight w:val="183"/>
        </w:trPr>
        <w:tc>
          <w:tcPr>
            <w:tcW w:w="798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564,245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1,563,498</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w:t>
      </w:r>
    </w:p>
    <w:sectPr>
      <w:pgSz w:w="11900" w:h="16838" w:orient="portrait"/>
      <w:cols w:equalWidth="0" w:num="1">
        <w:col w:w="11180"/>
      </w:cols>
      <w:pgMar w:left="360" w:top="7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lowerRoman"/>
      <w:start w:val="5"/>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lowerRoman"/>
      <w:start w:val="5"/>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upperLetter"/>
      <w:start w:val="8"/>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1)"/>
      <w:numFmt w:val="upperLetter"/>
      <w:start w:val="3"/>
    </w:lvl>
  </w:abstractNum>
  <w:abstractNum w:abstractNumId="39">
    <w:nsid w:val="32FFF902"/>
    <w:multiLevelType w:val="hybridMultilevel"/>
    <w:lvl w:ilvl="0">
      <w:lvlJc w:val="left"/>
      <w:lvlText w:val="%1"/>
      <w:numFmt w:val="upperLetter"/>
      <w:start w:val="1"/>
    </w:lvl>
    <w:lvl w:ilvl="1">
      <w:lvlJc w:val="left"/>
      <w:lvlText w:val="(%2)"/>
      <w:numFmt w:val="upperLetter"/>
      <w:start w:val="1"/>
    </w:lvl>
    <w:lvl w:ilvl="2">
      <w:lvlJc w:val="left"/>
      <w:lvlText w:val="•"/>
      <w:numFmt w:val="bullet"/>
      <w:start w:val="1"/>
    </w:lvl>
  </w:abstractNum>
  <w:abstractNum w:abstractNumId="40">
    <w:nsid w:val="684A481A"/>
    <w:multiLevelType w:val="hybridMultilevel"/>
    <w:lvl w:ilvl="0">
      <w:lvlJc w:val="left"/>
      <w:lvlText w:val="(%1)"/>
      <w:numFmt w:val="upperLetter"/>
      <w:start w:val="1"/>
    </w:lvl>
    <w:lvl w:ilvl="1">
      <w:lvlJc w:val="left"/>
      <w:lvlText w:val="%2"/>
      <w:numFmt w:val="upperLetter"/>
      <w:start w:val="1"/>
    </w:lvl>
    <w:lvl w:ilvl="2">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lowerLetter"/>
      <w:start w:val="3"/>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0"/>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
    </w:lvl>
    <w:lvl w:ilvl="1">
      <w:lvlJc w:val="left"/>
      <w:lvlText w:val="%2)"/>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lowerRoman"/>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lvl w:ilvl="1">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2020-11-05T05:29:17Z</dcterms:created>
  <dcterms:modified xsi:type="dcterms:W3CDTF">2020-11-05T05:29:17Z</dcterms:modified>
</cp:coreProperties>
</file>