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8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3220" w:right="2620" w:hanging="3212"/>
        <w:spacing w:after="0" w:line="262" w:lineRule="auto"/>
        <w:tabs>
          <w:tab w:leader="none" w:pos="299"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8"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33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4003675</wp:posOffset>
            </wp:positionH>
            <wp:positionV relativeFrom="paragraph">
              <wp:posOffset>-14605</wp:posOffset>
            </wp:positionV>
            <wp:extent cx="1026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174625</wp:posOffset>
            </wp:positionV>
            <wp:extent cx="171450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102" w:lineRule="exact"/>
        <w:rPr>
          <w:sz w:val="24"/>
          <w:szCs w:val="24"/>
          <w:color w:val="auto"/>
        </w:rPr>
      </w:pPr>
    </w:p>
    <w:tbl>
      <w:tblPr>
        <w:tblLayout w:type="fixed"/>
        <w:tblInd w:w="660" w:type="dxa"/>
        <w:tblCellMar>
          <w:top w:w="0" w:type="dxa"/>
          <w:left w:w="0" w:type="dxa"/>
          <w:bottom w:w="0" w:type="dxa"/>
          <w:right w:w="0" w:type="dxa"/>
        </w:tblCellMar>
      </w:tblPr>
      <w:tr>
        <w:trPr>
          <w:trHeight w:val="239"/>
        </w:trPr>
        <w:tc>
          <w:tcPr>
            <w:tcW w:w="4700" w:type="dxa"/>
            <w:vAlign w:val="bottom"/>
          </w:tcPr>
          <w:p>
            <w:pPr>
              <w:jc w:val="center"/>
              <w:ind w:right="377"/>
              <w:spacing w:after="0"/>
              <w:rPr>
                <w:sz w:val="20"/>
                <w:szCs w:val="20"/>
                <w:color w:val="auto"/>
              </w:rPr>
            </w:pPr>
            <w:r>
              <w:rPr>
                <w:rFonts w:ascii="Arial" w:cs="Arial" w:eastAsia="Arial" w:hAnsi="Arial"/>
                <w:sz w:val="18"/>
                <w:szCs w:val="18"/>
                <w:b w:val="1"/>
                <w:bCs w:val="1"/>
                <w:color w:val="auto"/>
                <w:w w:val="99"/>
              </w:rPr>
              <w:t>Nevada</w:t>
            </w:r>
          </w:p>
        </w:tc>
        <w:tc>
          <w:tcPr>
            <w:tcW w:w="5800" w:type="dxa"/>
            <w:vAlign w:val="bottom"/>
          </w:tcPr>
          <w:p>
            <w:pPr>
              <w:jc w:val="center"/>
              <w:ind w:left="356"/>
              <w:spacing w:after="0"/>
              <w:rPr>
                <w:sz w:val="20"/>
                <w:szCs w:val="20"/>
                <w:color w:val="auto"/>
              </w:rPr>
            </w:pPr>
            <w:r>
              <w:rPr>
                <w:rFonts w:ascii="Arial" w:cs="Arial" w:eastAsia="Arial" w:hAnsi="Arial"/>
                <w:sz w:val="18"/>
                <w:szCs w:val="18"/>
                <w:b w:val="1"/>
                <w:bCs w:val="1"/>
                <w:color w:val="auto"/>
                <w:w w:val="99"/>
              </w:rPr>
              <w:t>26-1232727</w:t>
            </w:r>
          </w:p>
        </w:tc>
      </w:tr>
      <w:tr>
        <w:trPr>
          <w:trHeight w:val="210"/>
        </w:trPr>
        <w:tc>
          <w:tcPr>
            <w:tcW w:w="4700" w:type="dxa"/>
            <w:vAlign w:val="bottom"/>
          </w:tcPr>
          <w:p>
            <w:pPr>
              <w:jc w:val="center"/>
              <w:ind w:right="357"/>
              <w:spacing w:after="0"/>
              <w:rPr>
                <w:sz w:val="20"/>
                <w:szCs w:val="20"/>
                <w:color w:val="auto"/>
              </w:rPr>
            </w:pPr>
            <w:r>
              <w:rPr>
                <w:rFonts w:ascii="Arial" w:cs="Arial" w:eastAsia="Arial" w:hAnsi="Arial"/>
                <w:sz w:val="16"/>
                <w:szCs w:val="16"/>
                <w:color w:val="auto"/>
              </w:rPr>
              <w:t>(State or other jurisdiction of incorporation or organization)</w:t>
            </w:r>
          </w:p>
        </w:tc>
        <w:tc>
          <w:tcPr>
            <w:tcW w:w="5800" w:type="dxa"/>
            <w:vAlign w:val="bottom"/>
          </w:tcPr>
          <w:p>
            <w:pPr>
              <w:jc w:val="center"/>
              <w:ind w:left="356"/>
              <w:spacing w:after="0"/>
              <w:rPr>
                <w:sz w:val="20"/>
                <w:szCs w:val="20"/>
                <w:color w:val="auto"/>
              </w:rPr>
            </w:pPr>
            <w:r>
              <w:rPr>
                <w:rFonts w:ascii="Arial" w:cs="Arial" w:eastAsia="Arial" w:hAnsi="Arial"/>
                <w:sz w:val="16"/>
                <w:szCs w:val="16"/>
                <w:color w:val="auto"/>
              </w:rPr>
              <w:t>(I.R.S. Employer Identification No.)</w:t>
            </w:r>
          </w:p>
        </w:tc>
      </w:tr>
      <w:tr>
        <w:trPr>
          <w:trHeight w:val="424"/>
        </w:trPr>
        <w:tc>
          <w:tcPr>
            <w:tcW w:w="4700" w:type="dxa"/>
            <w:vAlign w:val="bottom"/>
          </w:tcPr>
          <w:p>
            <w:pPr>
              <w:jc w:val="center"/>
              <w:ind w:right="357"/>
              <w:spacing w:after="0"/>
              <w:rPr>
                <w:sz w:val="20"/>
                <w:szCs w:val="20"/>
                <w:color w:val="auto"/>
              </w:rPr>
            </w:pPr>
            <w:r>
              <w:rPr>
                <w:rFonts w:ascii="Arial" w:cs="Arial" w:eastAsia="Arial" w:hAnsi="Arial"/>
                <w:sz w:val="18"/>
                <w:szCs w:val="18"/>
                <w:b w:val="1"/>
                <w:bCs w:val="1"/>
                <w:color w:val="auto"/>
                <w:w w:val="99"/>
              </w:rPr>
              <w:t>100 Inverness Terrace East, Englewood, Colorado</w:t>
            </w:r>
          </w:p>
        </w:tc>
        <w:tc>
          <w:tcPr>
            <w:tcW w:w="5800" w:type="dxa"/>
            <w:vAlign w:val="bottom"/>
          </w:tcPr>
          <w:p>
            <w:pPr>
              <w:jc w:val="center"/>
              <w:ind w:left="356"/>
              <w:spacing w:after="0"/>
              <w:rPr>
                <w:sz w:val="20"/>
                <w:szCs w:val="20"/>
                <w:color w:val="auto"/>
              </w:rPr>
            </w:pPr>
            <w:r>
              <w:rPr>
                <w:rFonts w:ascii="Arial" w:cs="Arial" w:eastAsia="Arial" w:hAnsi="Arial"/>
                <w:sz w:val="18"/>
                <w:szCs w:val="18"/>
                <w:b w:val="1"/>
                <w:bCs w:val="1"/>
                <w:color w:val="auto"/>
                <w:w w:val="99"/>
              </w:rPr>
              <w:t>80112-5308</w:t>
            </w:r>
          </w:p>
        </w:tc>
      </w:tr>
      <w:tr>
        <w:trPr>
          <w:trHeight w:val="210"/>
        </w:trPr>
        <w:tc>
          <w:tcPr>
            <w:tcW w:w="4700" w:type="dxa"/>
            <w:vAlign w:val="bottom"/>
          </w:tcPr>
          <w:p>
            <w:pPr>
              <w:jc w:val="center"/>
              <w:ind w:right="377"/>
              <w:spacing w:after="0"/>
              <w:rPr>
                <w:sz w:val="20"/>
                <w:szCs w:val="20"/>
                <w:color w:val="auto"/>
              </w:rPr>
            </w:pPr>
            <w:r>
              <w:rPr>
                <w:rFonts w:ascii="Arial" w:cs="Arial" w:eastAsia="Arial" w:hAnsi="Arial"/>
                <w:sz w:val="16"/>
                <w:szCs w:val="16"/>
                <w:color w:val="auto"/>
              </w:rPr>
              <w:t>(Address of principal executive offices)</w:t>
            </w:r>
          </w:p>
        </w:tc>
        <w:tc>
          <w:tcPr>
            <w:tcW w:w="5800" w:type="dxa"/>
            <w:vAlign w:val="bottom"/>
          </w:tcPr>
          <w:p>
            <w:pPr>
              <w:jc w:val="center"/>
              <w:ind w:left="356"/>
              <w:spacing w:after="0"/>
              <w:rPr>
                <w:sz w:val="20"/>
                <w:szCs w:val="20"/>
                <w:color w:val="auto"/>
              </w:rPr>
            </w:pPr>
            <w:r>
              <w:rPr>
                <w:rFonts w:ascii="Arial" w:cs="Arial" w:eastAsia="Arial" w:hAnsi="Arial"/>
                <w:sz w:val="16"/>
                <w:szCs w:val="16"/>
                <w:color w:val="auto"/>
              </w:rPr>
              <w:t>(Zip Code)</w:t>
            </w:r>
          </w:p>
        </w:tc>
      </w:tr>
      <w:tr>
        <w:trPr>
          <w:trHeight w:val="344"/>
        </w:trPr>
        <w:tc>
          <w:tcPr>
            <w:tcW w:w="4700" w:type="dxa"/>
            <w:vAlign w:val="bottom"/>
          </w:tcPr>
          <w:p>
            <w:pPr>
              <w:jc w:val="center"/>
              <w:ind w:right="377"/>
              <w:spacing w:after="0"/>
              <w:rPr>
                <w:sz w:val="20"/>
                <w:szCs w:val="20"/>
                <w:color w:val="auto"/>
              </w:rPr>
            </w:pPr>
            <w:r>
              <w:rPr>
                <w:rFonts w:ascii="Arial" w:cs="Arial" w:eastAsia="Arial" w:hAnsi="Arial"/>
                <w:sz w:val="18"/>
                <w:szCs w:val="18"/>
                <w:b w:val="1"/>
                <w:bCs w:val="1"/>
                <w:color w:val="auto"/>
              </w:rPr>
              <w:t>(303) 706-4000</w:t>
            </w:r>
          </w:p>
        </w:tc>
        <w:tc>
          <w:tcPr>
            <w:tcW w:w="5800" w:type="dxa"/>
            <w:vAlign w:val="bottom"/>
          </w:tcPr>
          <w:p>
            <w:pPr>
              <w:jc w:val="center"/>
              <w:ind w:left="336"/>
              <w:spacing w:after="0"/>
              <w:rPr>
                <w:sz w:val="20"/>
                <w:szCs w:val="20"/>
                <w:color w:val="auto"/>
              </w:rPr>
            </w:pPr>
            <w:r>
              <w:rPr>
                <w:rFonts w:ascii="Arial" w:cs="Arial" w:eastAsia="Arial" w:hAnsi="Arial"/>
                <w:sz w:val="18"/>
                <w:szCs w:val="18"/>
                <w:b w:val="1"/>
                <w:bCs w:val="1"/>
                <w:color w:val="auto"/>
                <w:w w:val="99"/>
              </w:rPr>
              <w:t>Not Applicable</w:t>
            </w:r>
          </w:p>
        </w:tc>
      </w:tr>
      <w:tr>
        <w:trPr>
          <w:trHeight w:val="177"/>
        </w:trPr>
        <w:tc>
          <w:tcPr>
            <w:tcW w:w="4700" w:type="dxa"/>
            <w:vAlign w:val="bottom"/>
          </w:tcPr>
          <w:p>
            <w:pPr>
              <w:jc w:val="center"/>
              <w:ind w:right="377"/>
              <w:spacing w:after="0" w:line="178" w:lineRule="exact"/>
              <w:rPr>
                <w:sz w:val="20"/>
                <w:szCs w:val="20"/>
                <w:color w:val="auto"/>
              </w:rPr>
            </w:pPr>
            <w:r>
              <w:rPr>
                <w:rFonts w:ascii="Arial" w:cs="Arial" w:eastAsia="Arial" w:hAnsi="Arial"/>
                <w:sz w:val="16"/>
                <w:szCs w:val="16"/>
                <w:color w:val="auto"/>
              </w:rPr>
              <w:t>(Registrant’s telephone number, including area code)</w:t>
            </w:r>
          </w:p>
        </w:tc>
        <w:tc>
          <w:tcPr>
            <w:tcW w:w="5800" w:type="dxa"/>
            <w:vAlign w:val="bottom"/>
          </w:tcPr>
          <w:p>
            <w:pPr>
              <w:jc w:val="center"/>
              <w:ind w:left="356"/>
              <w:spacing w:after="0" w:line="178" w:lineRule="exact"/>
              <w:rPr>
                <w:sz w:val="20"/>
                <w:szCs w:val="20"/>
                <w:color w:val="auto"/>
              </w:rPr>
            </w:pPr>
            <w:r>
              <w:rPr>
                <w:rFonts w:ascii="Arial" w:cs="Arial" w:eastAsia="Arial" w:hAnsi="Arial"/>
                <w:sz w:val="16"/>
                <w:szCs w:val="16"/>
                <w:color w:val="auto"/>
              </w:rPr>
              <w:t>(Former name, former address and former fiscal year, if changed since last</w:t>
            </w:r>
          </w:p>
        </w:tc>
      </w:tr>
      <w:tr>
        <w:trPr>
          <w:trHeight w:val="195"/>
        </w:trPr>
        <w:tc>
          <w:tcPr>
            <w:tcW w:w="4700" w:type="dxa"/>
            <w:vAlign w:val="bottom"/>
          </w:tcPr>
          <w:p>
            <w:pPr>
              <w:spacing w:after="0"/>
              <w:rPr>
                <w:sz w:val="16"/>
                <w:szCs w:val="16"/>
                <w:color w:val="auto"/>
              </w:rPr>
            </w:pPr>
          </w:p>
        </w:tc>
        <w:tc>
          <w:tcPr>
            <w:tcW w:w="5800" w:type="dxa"/>
            <w:vAlign w:val="bottom"/>
          </w:tcPr>
          <w:p>
            <w:pPr>
              <w:jc w:val="center"/>
              <w:ind w:left="356"/>
              <w:spacing w:after="0"/>
              <w:rPr>
                <w:sz w:val="20"/>
                <w:szCs w:val="20"/>
                <w:color w:val="auto"/>
              </w:rPr>
            </w:pPr>
            <w:r>
              <w:rPr>
                <w:rFonts w:ascii="Arial" w:cs="Arial" w:eastAsia="Arial" w:hAnsi="Arial"/>
                <w:sz w:val="16"/>
                <w:szCs w:val="16"/>
                <w:color w:val="auto"/>
              </w:rPr>
              <w:t>report)</w:t>
            </w:r>
          </w:p>
        </w:tc>
      </w:tr>
      <w:tr>
        <w:trPr>
          <w:trHeight w:val="324"/>
        </w:trPr>
        <w:tc>
          <w:tcPr>
            <w:tcW w:w="4700" w:type="dxa"/>
            <w:vAlign w:val="bottom"/>
          </w:tcPr>
          <w:p>
            <w:pPr>
              <w:jc w:val="center"/>
              <w:ind w:right="377"/>
              <w:spacing w:after="0"/>
              <w:rPr>
                <w:sz w:val="20"/>
                <w:szCs w:val="20"/>
                <w:color w:val="auto"/>
              </w:rPr>
            </w:pPr>
            <w:r>
              <w:rPr>
                <w:rFonts w:ascii="Arial" w:cs="Arial" w:eastAsia="Arial" w:hAnsi="Arial"/>
                <w:sz w:val="16"/>
                <w:szCs w:val="16"/>
                <w:color w:val="auto"/>
              </w:rPr>
              <w:t>Securities registered pursuant to Section 12(b) of the Act:</w:t>
            </w:r>
          </w:p>
        </w:tc>
        <w:tc>
          <w:tcPr>
            <w:tcW w:w="5800" w:type="dxa"/>
            <w:vAlign w:val="bottom"/>
          </w:tcPr>
          <w:p>
            <w:pPr>
              <w:spacing w:after="0"/>
              <w:rPr>
                <w:sz w:val="24"/>
                <w:szCs w:val="24"/>
                <w:color w:val="auto"/>
              </w:rPr>
            </w:pPr>
          </w:p>
        </w:tc>
      </w:tr>
      <w:tr>
        <w:trPr>
          <w:trHeight w:val="216"/>
        </w:trPr>
        <w:tc>
          <w:tcPr>
            <w:tcW w:w="4700" w:type="dxa"/>
            <w:vAlign w:val="bottom"/>
          </w:tcPr>
          <w:p>
            <w:pPr>
              <w:jc w:val="center"/>
              <w:ind w:right="417"/>
              <w:spacing w:after="0"/>
              <w:rPr>
                <w:sz w:val="20"/>
                <w:szCs w:val="20"/>
                <w:color w:val="auto"/>
              </w:rPr>
            </w:pPr>
            <w:r>
              <w:rPr>
                <w:rFonts w:ascii="Arial" w:cs="Arial" w:eastAsia="Arial" w:hAnsi="Arial"/>
                <w:sz w:val="16"/>
                <w:szCs w:val="16"/>
                <w:b w:val="1"/>
                <w:bCs w:val="1"/>
                <w:color w:val="auto"/>
              </w:rPr>
              <w:t>Class A common stock $0.001 par value</w:t>
            </w:r>
          </w:p>
        </w:tc>
        <w:tc>
          <w:tcPr>
            <w:tcW w:w="5800" w:type="dxa"/>
            <w:vAlign w:val="bottom"/>
          </w:tcPr>
          <w:p>
            <w:pPr>
              <w:jc w:val="center"/>
              <w:ind w:left="356"/>
              <w:spacing w:after="0"/>
              <w:rPr>
                <w:sz w:val="20"/>
                <w:szCs w:val="20"/>
                <w:color w:val="auto"/>
              </w:rPr>
            </w:pPr>
            <w:r>
              <w:rPr>
                <w:rFonts w:ascii="Arial" w:cs="Arial" w:eastAsia="Arial" w:hAnsi="Arial"/>
                <w:sz w:val="16"/>
                <w:szCs w:val="16"/>
                <w:b w:val="1"/>
                <w:bCs w:val="1"/>
                <w:color w:val="auto"/>
              </w:rPr>
              <w:t>The NASDAQ Stock Market LLC</w:t>
            </w:r>
          </w:p>
        </w:tc>
      </w:tr>
      <w:tr>
        <w:trPr>
          <w:trHeight w:val="216"/>
        </w:trPr>
        <w:tc>
          <w:tcPr>
            <w:tcW w:w="4700" w:type="dxa"/>
            <w:vAlign w:val="bottom"/>
          </w:tcPr>
          <w:p>
            <w:pPr>
              <w:jc w:val="center"/>
              <w:ind w:right="377"/>
              <w:spacing w:after="0"/>
              <w:rPr>
                <w:sz w:val="20"/>
                <w:szCs w:val="20"/>
                <w:color w:val="auto"/>
              </w:rPr>
            </w:pPr>
            <w:r>
              <w:rPr>
                <w:rFonts w:ascii="Arial" w:cs="Arial" w:eastAsia="Arial" w:hAnsi="Arial"/>
                <w:sz w:val="16"/>
                <w:szCs w:val="16"/>
                <w:color w:val="auto"/>
              </w:rPr>
              <w:t>(Title of each class)</w:t>
            </w:r>
          </w:p>
        </w:tc>
        <w:tc>
          <w:tcPr>
            <w:tcW w:w="5800" w:type="dxa"/>
            <w:vAlign w:val="bottom"/>
          </w:tcPr>
          <w:p>
            <w:pPr>
              <w:jc w:val="center"/>
              <w:ind w:left="356"/>
              <w:spacing w:after="0"/>
              <w:rPr>
                <w:sz w:val="20"/>
                <w:szCs w:val="20"/>
                <w:color w:val="auto"/>
              </w:rPr>
            </w:pPr>
            <w:r>
              <w:rPr>
                <w:rFonts w:ascii="Arial" w:cs="Arial" w:eastAsia="Arial" w:hAnsi="Arial"/>
                <w:sz w:val="16"/>
                <w:szCs w:val="16"/>
                <w:color w:val="auto"/>
              </w:rPr>
              <w:t>(Name of each exchange on which registered)</w:t>
            </w:r>
          </w:p>
        </w:tc>
      </w:tr>
      <w:tr>
        <w:trPr>
          <w:trHeight w:val="216"/>
        </w:trPr>
        <w:tc>
          <w:tcPr>
            <w:tcW w:w="4700" w:type="dxa"/>
            <w:vAlign w:val="bottom"/>
          </w:tcPr>
          <w:p>
            <w:pPr>
              <w:jc w:val="center"/>
              <w:ind w:right="357"/>
              <w:spacing w:after="0"/>
              <w:rPr>
                <w:sz w:val="20"/>
                <w:szCs w:val="20"/>
                <w:color w:val="auto"/>
              </w:rPr>
            </w:pPr>
            <w:r>
              <w:rPr>
                <w:rFonts w:ascii="Arial" w:cs="Arial" w:eastAsia="Arial" w:hAnsi="Arial"/>
                <w:sz w:val="16"/>
                <w:szCs w:val="16"/>
                <w:b w:val="1"/>
                <w:bCs w:val="1"/>
                <w:color w:val="auto"/>
                <w:w w:val="98"/>
              </w:rPr>
              <w:t>SATS</w:t>
            </w:r>
          </w:p>
        </w:tc>
        <w:tc>
          <w:tcPr>
            <w:tcW w:w="5800" w:type="dxa"/>
            <w:vAlign w:val="bottom"/>
          </w:tcPr>
          <w:p>
            <w:pPr>
              <w:spacing w:after="0"/>
              <w:rPr>
                <w:sz w:val="18"/>
                <w:szCs w:val="18"/>
                <w:color w:val="auto"/>
              </w:rPr>
            </w:pPr>
          </w:p>
        </w:tc>
      </w:tr>
      <w:tr>
        <w:trPr>
          <w:trHeight w:val="216"/>
        </w:trPr>
        <w:tc>
          <w:tcPr>
            <w:tcW w:w="4700" w:type="dxa"/>
            <w:vAlign w:val="bottom"/>
          </w:tcPr>
          <w:p>
            <w:pPr>
              <w:jc w:val="center"/>
              <w:ind w:right="357"/>
              <w:spacing w:after="0"/>
              <w:rPr>
                <w:sz w:val="20"/>
                <w:szCs w:val="20"/>
                <w:color w:val="auto"/>
              </w:rPr>
            </w:pPr>
            <w:r>
              <w:rPr>
                <w:rFonts w:ascii="Arial" w:cs="Arial" w:eastAsia="Arial" w:hAnsi="Arial"/>
                <w:sz w:val="16"/>
                <w:szCs w:val="16"/>
                <w:color w:val="auto"/>
              </w:rPr>
              <w:t>(Ticker symbol)</w:t>
            </w:r>
          </w:p>
        </w:tc>
        <w:tc>
          <w:tcPr>
            <w:tcW w:w="5800" w:type="dxa"/>
            <w:vAlign w:val="bottom"/>
          </w:tcPr>
          <w:p>
            <w:pPr>
              <w:spacing w:after="0"/>
              <w:rPr>
                <w:sz w:val="18"/>
                <w:szCs w:val="18"/>
                <w:color w:val="auto"/>
              </w:rPr>
            </w:pPr>
          </w:p>
        </w:tc>
      </w:tr>
    </w:tbl>
    <w:p>
      <w:pPr>
        <w:spacing w:after="0" w:line="251"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8" w:lineRule="exact"/>
        <w:rPr>
          <w:sz w:val="24"/>
          <w:szCs w:val="24"/>
          <w:color w:val="auto"/>
        </w:rPr>
      </w:pPr>
    </w:p>
    <w:p>
      <w:pPr>
        <w:ind w:left="1480"/>
        <w:spacing w:after="0" w:line="184" w:lineRule="exact"/>
        <w:tabs>
          <w:tab w:leader="none" w:pos="3940" w:val="left"/>
          <w:tab w:leader="none" w:pos="6720" w:val="left"/>
          <w:tab w:leader="none" w:pos="95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0" w:lineRule="exact"/>
        <w:rPr>
          <w:sz w:val="24"/>
          <w:szCs w:val="24"/>
          <w:color w:val="auto"/>
        </w:rPr>
      </w:pPr>
    </w:p>
    <w:p>
      <w:pPr>
        <w:ind w:left="1480"/>
        <w:spacing w:after="0" w:line="184" w:lineRule="exact"/>
        <w:tabs>
          <w:tab w:leader="none" w:pos="3940" w:val="left"/>
          <w:tab w:leader="none" w:pos="67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346" w:lineRule="exact"/>
        <w:rPr>
          <w:sz w:val="24"/>
          <w:szCs w:val="24"/>
          <w:color w:val="auto"/>
        </w:rPr>
      </w:pPr>
    </w:p>
    <w:p>
      <w:pPr>
        <w:jc w:val="both"/>
        <w:ind w:right="2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2"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As of November 2, 2021, the registrant’s outstanding common stock consisted of 38,941,239 shares of Class A common stock and 47,687,039 shares of Class B common stock, each $0.001 par value.</w:t>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29"/>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12"/>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9860" w:type="dxa"/>
            <w:vAlign w:val="bottom"/>
            <w:gridSpan w:val="2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Disclosure Regarding Forward Looking Statements</w:t>
              </w:r>
            </w:hyperlink>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Borders>
              <w:bottom w:val="single" w:sz="8" w:color="0000FF"/>
            </w:tcBorders>
            <w:gridSpan w:val="7"/>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PART I - FINANCIAL INFORMATION</w:t>
              </w:r>
            </w:hyperlink>
          </w:p>
        </w:tc>
        <w:tc>
          <w:tcPr>
            <w:tcW w:w="2720" w:type="dxa"/>
            <w:vAlign w:val="bottom"/>
            <w:gridSpan w:val="6"/>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Item 1.</w:t>
              </w:r>
            </w:hyperlink>
          </w:p>
        </w:tc>
        <w:tc>
          <w:tcPr>
            <w:tcW w:w="820" w:type="dxa"/>
            <w:vAlign w:val="bottom"/>
            <w:gridSpan w:val="2"/>
          </w:tcPr>
          <w:p>
            <w:pPr>
              <w:spacing w:after="0"/>
              <w:rPr>
                <w:sz w:val="24"/>
                <w:szCs w:val="24"/>
                <w:color w:val="auto"/>
              </w:rPr>
            </w:pPr>
          </w:p>
        </w:tc>
        <w:tc>
          <w:tcPr>
            <w:tcW w:w="1660" w:type="dxa"/>
            <w:vAlign w:val="bottom"/>
            <w:gridSpan w:val="7"/>
          </w:tcPr>
          <w:p>
            <w:pPr>
              <w:spacing w:after="0"/>
              <w:rPr>
                <w:rFonts w:ascii="Arial" w:cs="Arial" w:eastAsia="Arial" w:hAnsi="Arial"/>
                <w:sz w:val="18"/>
                <w:szCs w:val="18"/>
                <w:color w:val="0000FF"/>
                <w:w w:val="97"/>
              </w:rPr>
            </w:pPr>
            <w:hyperlink w:anchor="page4">
              <w:r>
                <w:rPr>
                  <w:rFonts w:ascii="Arial" w:cs="Arial" w:eastAsia="Arial" w:hAnsi="Arial"/>
                  <w:sz w:val="18"/>
                  <w:szCs w:val="18"/>
                  <w:color w:val="0000FF"/>
                  <w:w w:val="97"/>
                </w:rPr>
                <w:t>Financial Statements</w:t>
              </w:r>
            </w:hyperlink>
          </w:p>
        </w:tc>
        <w:tc>
          <w:tcPr>
            <w:tcW w:w="6820" w:type="dxa"/>
            <w:vAlign w:val="bottom"/>
            <w:gridSpan w:val="18"/>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160" w:type="dxa"/>
            <w:vAlign w:val="bottom"/>
            <w:gridSpan w:val="24"/>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Consolidated Balance Sheets as of September 30, 2021 (unaudited) and December 31, 2020 (audited)</w:t>
              </w:r>
            </w:hyperlink>
          </w:p>
        </w:tc>
        <w:tc>
          <w:tcPr>
            <w:tcW w:w="320" w:type="dxa"/>
            <w:vAlign w:val="bottom"/>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160" w:type="dxa"/>
            <w:vAlign w:val="bottom"/>
            <w:gridSpan w:val="24"/>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Operations for the three and nine months ended September 30, 2021 and</w:t>
              </w:r>
            </w:hyperlink>
          </w:p>
        </w:tc>
        <w:tc>
          <w:tcPr>
            <w:tcW w:w="320" w:type="dxa"/>
            <w:vAlign w:val="bottom"/>
          </w:tcPr>
          <w:p>
            <w:pPr>
              <w:spacing w:after="0"/>
              <w:rPr>
                <w:sz w:val="18"/>
                <w:szCs w:val="18"/>
                <w:color w:val="auto"/>
              </w:rPr>
            </w:pPr>
          </w:p>
        </w:tc>
        <w:tc>
          <w:tcPr>
            <w:tcW w:w="132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56"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2020 (unaudited)</w:t>
              </w:r>
            </w:hyperlink>
          </w:p>
        </w:tc>
        <w:tc>
          <w:tcPr>
            <w:tcW w:w="676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gridSpan w:val="2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Comprehensive Income (Loss) for the three and nine months ended</w:t>
              </w:r>
            </w:hyperlink>
          </w:p>
        </w:tc>
        <w:tc>
          <w:tcPr>
            <w:tcW w:w="132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September 30, 2021 and 2020 (unaudited)</w:t>
              </w:r>
            </w:hyperlink>
          </w:p>
        </w:tc>
        <w:tc>
          <w:tcPr>
            <w:tcW w:w="16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gridSpan w:val="2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Consolidated Statements of Stockholders’ Equity for the three months ended September 30, 2021 and</w:t>
              </w:r>
            </w:hyperlink>
          </w:p>
        </w:tc>
        <w:tc>
          <w:tcPr>
            <w:tcW w:w="1320" w:type="dxa"/>
            <w:vAlign w:val="bottom"/>
            <w:gridSpan w:val="3"/>
            <w:vMerge w:val="restart"/>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56" w:lineRule="exact"/>
              <w:rPr>
                <w:rFonts w:ascii="Arial" w:cs="Arial" w:eastAsia="Arial" w:hAnsi="Arial"/>
                <w:sz w:val="18"/>
                <w:szCs w:val="18"/>
                <w:color w:val="0000FF"/>
                <w:w w:val="96"/>
              </w:rPr>
            </w:pPr>
            <w:hyperlink w:anchor="page8">
              <w:r>
                <w:rPr>
                  <w:rFonts w:ascii="Arial" w:cs="Arial" w:eastAsia="Arial" w:hAnsi="Arial"/>
                  <w:sz w:val="18"/>
                  <w:szCs w:val="18"/>
                  <w:color w:val="0000FF"/>
                  <w:w w:val="96"/>
                </w:rPr>
                <w:t>2020 (unaudited)</w:t>
              </w:r>
            </w:hyperlink>
          </w:p>
        </w:tc>
        <w:tc>
          <w:tcPr>
            <w:tcW w:w="6820" w:type="dxa"/>
            <w:vAlign w:val="bottom"/>
            <w:tcBorders>
              <w:top w:val="single" w:sz="8" w:color="0000FF"/>
            </w:tcBorders>
            <w:gridSpan w:val="20"/>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tcBorders>
              <w:bottom w:val="single" w:sz="8" w:color="0000FF"/>
            </w:tcBorders>
            <w:gridSpan w:val="25"/>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Consolidated Statements of Stockholders’ Equity for the nine months ended September 30, 2021 and 2020</w:t>
              </w:r>
            </w:hyperlink>
          </w:p>
        </w:tc>
        <w:tc>
          <w:tcPr>
            <w:tcW w:w="1320" w:type="dxa"/>
            <w:vAlign w:val="bottom"/>
            <w:gridSpan w:val="3"/>
            <w:vMerge w:val="restart"/>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80" w:type="dxa"/>
            <w:vAlign w:val="bottom"/>
            <w:gridSpan w:val="25"/>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(unaudited)</w:t>
              </w:r>
            </w:hyperlink>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gridSpan w:val="2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Consolidated Statements of Cash Flows for the nine months ended September 30, 2021 and 2020</w:t>
              </w:r>
            </w:hyperlink>
          </w:p>
        </w:tc>
        <w:tc>
          <w:tcPr>
            <w:tcW w:w="1320" w:type="dxa"/>
            <w:vAlign w:val="bottom"/>
            <w:gridSpan w:val="3"/>
            <w:vMerge w:val="restart"/>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(unaudited)</w:t>
              </w:r>
            </w:hyperlink>
          </w:p>
        </w:tc>
        <w:tc>
          <w:tcPr>
            <w:tcW w:w="680" w:type="dxa"/>
            <w:vAlign w:val="bottom"/>
            <w:gridSpan w:val="3"/>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gridSpan w:val="16"/>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Notes to the Consolidated Financial Statements (unaudited)</w:t>
              </w:r>
            </w:hyperlink>
          </w:p>
        </w:tc>
        <w:tc>
          <w:tcPr>
            <w:tcW w:w="3740" w:type="dxa"/>
            <w:vAlign w:val="bottom"/>
            <w:gridSpan w:val="9"/>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700" w:type="dxa"/>
            <w:vAlign w:val="bottom"/>
          </w:tcPr>
          <w:p>
            <w:pPr>
              <w:spacing w:after="0"/>
              <w:rPr>
                <w:sz w:val="18"/>
                <w:szCs w:val="18"/>
                <w:color w:val="auto"/>
              </w:rPr>
            </w:pPr>
          </w:p>
        </w:tc>
        <w:tc>
          <w:tcPr>
            <w:tcW w:w="7060" w:type="dxa"/>
            <w:vAlign w:val="bottom"/>
            <w:gridSpan w:val="20"/>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Management’s Discussion and Analysis of Financial Condition and Results of Operations</w:t>
              </w:r>
            </w:hyperlink>
          </w:p>
        </w:tc>
        <w:tc>
          <w:tcPr>
            <w:tcW w:w="1420" w:type="dxa"/>
            <w:vAlign w:val="bottom"/>
            <w:gridSpan w:val="5"/>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gridSpan w:val="20"/>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Quantitative and Qualitative Disclosures about Market Risk</w:t>
              </w:r>
            </w:hyperlink>
          </w:p>
        </w:tc>
        <w:tc>
          <w:tcPr>
            <w:tcW w:w="1420" w:type="dxa"/>
            <w:vAlign w:val="bottom"/>
            <w:gridSpan w:val="5"/>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Item 4.</w:t>
              </w:r>
            </w:hyperlink>
          </w:p>
        </w:tc>
        <w:tc>
          <w:tcPr>
            <w:tcW w:w="820" w:type="dxa"/>
            <w:vAlign w:val="bottom"/>
            <w:gridSpan w:val="2"/>
          </w:tcPr>
          <w:p>
            <w:pPr>
              <w:spacing w:after="0"/>
              <w:rPr>
                <w:sz w:val="18"/>
                <w:szCs w:val="18"/>
                <w:color w:val="auto"/>
              </w:rPr>
            </w:pPr>
          </w:p>
        </w:tc>
        <w:tc>
          <w:tcPr>
            <w:tcW w:w="4660" w:type="dxa"/>
            <w:vAlign w:val="bottom"/>
            <w:gridSpan w:val="1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Controls and Procedures</w:t>
              </w:r>
            </w:hyperlink>
          </w:p>
        </w:tc>
        <w:tc>
          <w:tcPr>
            <w:tcW w:w="3820" w:type="dxa"/>
            <w:vAlign w:val="bottom"/>
            <w:gridSpan w:val="10"/>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3"/>
          </w:tcPr>
          <w:p>
            <w:pPr>
              <w:jc w:val="center"/>
              <w:ind w:right="2700"/>
              <w:spacing w:after="0"/>
              <w:rPr>
                <w:rFonts w:ascii="Arial" w:cs="Arial" w:eastAsia="Arial" w:hAnsi="Arial"/>
                <w:sz w:val="18"/>
                <w:szCs w:val="18"/>
                <w:b w:val="1"/>
                <w:bCs w:val="1"/>
                <w:color w:val="0000FF"/>
                <w:w w:val="98"/>
              </w:rPr>
            </w:pPr>
            <w:hyperlink w:anchor="page60">
              <w:r>
                <w:rPr>
                  <w:rFonts w:ascii="Arial" w:cs="Arial" w:eastAsia="Arial" w:hAnsi="Arial"/>
                  <w:sz w:val="18"/>
                  <w:szCs w:val="18"/>
                  <w:b w:val="1"/>
                  <w:bCs w:val="1"/>
                  <w:color w:val="0000FF"/>
                  <w:w w:val="98"/>
                </w:rPr>
                <w:t>PART II - OTHER INFORMATION</w:t>
              </w:r>
            </w:hyperlink>
          </w:p>
        </w:tc>
        <w:tc>
          <w:tcPr>
            <w:tcW w:w="1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1.</w:t>
              </w:r>
            </w:hyperlink>
          </w:p>
        </w:tc>
        <w:tc>
          <w:tcPr>
            <w:tcW w:w="820" w:type="dxa"/>
            <w:vAlign w:val="bottom"/>
            <w:gridSpan w:val="2"/>
          </w:tcPr>
          <w:p>
            <w:pPr>
              <w:spacing w:after="0"/>
              <w:rPr>
                <w:sz w:val="24"/>
                <w:szCs w:val="24"/>
                <w:color w:val="auto"/>
              </w:rPr>
            </w:pPr>
          </w:p>
        </w:tc>
        <w:tc>
          <w:tcPr>
            <w:tcW w:w="2900" w:type="dxa"/>
            <w:vAlign w:val="bottom"/>
            <w:gridSpan w:val="13"/>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2720" w:type="dxa"/>
            <w:vAlign w:val="bottom"/>
            <w:tcBorders>
              <w:top w:val="single" w:sz="8" w:color="0000FF"/>
            </w:tcBorders>
            <w:gridSpan w:val="5"/>
          </w:tcPr>
          <w:p>
            <w:pPr>
              <w:spacing w:after="0"/>
              <w:rPr>
                <w:sz w:val="24"/>
                <w:szCs w:val="24"/>
                <w:color w:val="auto"/>
              </w:rPr>
            </w:pPr>
          </w:p>
        </w:tc>
        <w:tc>
          <w:tcPr>
            <w:tcW w:w="2860" w:type="dxa"/>
            <w:vAlign w:val="bottom"/>
            <w:gridSpan w:val="7"/>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2"/>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1A.</w:t>
              </w:r>
            </w:hyperlink>
          </w:p>
        </w:tc>
        <w:tc>
          <w:tcPr>
            <w:tcW w:w="700" w:type="dxa"/>
            <w:vAlign w:val="bottom"/>
          </w:tcPr>
          <w:p>
            <w:pPr>
              <w:spacing w:after="0"/>
              <w:rPr>
                <w:sz w:val="18"/>
                <w:szCs w:val="18"/>
                <w:color w:val="auto"/>
              </w:rPr>
            </w:pPr>
          </w:p>
        </w:tc>
        <w:tc>
          <w:tcPr>
            <w:tcW w:w="980" w:type="dxa"/>
            <w:vAlign w:val="bottom"/>
            <w:gridSpan w:val="3"/>
          </w:tcPr>
          <w:p>
            <w:pPr>
              <w:spacing w:after="0"/>
              <w:rPr>
                <w:rFonts w:ascii="Arial" w:cs="Arial" w:eastAsia="Arial" w:hAnsi="Arial"/>
                <w:sz w:val="18"/>
                <w:szCs w:val="18"/>
                <w:color w:val="0000FF"/>
                <w:w w:val="95"/>
              </w:rPr>
            </w:pPr>
            <w:hyperlink w:anchor="page61">
              <w:r>
                <w:rPr>
                  <w:rFonts w:ascii="Arial" w:cs="Arial" w:eastAsia="Arial" w:hAnsi="Arial"/>
                  <w:sz w:val="18"/>
                  <w:szCs w:val="18"/>
                  <w:color w:val="0000FF"/>
                  <w:w w:val="95"/>
                </w:rPr>
                <w:t>Risk Factors</w:t>
              </w:r>
            </w:hyperlink>
          </w:p>
        </w:tc>
        <w:tc>
          <w:tcPr>
            <w:tcW w:w="7500" w:type="dxa"/>
            <w:vAlign w:val="bottom"/>
            <w:gridSpan w:val="22"/>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2.</w:t>
              </w:r>
            </w:hyperlink>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gridSpan w:val="25"/>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Unregistered Sales of Equity Securities and Use of Proceeds</w:t>
              </w:r>
            </w:hyperlink>
          </w:p>
        </w:tc>
        <w:tc>
          <w:tcPr>
            <w:tcW w:w="13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3.</w:t>
              </w:r>
            </w:hyperlink>
          </w:p>
        </w:tc>
        <w:tc>
          <w:tcPr>
            <w:tcW w:w="820" w:type="dxa"/>
            <w:vAlign w:val="bottom"/>
            <w:gridSpan w:val="2"/>
          </w:tcPr>
          <w:p>
            <w:pPr>
              <w:spacing w:after="0"/>
              <w:rPr>
                <w:sz w:val="18"/>
                <w:szCs w:val="18"/>
                <w:color w:val="auto"/>
              </w:rPr>
            </w:pPr>
          </w:p>
        </w:tc>
        <w:tc>
          <w:tcPr>
            <w:tcW w:w="4820" w:type="dxa"/>
            <w:vAlign w:val="bottom"/>
            <w:gridSpan w:val="17"/>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Defaults Upon Senior Securities</w:t>
              </w:r>
            </w:hyperlink>
          </w:p>
        </w:tc>
        <w:tc>
          <w:tcPr>
            <w:tcW w:w="3660" w:type="dxa"/>
            <w:vAlign w:val="bottom"/>
            <w:gridSpan w:val="8"/>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4.</w:t>
              </w:r>
            </w:hyperlink>
          </w:p>
        </w:tc>
        <w:tc>
          <w:tcPr>
            <w:tcW w:w="820" w:type="dxa"/>
            <w:vAlign w:val="bottom"/>
            <w:gridSpan w:val="2"/>
          </w:tcPr>
          <w:p>
            <w:pPr>
              <w:spacing w:after="0"/>
              <w:rPr>
                <w:sz w:val="18"/>
                <w:szCs w:val="18"/>
                <w:color w:val="auto"/>
              </w:rPr>
            </w:pPr>
          </w:p>
        </w:tc>
        <w:tc>
          <w:tcPr>
            <w:tcW w:w="2520" w:type="dxa"/>
            <w:vAlign w:val="bottom"/>
            <w:gridSpan w:val="1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5960" w:type="dxa"/>
            <w:vAlign w:val="bottom"/>
            <w:gridSpan w:val="15"/>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58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5.</w:t>
              </w:r>
            </w:hyperlink>
          </w:p>
        </w:tc>
        <w:tc>
          <w:tcPr>
            <w:tcW w:w="820" w:type="dxa"/>
            <w:vAlign w:val="bottom"/>
            <w:gridSpan w:val="2"/>
          </w:tcPr>
          <w:p>
            <w:pPr>
              <w:spacing w:after="0"/>
              <w:rPr>
                <w:sz w:val="18"/>
                <w:szCs w:val="18"/>
                <w:color w:val="auto"/>
              </w:rPr>
            </w:pPr>
          </w:p>
        </w:tc>
        <w:tc>
          <w:tcPr>
            <w:tcW w:w="1380" w:type="dxa"/>
            <w:vAlign w:val="bottom"/>
            <w:gridSpan w:val="5"/>
          </w:tcPr>
          <w:p>
            <w:pPr>
              <w:spacing w:after="0"/>
              <w:rPr>
                <w:rFonts w:ascii="Arial" w:cs="Arial" w:eastAsia="Arial" w:hAnsi="Arial"/>
                <w:sz w:val="18"/>
                <w:szCs w:val="18"/>
                <w:color w:val="0000FF"/>
                <w:w w:val="97"/>
              </w:rPr>
            </w:pPr>
            <w:hyperlink w:anchor="page61">
              <w:r>
                <w:rPr>
                  <w:rFonts w:ascii="Arial" w:cs="Arial" w:eastAsia="Arial" w:hAnsi="Arial"/>
                  <w:sz w:val="18"/>
                  <w:szCs w:val="18"/>
                  <w:color w:val="0000FF"/>
                  <w:w w:val="97"/>
                </w:rPr>
                <w:t>Other Information</w:t>
              </w:r>
            </w:hyperlink>
          </w:p>
        </w:tc>
        <w:tc>
          <w:tcPr>
            <w:tcW w:w="520" w:type="dxa"/>
            <w:vAlign w:val="bottom"/>
            <w:gridSpan w:val="3"/>
          </w:tcPr>
          <w:p>
            <w:pPr>
              <w:spacing w:after="0"/>
              <w:rPr>
                <w:sz w:val="18"/>
                <w:szCs w:val="18"/>
                <w:color w:val="auto"/>
              </w:rPr>
            </w:pPr>
          </w:p>
        </w:tc>
        <w:tc>
          <w:tcPr>
            <w:tcW w:w="6580" w:type="dxa"/>
            <w:vAlign w:val="bottom"/>
            <w:gridSpan w:val="17"/>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7100" w:type="dxa"/>
            <w:vAlign w:val="bottom"/>
            <w:gridSpan w:val="2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2">
              <w:r>
                <w:rPr>
                  <w:rFonts w:ascii="Arial" w:cs="Arial" w:eastAsia="Arial" w:hAnsi="Arial"/>
                  <w:sz w:val="18"/>
                  <w:szCs w:val="18"/>
                  <w:color w:val="0000FF"/>
                  <w:w w:val="98"/>
                </w:rPr>
                <w:t>Item 6.</w:t>
              </w:r>
            </w:hyperlink>
          </w:p>
        </w:tc>
        <w:tc>
          <w:tcPr>
            <w:tcW w:w="820" w:type="dxa"/>
            <w:vAlign w:val="bottom"/>
            <w:gridSpan w:val="2"/>
          </w:tcPr>
          <w:p>
            <w:pPr>
              <w:spacing w:after="0"/>
              <w:rPr>
                <w:sz w:val="18"/>
                <w:szCs w:val="18"/>
                <w:color w:val="auto"/>
              </w:rPr>
            </w:pPr>
          </w:p>
        </w:tc>
        <w:tc>
          <w:tcPr>
            <w:tcW w:w="1380" w:type="dxa"/>
            <w:vAlign w:val="bottom"/>
            <w:gridSpan w:val="5"/>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7100" w:type="dxa"/>
            <w:vAlign w:val="bottom"/>
            <w:gridSpan w:val="20"/>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40" w:type="dxa"/>
            <w:vAlign w:val="bottom"/>
            <w:gridSpan w:val="2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Signatures</w:t>
              </w:r>
            </w:hyperlink>
          </w:p>
        </w:tc>
        <w:tc>
          <w:tcPr>
            <w:tcW w:w="7640" w:type="dxa"/>
            <w:vAlign w:val="bottom"/>
            <w:gridSpan w:val="23"/>
          </w:tcPr>
          <w:p>
            <w:pPr>
              <w:spacing w:after="0"/>
              <w:rPr>
                <w:sz w:val="18"/>
                <w:szCs w:val="18"/>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9" w:lineRule="exact"/>
        <w:rPr>
          <w:sz w:val="20"/>
          <w:szCs w:val="20"/>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90"/>
        </w:trPr>
        <w:tc>
          <w:tcPr>
            <w:tcW w:w="1400" w:type="dxa"/>
            <w:vAlign w:val="bottom"/>
            <w:tcBorders>
              <w:top w:val="single" w:sz="8" w:color="0000FF"/>
            </w:tcBorders>
          </w:tcPr>
          <w:p>
            <w:pPr>
              <w:spacing w:after="0"/>
              <w:rPr>
                <w:sz w:val="24"/>
                <w:szCs w:val="24"/>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PART I — FINANCIAL INFORMATION</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5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6"/>
        </w:trPr>
        <w:tc>
          <w:tcPr>
            <w:tcW w:w="1400" w:type="dxa"/>
            <w:vAlign w:val="bottom"/>
          </w:tcPr>
          <w:p>
            <w:pPr>
              <w:spacing w:after="0"/>
              <w:rPr>
                <w:sz w:val="24"/>
                <w:szCs w:val="24"/>
                <w:color w:val="auto"/>
              </w:rPr>
            </w:pPr>
          </w:p>
        </w:tc>
        <w:tc>
          <w:tcPr>
            <w:tcW w:w="646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ECHOSTAR CORPORATION</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8200" w:type="dxa"/>
            <w:vAlign w:val="bottom"/>
            <w:gridSpan w:val="4"/>
          </w:tcPr>
          <w:p>
            <w:pPr>
              <w:jc w:val="center"/>
              <w:ind w:left="150"/>
              <w:spacing w:after="0"/>
              <w:rPr>
                <w:sz w:val="20"/>
                <w:szCs w:val="20"/>
                <w:color w:val="auto"/>
              </w:rPr>
            </w:pPr>
            <w:r>
              <w:rPr>
                <w:rFonts w:ascii="Arial" w:cs="Arial" w:eastAsia="Arial" w:hAnsi="Arial"/>
                <w:sz w:val="18"/>
                <w:szCs w:val="18"/>
                <w:color w:val="auto"/>
                <w:w w:val="99"/>
              </w:rPr>
              <w:t>(Amounts in thousands, except share and per share amounts)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460" w:type="dxa"/>
            <w:vAlign w:val="bottom"/>
          </w:tcPr>
          <w:p>
            <w:pPr>
              <w:jc w:val="center"/>
              <w:ind w:left="1910"/>
              <w:spacing w:after="0"/>
              <w:rPr>
                <w:sz w:val="20"/>
                <w:szCs w:val="20"/>
                <w:color w:val="auto"/>
              </w:rPr>
            </w:pPr>
            <w:r>
              <w:rPr>
                <w:rFonts w:ascii="Arial" w:cs="Arial" w:eastAsia="Arial" w:hAnsi="Arial"/>
                <w:sz w:val="18"/>
                <w:szCs w:val="18"/>
                <w:color w:val="auto"/>
                <w:w w:val="99"/>
              </w:rPr>
              <w:t>(Unaudited)</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51"/>
        </w:trPr>
        <w:tc>
          <w:tcPr>
            <w:tcW w:w="14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14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29"/>
        </w:trPr>
        <w:tc>
          <w:tcPr>
            <w:tcW w:w="140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Marketable investment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1,127,048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1,638,271</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183,989</w:t>
            </w:r>
          </w:p>
        </w:tc>
      </w:tr>
      <w:tr>
        <w:trPr>
          <w:trHeight w:val="23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2,908,086</w:t>
            </w:r>
          </w:p>
        </w:tc>
      </w:tr>
      <w:tr>
        <w:trPr>
          <w:trHeight w:val="221"/>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2,374,080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2,390,313</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128,303</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511,597</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Regulatory authorizations,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471,010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478,762</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18,433</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Other investments,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284,937</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r>
      <w:tr>
        <w:trPr>
          <w:trHeight w:val="223"/>
        </w:trPr>
        <w:tc>
          <w:tcPr>
            <w:tcW w:w="78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4,227,910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4,165,266</w:t>
            </w:r>
          </w:p>
        </w:tc>
      </w:tr>
      <w:tr>
        <w:trPr>
          <w:trHeight w:val="248"/>
        </w:trPr>
        <w:tc>
          <w:tcPr>
            <w:tcW w:w="78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4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122,366</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 net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898,237</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104,569</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1,425,171</w:t>
            </w:r>
          </w:p>
        </w:tc>
      </w:tr>
      <w:tr>
        <w:trPr>
          <w:trHeight w:val="221"/>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1,495,805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1,495,256</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407,650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359,896</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114,886</w:t>
            </w:r>
          </w:p>
        </w:tc>
      </w:tr>
      <w:tr>
        <w:trPr>
          <w:trHeight w:val="23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70,893</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2,040,931</w:t>
            </w:r>
          </w:p>
        </w:tc>
      </w:tr>
      <w:tr>
        <w:trPr>
          <w:trHeight w:val="223"/>
        </w:trPr>
        <w:tc>
          <w:tcPr>
            <w:tcW w:w="78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2,653,913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3,466,102</w:t>
            </w:r>
          </w:p>
        </w:tc>
      </w:tr>
      <w:tr>
        <w:trPr>
          <w:trHeight w:val="237"/>
        </w:trPr>
        <w:tc>
          <w:tcPr>
            <w:tcW w:w="1400" w:type="dxa"/>
            <w:vAlign w:val="bottom"/>
            <w:shd w:val="clear" w:color="auto" w:fill="CCEEFF"/>
          </w:tcPr>
          <w:p>
            <w:pPr>
              <w:spacing w:after="0"/>
              <w:rPr>
                <w:sz w:val="20"/>
                <w:szCs w:val="20"/>
                <w:color w:val="auto"/>
              </w:rPr>
            </w:pPr>
          </w:p>
        </w:tc>
        <w:tc>
          <w:tcPr>
            <w:tcW w:w="6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7860" w:type="dxa"/>
            <w:vAlign w:val="bottom"/>
          </w:tcPr>
          <w:p>
            <w:pPr>
              <w:ind w:left="280"/>
              <w:spacing w:after="0" w:line="189" w:lineRule="exact"/>
              <w:rPr>
                <w:sz w:val="20"/>
                <w:szCs w:val="20"/>
                <w:color w:val="auto"/>
              </w:rPr>
            </w:pPr>
            <w:r>
              <w:rPr>
                <w:rFonts w:ascii="Arial" w:cs="Arial" w:eastAsia="Arial" w:hAnsi="Arial"/>
                <w:sz w:val="18"/>
                <w:szCs w:val="18"/>
                <w:color w:val="auto"/>
              </w:rPr>
              <w:t>Preferred stock, $0.001 par value, 20,000,000 shares authorized, none issued and</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860" w:type="dxa"/>
            <w:vAlign w:val="bottom"/>
          </w:tcPr>
          <w:p>
            <w:pPr>
              <w:ind w:left="280"/>
              <w:spacing w:after="0"/>
              <w:rPr>
                <w:sz w:val="20"/>
                <w:szCs w:val="20"/>
                <w:color w:val="auto"/>
              </w:rPr>
            </w:pPr>
            <w:r>
              <w:rPr>
                <w:rFonts w:ascii="Arial" w:cs="Arial" w:eastAsia="Arial" w:hAnsi="Arial"/>
                <w:sz w:val="18"/>
                <w:szCs w:val="18"/>
                <w:color w:val="auto"/>
              </w:rPr>
              <w:t>outstanding at both September 30, 2021 and December 31, 2020</w:t>
            </w: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7860" w:type="dxa"/>
            <w:vAlign w:val="bottom"/>
          </w:tcPr>
          <w:p>
            <w:pPr>
              <w:ind w:left="480"/>
              <w:spacing w:after="0" w:line="189" w:lineRule="exact"/>
              <w:rPr>
                <w:sz w:val="20"/>
                <w:szCs w:val="20"/>
                <w:color w:val="auto"/>
              </w:rPr>
            </w:pPr>
            <w:r>
              <w:rPr>
                <w:rFonts w:ascii="Arial" w:cs="Arial" w:eastAsia="Arial" w:hAnsi="Arial"/>
                <w:sz w:val="18"/>
                <w:szCs w:val="18"/>
                <w:color w:val="auto"/>
              </w:rPr>
              <w:t>Class A common stock, $0.001 par value, 1,600,000,000 shares authorized, 57,939,820</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7860" w:type="dxa"/>
            <w:vAlign w:val="bottom"/>
          </w:tcPr>
          <w:p>
            <w:pPr>
              <w:ind w:left="480"/>
              <w:spacing w:after="0" w:line="176" w:lineRule="exact"/>
              <w:rPr>
                <w:sz w:val="20"/>
                <w:szCs w:val="20"/>
                <w:color w:val="auto"/>
              </w:rPr>
            </w:pPr>
            <w:r>
              <w:rPr>
                <w:rFonts w:ascii="Arial" w:cs="Arial" w:eastAsia="Arial" w:hAnsi="Arial"/>
                <w:sz w:val="18"/>
                <w:szCs w:val="18"/>
                <w:color w:val="auto"/>
              </w:rPr>
              <w:t>shares issued and 39,810,942 shares outstanding at September 30, 2021 and 57,254,201</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7860" w:type="dxa"/>
            <w:vAlign w:val="bottom"/>
          </w:tcPr>
          <w:p>
            <w:pPr>
              <w:ind w:left="480"/>
              <w:spacing w:after="0"/>
              <w:rPr>
                <w:sz w:val="20"/>
                <w:szCs w:val="20"/>
                <w:color w:val="auto"/>
              </w:rPr>
            </w:pPr>
            <w:r>
              <w:rPr>
                <w:rFonts w:ascii="Arial" w:cs="Arial" w:eastAsia="Arial" w:hAnsi="Arial"/>
                <w:sz w:val="18"/>
                <w:szCs w:val="18"/>
                <w:color w:val="auto"/>
              </w:rPr>
              <w:t>shares issued and 48,863,374 shares outstanding at December 31, 2020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88"/>
        </w:trPr>
        <w:tc>
          <w:tcPr>
            <w:tcW w:w="78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5"/>
        </w:trPr>
        <w:tc>
          <w:tcPr>
            <w:tcW w:w="78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47,687,039 shares issued and outstanding at both September 30, 2021 and December 31,</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7"/>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8"/>
        </w:trPr>
        <w:tc>
          <w:tcPr>
            <w:tcW w:w="7860" w:type="dxa"/>
            <w:vAlign w:val="bottom"/>
          </w:tcPr>
          <w:p>
            <w:pPr>
              <w:ind w:left="480"/>
              <w:spacing w:after="0" w:line="189" w:lineRule="exact"/>
              <w:rPr>
                <w:sz w:val="20"/>
                <w:szCs w:val="20"/>
                <w:color w:val="auto"/>
              </w:rPr>
            </w:pPr>
            <w:r>
              <w:rPr>
                <w:rFonts w:ascii="Arial" w:cs="Arial" w:eastAsia="Arial" w:hAnsi="Arial"/>
                <w:sz w:val="18"/>
                <w:szCs w:val="18"/>
                <w:color w:val="auto"/>
              </w:rPr>
              <w:t>Class C convertible common stock, $0.001 par value, 800,000,000 shares authorized,</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860" w:type="dxa"/>
            <w:vAlign w:val="bottom"/>
          </w:tcPr>
          <w:p>
            <w:pPr>
              <w:ind w:left="480"/>
              <w:spacing w:after="0"/>
              <w:rPr>
                <w:sz w:val="20"/>
                <w:szCs w:val="20"/>
                <w:color w:val="auto"/>
              </w:rPr>
            </w:pPr>
            <w:r>
              <w:rPr>
                <w:rFonts w:ascii="Arial" w:cs="Arial" w:eastAsia="Arial" w:hAnsi="Arial"/>
                <w:sz w:val="18"/>
                <w:szCs w:val="18"/>
                <w:color w:val="auto"/>
              </w:rPr>
              <w:t>none issued and outstanding at both September 30, 2021 and December 31, 2020</w:t>
            </w: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8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D common stock, $0.001 par value, 800,000,000 shares authorized, none issued</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outstanding at both September 30, 2021 and December 31, 2020</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3,341,751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3,321,426</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(187,876)</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732,814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583,591</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(174,912)</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EchoStar Corporation stockholders' equity</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3,462,906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3,542,334</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64,916</w:t>
            </w:r>
          </w:p>
        </w:tc>
      </w:tr>
      <w:tr>
        <w:trPr>
          <w:trHeight w:val="223"/>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3,528,445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3,607,250</w:t>
            </w:r>
          </w:p>
        </w:tc>
      </w:tr>
      <w:tr>
        <w:trPr>
          <w:trHeight w:val="248"/>
        </w:trPr>
        <w:tc>
          <w:tcPr>
            <w:tcW w:w="7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6,182,358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5900" w:type="dxa"/>
            <w:vAlign w:val="bottom"/>
            <w:gridSpan w:val="4"/>
          </w:tcPr>
          <w:p>
            <w:pPr>
              <w:jc w:val="center"/>
              <w:ind w:left="2470"/>
              <w:spacing w:after="0"/>
              <w:rPr>
                <w:sz w:val="20"/>
                <w:szCs w:val="20"/>
                <w:color w:val="auto"/>
              </w:rPr>
            </w:pPr>
            <w:r>
              <w:rPr>
                <w:rFonts w:ascii="Arial" w:cs="Arial" w:eastAsia="Arial" w:hAnsi="Arial"/>
                <w:sz w:val="18"/>
                <w:szCs w:val="18"/>
                <w:b w:val="1"/>
                <w:bCs w:val="1"/>
                <w:color w:val="auto"/>
                <w:w w:val="98"/>
              </w:rPr>
              <w:t>ECHOSTAR CORPORATION</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7240" w:type="dxa"/>
            <w:vAlign w:val="bottom"/>
            <w:gridSpan w:val="7"/>
          </w:tcPr>
          <w:p>
            <w:pPr>
              <w:jc w:val="center"/>
              <w:ind w:left="11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6300" w:type="dxa"/>
            <w:vAlign w:val="bottom"/>
            <w:gridSpan w:val="5"/>
          </w:tcPr>
          <w:p>
            <w:pPr>
              <w:jc w:val="center"/>
              <w:ind w:left="2050"/>
              <w:spacing w:after="0"/>
              <w:rPr>
                <w:sz w:val="20"/>
                <w:szCs w:val="20"/>
                <w:color w:val="auto"/>
              </w:rPr>
            </w:pPr>
            <w:r>
              <w:rPr>
                <w:rFonts w:ascii="Arial" w:cs="Arial" w:eastAsia="Arial" w:hAnsi="Arial"/>
                <w:sz w:val="18"/>
                <w:szCs w:val="18"/>
                <w:color w:val="auto"/>
                <w:w w:val="99"/>
              </w:rPr>
              <w:t>(Amounts in thousands, except per share amounts)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4840" w:type="dxa"/>
            <w:vAlign w:val="bottom"/>
            <w:gridSpan w:val="2"/>
          </w:tcPr>
          <w:p>
            <w:pPr>
              <w:jc w:val="center"/>
              <w:ind w:left="3530"/>
              <w:spacing w:after="0"/>
              <w:rPr>
                <w:sz w:val="20"/>
                <w:szCs w:val="20"/>
                <w:color w:val="auto"/>
              </w:rPr>
            </w:pPr>
            <w:r>
              <w:rPr>
                <w:rFonts w:ascii="Arial" w:cs="Arial" w:eastAsia="Arial" w:hAnsi="Arial"/>
                <w:sz w:val="18"/>
                <w:szCs w:val="18"/>
                <w:color w:val="auto"/>
                <w:w w:val="99"/>
              </w:rPr>
              <w:t>(Unaudited)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14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700" w:type="dxa"/>
            <w:vAlign w:val="bottom"/>
            <w:gridSpan w:val="6"/>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80" w:type="dxa"/>
            <w:vAlign w:val="bottom"/>
            <w:gridSpan w:val="4"/>
          </w:tcPr>
          <w:p>
            <w:pPr>
              <w:jc w:val="right"/>
              <w:ind w:right="50"/>
              <w:spacing w:after="0" w:line="202" w:lineRule="exact"/>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14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0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Services and other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432,739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426,532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1,294,355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1,251,932</w:t>
            </w: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146,702</w:t>
            </w:r>
          </w:p>
        </w:tc>
      </w:tr>
      <w:tr>
        <w:trPr>
          <w:trHeight w:val="223"/>
        </w:trPr>
        <w:tc>
          <w:tcPr>
            <w:tcW w:w="5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1,487,076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1,398,634</w:t>
            </w:r>
          </w:p>
        </w:tc>
      </w:tr>
      <w:tr>
        <w:trPr>
          <w:trHeight w:val="21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8"/>
        </w:trPr>
        <w:tc>
          <w:tcPr>
            <w:tcW w:w="59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 depreciation and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138,179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410,515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432,848</w:t>
            </w:r>
          </w:p>
        </w:tc>
      </w:tr>
      <w:tr>
        <w:trPr>
          <w:trHeight w:val="229"/>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115,529</w:t>
            </w: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112,986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354,437</w:t>
            </w: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w:t>
            </w: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392,077</w:t>
            </w: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442,063</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1,305,709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1,316,269</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82,365</w:t>
            </w: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33,707</w:t>
            </w: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(112,458)</w:t>
            </w:r>
          </w:p>
        </w:tc>
      </w:tr>
      <w:tr>
        <w:trPr>
          <w:trHeight w:val="229"/>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w:t>
            </w:r>
          </w:p>
        </w:tc>
      </w:tr>
      <w:tr>
        <w:trPr>
          <w:trHeight w:val="23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(5,866)</w:t>
            </w: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30"/>
        </w:trPr>
        <w:tc>
          <w:tcPr>
            <w:tcW w:w="5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5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(125,363)</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(42,998)</w:t>
            </w: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(49,307)</w:t>
            </w: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(40,267)</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140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5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 earnings (losses)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5880" w:type="dxa"/>
            <w:vAlign w:val="bottom"/>
            <w:gridSpan w:val="4"/>
          </w:tcPr>
          <w:p>
            <w:pPr>
              <w:jc w:val="center"/>
              <w:ind w:left="2490"/>
              <w:spacing w:after="0"/>
              <w:rPr>
                <w:sz w:val="20"/>
                <w:szCs w:val="20"/>
                <w:color w:val="auto"/>
              </w:rPr>
            </w:pPr>
            <w:r>
              <w:rPr>
                <w:rFonts w:ascii="Arial" w:cs="Arial" w:eastAsia="Arial" w:hAnsi="Arial"/>
                <w:sz w:val="18"/>
                <w:szCs w:val="18"/>
                <w:b w:val="1"/>
                <w:bCs w:val="1"/>
                <w:color w:val="auto"/>
                <w:w w:val="98"/>
              </w:rPr>
              <w:t>ECHOSTAR CORPORATION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7240" w:type="dxa"/>
            <w:vAlign w:val="bottom"/>
            <w:gridSpan w:val="7"/>
          </w:tcPr>
          <w:p>
            <w:pPr>
              <w:jc w:val="center"/>
              <w:ind w:left="1130"/>
              <w:spacing w:after="0"/>
              <w:rPr>
                <w:sz w:val="20"/>
                <w:szCs w:val="20"/>
                <w:color w:val="auto"/>
              </w:rPr>
            </w:pPr>
            <w:r>
              <w:rPr>
                <w:rFonts w:ascii="Arial" w:cs="Arial" w:eastAsia="Arial" w:hAnsi="Arial"/>
                <w:sz w:val="18"/>
                <w:szCs w:val="18"/>
                <w:b w:val="1"/>
                <w:bCs w:val="1"/>
                <w:color w:val="auto"/>
                <w:w w:val="99"/>
              </w:rPr>
              <w:t>CONSOLIDATED STATEMENTS OF COMPREHENSIVE INCOME (LOSS)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5880" w:type="dxa"/>
            <w:vAlign w:val="bottom"/>
            <w:gridSpan w:val="4"/>
          </w:tcPr>
          <w:p>
            <w:pPr>
              <w:jc w:val="center"/>
              <w:ind w:left="2490"/>
              <w:spacing w:after="0"/>
              <w:rPr>
                <w:sz w:val="20"/>
                <w:szCs w:val="20"/>
                <w:color w:val="auto"/>
              </w:rPr>
            </w:pPr>
            <w:r>
              <w:rPr>
                <w:rFonts w:ascii="Arial" w:cs="Arial" w:eastAsia="Arial" w:hAnsi="Arial"/>
                <w:sz w:val="18"/>
                <w:szCs w:val="18"/>
                <w:color w:val="auto"/>
                <w:w w:val="99"/>
              </w:rPr>
              <w:t>(Amounts 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4820" w:type="dxa"/>
            <w:vAlign w:val="bottom"/>
            <w:gridSpan w:val="2"/>
          </w:tcPr>
          <w:p>
            <w:pPr>
              <w:jc w:val="center"/>
              <w:ind w:left="3550"/>
              <w:spacing w:after="0"/>
              <w:rPr>
                <w:sz w:val="20"/>
                <w:szCs w:val="20"/>
                <w:color w:val="auto"/>
              </w:rPr>
            </w:pPr>
            <w:r>
              <w:rPr>
                <w:rFonts w:ascii="Arial" w:cs="Arial" w:eastAsia="Arial" w:hAnsi="Arial"/>
                <w:sz w:val="18"/>
                <w:szCs w:val="18"/>
                <w:color w:val="auto"/>
                <w:w w:val="99"/>
              </w:rPr>
              <w:t>(Unaudited)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14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700" w:type="dxa"/>
            <w:vAlign w:val="bottom"/>
            <w:gridSpan w:val="6"/>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80" w:type="dxa"/>
            <w:vAlign w:val="bottom"/>
            <w:gridSpan w:val="4"/>
          </w:tcPr>
          <w:p>
            <w:pPr>
              <w:jc w:val="right"/>
              <w:ind w:right="50"/>
              <w:spacing w:after="0" w:line="202" w:lineRule="exact"/>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14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0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(49,307)</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(112,100)</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Unrealized gains (losses) on available-for-sale securities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Amounts reclassified to net income (loss):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(108,027)</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(157,334)</w:t>
            </w:r>
          </w:p>
        </w:tc>
      </w:tr>
      <w:tr>
        <w:trPr>
          <w:trHeight w:val="188"/>
        </w:trPr>
        <w:tc>
          <w:tcPr>
            <w:tcW w:w="59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Less: Comprehensive loss (income) attributable to non-controlling</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5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29,667</w:t>
            </w:r>
          </w:p>
        </w:tc>
      </w:tr>
      <w:tr>
        <w:trPr>
          <w:trHeight w:val="24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(127,667)</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1"/>
                <w:szCs w:val="11"/>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3,311,861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(206,810)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558,034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58,425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3,584,268</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2,766</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25,440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3,317,868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(209,538)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583,474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58,574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3,613,136</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56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3,337,190</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(182,226)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699,405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(343,869)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74,299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3,584,905</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4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(28,812)</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30,217</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Treasury share repurchase</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(62,426)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(62,426)</w:t>
            </w:r>
          </w:p>
        </w:tc>
        <w:tc>
          <w:tcPr>
            <w:tcW w:w="0" w:type="dxa"/>
            <w:vAlign w:val="bottom"/>
          </w:tcPr>
          <w:p>
            <w:pPr>
              <w:spacing w:after="0"/>
              <w:rPr>
                <w:sz w:val="1"/>
                <w:szCs w:val="1"/>
                <w:color w:val="auto"/>
              </w:rPr>
            </w:pPr>
          </w:p>
        </w:tc>
      </w:tr>
      <w:tr>
        <w:trPr>
          <w:trHeight w:val="20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106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3,341,751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(406,295)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65,539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3,528,445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1"/>
                <w:szCs w:val="11"/>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75,748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3,745,553</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Cumulative effect of accounting changes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623,741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75,508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3,736,245</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equity and contribution of assets</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pursuant to the Yahsat JV formation</w:t>
            </w: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14,268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14,268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(91,342)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(40,267)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(49,307)</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20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583,474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58,574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3,613,136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3,321,426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(187,876)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3,607,250</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Employee benefits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9,880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9,880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(20,432)</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149,223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142,804</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(231,383)</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3,341,751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(205,470)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732,814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(406,295)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65,539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3,528,445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5"/>
        </w:trPr>
        <w:tc>
          <w:tcPr>
            <w:tcW w:w="1400" w:type="dxa"/>
            <w:vAlign w:val="bottom"/>
            <w:tcBorders>
              <w:top w:val="single" w:sz="8" w:color="0000FF"/>
            </w:tcBorders>
          </w:tcPr>
          <w:p>
            <w:pPr>
              <w:spacing w:after="0"/>
              <w:rPr>
                <w:sz w:val="24"/>
                <w:szCs w:val="24"/>
                <w:color w:val="auto"/>
              </w:rPr>
            </w:pPr>
          </w:p>
        </w:tc>
        <w:tc>
          <w:tcPr>
            <w:tcW w:w="648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ECHOSTAR CORPORATION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48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1890"/>
              <w:spacing w:after="0"/>
              <w:rPr>
                <w:sz w:val="20"/>
                <w:szCs w:val="20"/>
                <w:color w:val="auto"/>
              </w:rPr>
            </w:pPr>
            <w:r>
              <w:rPr>
                <w:rFonts w:ascii="Arial" w:cs="Arial" w:eastAsia="Arial" w:hAnsi="Arial"/>
                <w:sz w:val="18"/>
                <w:szCs w:val="18"/>
                <w:color w:val="auto"/>
                <w:w w:val="99"/>
              </w:rPr>
              <w:t>(Amounts in thousands)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480" w:type="dxa"/>
            <w:vAlign w:val="bottom"/>
          </w:tcPr>
          <w:p>
            <w:pPr>
              <w:jc w:val="center"/>
              <w:ind w:left="1890"/>
              <w:spacing w:after="0"/>
              <w:rPr>
                <w:sz w:val="20"/>
                <w:szCs w:val="20"/>
                <w:color w:val="auto"/>
              </w:rPr>
            </w:pPr>
            <w:r>
              <w:rPr>
                <w:rFonts w:ascii="Arial" w:cs="Arial" w:eastAsia="Arial" w:hAnsi="Arial"/>
                <w:sz w:val="18"/>
                <w:szCs w:val="18"/>
                <w:color w:val="auto"/>
                <w:w w:val="99"/>
              </w:rPr>
              <w:t>(Unaudited)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7"/>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36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nine months ended September</w:t>
            </w:r>
          </w:p>
        </w:tc>
      </w:tr>
      <w:tr>
        <w:trPr>
          <w:trHeight w:val="229"/>
        </w:trPr>
        <w:tc>
          <w:tcPr>
            <w:tcW w:w="14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8"/>
                <w:szCs w:val="18"/>
                <w:b w:val="1"/>
                <w:bCs w:val="1"/>
                <w:color w:val="auto"/>
              </w:rPr>
              <w:t>30,</w:t>
            </w:r>
          </w:p>
        </w:tc>
        <w:tc>
          <w:tcPr>
            <w:tcW w:w="1260" w:type="dxa"/>
            <w:vAlign w:val="bottom"/>
            <w:tcBorders>
              <w:bottom w:val="single" w:sz="8" w:color="auto"/>
            </w:tcBorders>
          </w:tcPr>
          <w:p>
            <w:pPr>
              <w:spacing w:after="0"/>
              <w:rPr>
                <w:sz w:val="19"/>
                <w:szCs w:val="19"/>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rPr>
              <w:t>2020</w:t>
            </w:r>
          </w:p>
        </w:tc>
      </w:tr>
      <w:tr>
        <w:trPr>
          <w:trHeight w:val="196"/>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Net income (loss)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142,804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(49,307)</w:t>
            </w:r>
          </w:p>
        </w:tc>
      </w:tr>
      <w:tr>
        <w:trPr>
          <w:trHeight w:val="165"/>
        </w:trPr>
        <w:tc>
          <w:tcPr>
            <w:tcW w:w="7880" w:type="dxa"/>
            <w:vAlign w:val="bottom"/>
            <w:gridSpan w:val="2"/>
            <w:shd w:val="clear" w:color="auto" w:fill="CCEEFF"/>
          </w:tcPr>
          <w:p>
            <w:pPr>
              <w:ind w:left="240"/>
              <w:spacing w:after="0" w:line="165"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6"/>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80" w:type="dxa"/>
            <w:vAlign w:val="bottom"/>
            <w:gridSpan w:val="2"/>
          </w:tcPr>
          <w:p>
            <w:pPr>
              <w:ind w:left="4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368,864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392,077</w:t>
            </w:r>
          </w:p>
        </w:tc>
      </w:tr>
      <w:tr>
        <w:trPr>
          <w:trHeight w:val="233"/>
        </w:trPr>
        <w:tc>
          <w:tcPr>
            <w:tcW w:w="7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Impairment of long-lived assets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880" w:type="dxa"/>
            <w:vAlign w:val="bottom"/>
            <w:gridSpan w:val="2"/>
          </w:tcPr>
          <w:p>
            <w:pPr>
              <w:ind w:left="460"/>
              <w:spacing w:after="0"/>
              <w:rPr>
                <w:sz w:val="20"/>
                <w:szCs w:val="20"/>
                <w:color w:val="auto"/>
              </w:rPr>
            </w:pPr>
            <w:r>
              <w:rPr>
                <w:rFonts w:ascii="Arial" w:cs="Arial" w:eastAsia="Arial" w:hAnsi="Arial"/>
                <w:sz w:val="16"/>
                <w:szCs w:val="16"/>
                <w:color w:val="auto"/>
              </w:rPr>
              <w:t>Losses (gains) on investments,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37,764</w:t>
            </w:r>
          </w:p>
        </w:tc>
      </w:tr>
      <w:tr>
        <w:trPr>
          <w:trHeight w:val="219"/>
        </w:trPr>
        <w:tc>
          <w:tcPr>
            <w:tcW w:w="7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r>
      <w:tr>
        <w:trPr>
          <w:trHeight w:val="213"/>
        </w:trPr>
        <w:tc>
          <w:tcPr>
            <w:tcW w:w="7880" w:type="dxa"/>
            <w:vAlign w:val="bottom"/>
            <w:gridSpan w:val="2"/>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219"/>
        </w:trPr>
        <w:tc>
          <w:tcPr>
            <w:tcW w:w="7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Deferred tax provision (benefit),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w:t>
            </w:r>
          </w:p>
        </w:tc>
      </w:tr>
      <w:tr>
        <w:trPr>
          <w:trHeight w:val="213"/>
        </w:trPr>
        <w:tc>
          <w:tcPr>
            <w:tcW w:w="7880" w:type="dxa"/>
            <w:vAlign w:val="bottom"/>
            <w:gridSpan w:val="2"/>
          </w:tcPr>
          <w:p>
            <w:pPr>
              <w:ind w:left="46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6,887</w:t>
            </w:r>
          </w:p>
        </w:tc>
      </w:tr>
      <w:tr>
        <w:trPr>
          <w:trHeight w:val="219"/>
        </w:trPr>
        <w:tc>
          <w:tcPr>
            <w:tcW w:w="7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w:t>
            </w:r>
          </w:p>
        </w:tc>
      </w:tr>
      <w:tr>
        <w:trPr>
          <w:trHeight w:val="213"/>
        </w:trPr>
        <w:tc>
          <w:tcPr>
            <w:tcW w:w="7880" w:type="dxa"/>
            <w:vAlign w:val="bottom"/>
            <w:gridSpan w:val="2"/>
          </w:tcPr>
          <w:p>
            <w:pPr>
              <w:ind w:left="46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(9,145)</w:t>
            </w:r>
          </w:p>
        </w:tc>
      </w:tr>
      <w:tr>
        <w:trPr>
          <w:trHeight w:val="219"/>
        </w:trPr>
        <w:tc>
          <w:tcPr>
            <w:tcW w:w="78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Changes in assets and liabilities,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80" w:type="dxa"/>
            <w:vAlign w:val="bottom"/>
            <w:gridSpan w:val="2"/>
          </w:tcPr>
          <w:p>
            <w:pPr>
              <w:ind w:left="680"/>
              <w:spacing w:after="0"/>
              <w:rPr>
                <w:sz w:val="20"/>
                <w:szCs w:val="20"/>
                <w:color w:val="auto"/>
              </w:rPr>
            </w:pPr>
            <w:r>
              <w:rPr>
                <w:rFonts w:ascii="Arial" w:cs="Arial" w:eastAsia="Arial" w:hAnsi="Arial"/>
                <w:sz w:val="16"/>
                <w:szCs w:val="16"/>
                <w:color w:val="auto"/>
              </w:rPr>
              <w:t>Trade accounts receivable and contract assets,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(9,157)</w:t>
            </w:r>
          </w:p>
        </w:tc>
      </w:tr>
      <w:tr>
        <w:trPr>
          <w:trHeight w:val="219"/>
        </w:trPr>
        <w:tc>
          <w:tcPr>
            <w:tcW w:w="78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Other current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(21,090)</w:t>
            </w:r>
          </w:p>
        </w:tc>
      </w:tr>
      <w:tr>
        <w:trPr>
          <w:trHeight w:val="213"/>
        </w:trPr>
        <w:tc>
          <w:tcPr>
            <w:tcW w:w="7880" w:type="dxa"/>
            <w:vAlign w:val="bottom"/>
            <w:gridSpan w:val="2"/>
          </w:tcPr>
          <w:p>
            <w:pPr>
              <w:ind w:left="680"/>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(17,824)</w:t>
            </w:r>
          </w:p>
        </w:tc>
      </w:tr>
      <w:tr>
        <w:trPr>
          <w:trHeight w:val="219"/>
        </w:trPr>
        <w:tc>
          <w:tcPr>
            <w:tcW w:w="78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(11,438)</w:t>
            </w:r>
          </w:p>
        </w:tc>
      </w:tr>
      <w:tr>
        <w:trPr>
          <w:trHeight w:val="213"/>
        </w:trPr>
        <w:tc>
          <w:tcPr>
            <w:tcW w:w="7880" w:type="dxa"/>
            <w:vAlign w:val="bottom"/>
            <w:gridSpan w:val="2"/>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(103,457)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29,155</w:t>
            </w:r>
          </w:p>
        </w:tc>
      </w:tr>
      <w:tr>
        <w:trPr>
          <w:trHeight w:val="219"/>
        </w:trPr>
        <w:tc>
          <w:tcPr>
            <w:tcW w:w="78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Non-current assets and non-current liabilities,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06"/>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365,402</w:t>
            </w:r>
          </w:p>
        </w:tc>
      </w:tr>
      <w:tr>
        <w:trPr>
          <w:trHeight w:val="199"/>
        </w:trPr>
        <w:tc>
          <w:tcPr>
            <w:tcW w:w="1400" w:type="dxa"/>
            <w:vAlign w:val="bottom"/>
            <w:shd w:val="clear" w:color="auto" w:fill="CCEEFF"/>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78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(2,234,671)</w:t>
            </w: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Sales and maturities of marketable investment securities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2,099,815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1,231,790</w:t>
            </w:r>
          </w:p>
        </w:tc>
      </w:tr>
      <w:tr>
        <w:trPr>
          <w:trHeight w:val="219"/>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(295,041)</w:t>
            </w: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Expenditures for externally marketed software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(27,824)</w:t>
            </w:r>
          </w:p>
        </w:tc>
      </w:tr>
      <w:tr>
        <w:trPr>
          <w:trHeight w:val="219"/>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other investments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78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Sales of other investments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(1,331,246)</w:t>
            </w:r>
          </w:p>
        </w:tc>
      </w:tr>
      <w:tr>
        <w:trPr>
          <w:trHeight w:val="199"/>
        </w:trPr>
        <w:tc>
          <w:tcPr>
            <w:tcW w:w="140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Repurchase and maturity of the 2021 Senior Unsecured Notes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(901,818)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Treasury share repurchase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Contribution by non-controlling interest holder</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14,268</w:t>
            </w:r>
          </w:p>
        </w:tc>
      </w:tr>
      <w:tr>
        <w:trPr>
          <w:trHeight w:val="219"/>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Class A common stock options exercised</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8,066</w:t>
            </w:r>
          </w:p>
        </w:tc>
      </w:tr>
      <w:tr>
        <w:trPr>
          <w:trHeight w:val="219"/>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213"/>
        </w:trPr>
        <w:tc>
          <w:tcPr>
            <w:tcW w:w="7880" w:type="dxa"/>
            <w:vAlign w:val="bottom"/>
            <w:gridSpan w:val="2"/>
          </w:tcPr>
          <w:p>
            <w:pPr>
              <w:ind w:left="240"/>
              <w:spacing w:after="0"/>
              <w:rPr>
                <w:sz w:val="20"/>
                <w:szCs w:val="20"/>
                <w:color w:val="auto"/>
              </w:rPr>
            </w:pPr>
            <w:r>
              <w:rPr>
                <w:rFonts w:ascii="Arial" w:cs="Arial" w:eastAsia="Arial" w:hAnsi="Arial"/>
                <w:sz w:val="16"/>
                <w:szCs w:val="16"/>
                <w:color w:val="auto"/>
              </w:rPr>
              <w:t>Payment of finance lease obligations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9"/>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06"/>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(1,117,377)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16,548</w:t>
            </w:r>
          </w:p>
        </w:tc>
      </w:tr>
      <w:tr>
        <w:trPr>
          <w:trHeight w:val="199"/>
        </w:trPr>
        <w:tc>
          <w:tcPr>
            <w:tcW w:w="1400" w:type="dxa"/>
            <w:vAlign w:val="bottom"/>
            <w:shd w:val="clear" w:color="auto" w:fill="CCEEFF"/>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w:t>
            </w:r>
          </w:p>
        </w:tc>
      </w:tr>
      <w:tr>
        <w:trPr>
          <w:trHeight w:val="212"/>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(957,644)</w:t>
            </w:r>
          </w:p>
        </w:tc>
      </w:tr>
      <w:tr>
        <w:trPr>
          <w:trHeight w:val="213"/>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38"/>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434,330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564,245</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2" w:lineRule="exact"/>
        <w:rPr>
          <w:sz w:val="20"/>
          <w:szCs w:val="20"/>
          <w:color w:val="auto"/>
        </w:rPr>
      </w:pPr>
    </w:p>
    <w:p>
      <w:pPr>
        <w:jc w:val="both"/>
        <w:ind w:left="660" w:hanging="328"/>
        <w:spacing w:after="0" w:line="25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United States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14. Segment Reporting</w:t>
      </w:r>
      <w:r>
        <w:rPr>
          <w:rFonts w:ascii="Arial" w:cs="Arial" w:eastAsia="Arial" w:hAnsi="Arial"/>
          <w:sz w:val="18"/>
          <w:szCs w:val="18"/>
          <w:color w:val="auto"/>
        </w:rPr>
        <w:t xml:space="preserve"> for further detail.</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On January 1, 2021, we adopted Accounting Standard Update (“ASU”) No. 2019-12 - </w:t>
      </w:r>
      <w:r>
        <w:rPr>
          <w:rFonts w:ascii="Arial" w:cs="Arial" w:eastAsia="Arial" w:hAnsi="Arial"/>
          <w:sz w:val="18"/>
          <w:szCs w:val="18"/>
          <w:i w:val="1"/>
          <w:iCs w:val="1"/>
          <w:color w:val="auto"/>
        </w:rPr>
        <w:t>Income Taxes (Topic 740): Simplifying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Financial Accounting Standards Board (“FASB”) overall simplification initiative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seeks to simplify the accounting for income taxes by updating certain guidance and removing certain exceptions. Our adoption of this ASU did not have a material impact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167,048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149,513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trade accounts receivable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154,067</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trade accounts receivable and 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134,635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104,569</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115,088</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52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9"/>
              </w:rPr>
              <w:t>For the 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rPr>
              <w:t>81,543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Acquisition Costs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10"/>
          </w:tcPr>
          <w:p>
            <w:pPr>
              <w:jc w:val="center"/>
              <w:spacing w:after="0"/>
              <w:rPr>
                <w:sz w:val="20"/>
                <w:szCs w:val="20"/>
                <w:color w:val="auto"/>
              </w:rPr>
            </w:pPr>
            <w:r>
              <w:rPr>
                <w:rFonts w:ascii="Arial" w:cs="Arial" w:eastAsia="Arial" w:hAnsi="Arial"/>
                <w:sz w:val="18"/>
                <w:szCs w:val="18"/>
                <w:b w:val="1"/>
                <w:bCs w:val="1"/>
                <w:color w:val="auto"/>
              </w:rPr>
              <w:t>For the nine months ended September</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68,589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(75,429)</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100"/>
        <w:spacing w:after="0" w:line="261" w:lineRule="auto"/>
        <w:rPr>
          <w:sz w:val="20"/>
          <w:szCs w:val="20"/>
          <w:color w:val="auto"/>
        </w:rPr>
      </w:pPr>
      <w:r>
        <w:rPr>
          <w:rFonts w:ascii="Arial" w:cs="Arial" w:eastAsia="Arial" w:hAnsi="Arial"/>
          <w:sz w:val="18"/>
          <w:szCs w:val="18"/>
          <w:color w:val="auto"/>
        </w:rPr>
        <w:t>We recognized amortization expenses related to contract acquisition costs of $21.6 million and $25.7 million for the three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the remaining performance obligations for our customer contracts with original expected durations of more than one year was $890.0 million. Performance obligations expected to be satisfied within one year and greater than one year are 46% and 54%,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412,805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4,436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3,278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420,519</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44,898</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39,243</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392,950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399,650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38,618</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35,234</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1,216,665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9,163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1,238,636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134,924</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113,484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113,516</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1,465,073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1,160,288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6,753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1,180,274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106,727</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111,633</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420,012</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432,739</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24,505</w:t>
            </w:r>
          </w:p>
        </w:tc>
        <w:tc>
          <w:tcPr>
            <w:tcW w:w="0" w:type="dxa"/>
            <w:vAlign w:val="bottom"/>
          </w:tcPr>
          <w:p>
            <w:pPr>
              <w:spacing w:after="0"/>
              <w:rPr>
                <w:sz w:val="1"/>
                <w:szCs w:val="1"/>
                <w:color w:val="auto"/>
              </w:rPr>
            </w:pPr>
          </w:p>
        </w:tc>
      </w:tr>
      <w:tr>
        <w:trPr>
          <w:trHeight w:val="213"/>
        </w:trPr>
        <w:tc>
          <w:tcPr>
            <w:tcW w:w="4800" w:type="dxa"/>
            <w:vAlign w:val="bottom"/>
          </w:tcPr>
          <w:p>
            <w:pPr>
              <w:ind w:left="46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45,025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71,920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71,921</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412,960</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426,532</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29,387</w:t>
            </w:r>
          </w:p>
        </w:tc>
        <w:tc>
          <w:tcPr>
            <w:tcW w:w="0" w:type="dxa"/>
            <w:vAlign w:val="bottom"/>
          </w:tcPr>
          <w:p>
            <w:pPr>
              <w:spacing w:after="0"/>
              <w:rPr>
                <w:sz w:val="1"/>
                <w:szCs w:val="1"/>
                <w:color w:val="auto"/>
              </w:rPr>
            </w:pPr>
          </w:p>
        </w:tc>
      </w:tr>
      <w:tr>
        <w:trPr>
          <w:trHeight w:val="213"/>
        </w:trPr>
        <w:tc>
          <w:tcPr>
            <w:tcW w:w="4800" w:type="dxa"/>
            <w:vAlign w:val="bottom"/>
          </w:tcPr>
          <w:p>
            <w:pPr>
              <w:ind w:left="46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16,375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6"/>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46,970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46,970</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1,242,804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1,255,932</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38,423</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1,272,358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1,294,355</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84,060</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101,718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101,718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192,715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192,721</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1,465,073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1,198,816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1,210,267</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41,665</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1,251,932</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72,744</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70,600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70,600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146,702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146,702</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1,378,416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40" w:type="dxa"/>
            <w:vAlign w:val="bottom"/>
          </w:tcPr>
          <w:p>
            <w:pPr>
              <w:spacing w:after="0"/>
              <w:rPr>
                <w:sz w:val="20"/>
                <w:szCs w:val="20"/>
                <w:color w:val="auto"/>
              </w:rPr>
            </w:pPr>
            <w:r>
              <w:rPr>
                <w:rFonts w:ascii="Arial" w:cs="Arial" w:eastAsia="Arial" w:hAnsi="Arial"/>
                <w:sz w:val="18"/>
                <w:szCs w:val="18"/>
                <w:b w:val="1"/>
                <w:bCs w:val="1"/>
                <w:color w:val="auto"/>
              </w:rPr>
              <w:t>Lease Revenue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594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5940" w:type="dxa"/>
            <w:vAlign w:val="bottom"/>
          </w:tcPr>
          <w:p>
            <w:pPr>
              <w:spacing w:after="0"/>
              <w:rPr>
                <w:sz w:val="24"/>
                <w:szCs w:val="24"/>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4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29"/>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Sales-type lease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5940" w:type="dxa"/>
            <w:vAlign w:val="bottom"/>
          </w:tcPr>
          <w:p>
            <w:pPr>
              <w:ind w:left="460"/>
              <w:spacing w:after="0"/>
              <w:rPr>
                <w:sz w:val="20"/>
                <w:szCs w:val="20"/>
                <w:color w:val="auto"/>
              </w:rPr>
            </w:pPr>
            <w:r>
              <w:rPr>
                <w:rFonts w:ascii="Arial" w:cs="Arial" w:eastAsia="Arial" w:hAnsi="Arial"/>
                <w:sz w:val="18"/>
                <w:szCs w:val="18"/>
                <w:color w:val="auto"/>
              </w:rPr>
              <w:t>Total sales-type lease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3,536</w:t>
            </w: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41,487</w:t>
            </w: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45,023</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tab/>
        <w:t>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29"/>
        </w:trPr>
        <w:tc>
          <w:tcPr>
            <w:tcW w:w="5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97,898</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impact of stock awards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88,512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97,898</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5"/>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earnings (losses)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Available-for-sale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bonds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debt securities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26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r>
      <w:tr>
        <w:trPr>
          <w:trHeight w:val="21"/>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As of</w:t>
      </w:r>
    </w:p>
    <w:p>
      <w:pPr>
        <w:spacing w:after="0" w:line="32" w:lineRule="exact"/>
        <w:rPr>
          <w:sz w:val="20"/>
          <w:szCs w:val="20"/>
          <w:color w:val="auto"/>
        </w:rPr>
      </w:pPr>
    </w:p>
    <w:tbl>
      <w:tblPr>
        <w:tblLayout w:type="fixed"/>
        <w:tblInd w:w="188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669"/>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339,046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372,746</w:t>
            </w:r>
          </w:p>
        </w:tc>
      </w:tr>
      <w:tr>
        <w:trPr>
          <w:trHeight w:val="229"/>
        </w:trPr>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524,451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1,101,888</w:t>
            </w:r>
          </w:p>
        </w:tc>
      </w:tr>
      <w:tr>
        <w:trPr>
          <w:trHeight w:val="230"/>
        </w:trPr>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148,292</w:t>
            </w:r>
          </w:p>
        </w:tc>
      </w:tr>
    </w:tbl>
    <w:p>
      <w:pPr>
        <w:spacing w:after="0" w:line="1" w:lineRule="exact"/>
        <w:rPr>
          <w:sz w:val="20"/>
          <w:szCs w:val="20"/>
          <w:color w:val="auto"/>
        </w:rPr>
      </w:pPr>
    </w:p>
    <w:p>
      <w:pPr>
        <w:sectPr>
          <w:pgSz w:w="11900" w:h="16838" w:orient="portrait"/>
          <w:cols w:equalWidth="0" w:num="2">
            <w:col w:w="5280" w:space="700"/>
            <w:col w:w="52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Total available-for-sale debt securities</w:t>
            </w:r>
          </w:p>
        </w:tc>
        <w:tc>
          <w:tcPr>
            <w:tcW w:w="4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956,137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1,622,926</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24,435</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1,141,411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1,647,361</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marketable investment securities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1,127,048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1,638,271</w:t>
            </w:r>
          </w:p>
        </w:tc>
      </w:tr>
      <w:tr>
        <w:trPr>
          <w:trHeight w:val="20"/>
        </w:trPr>
        <w:tc>
          <w:tcPr>
            <w:tcW w:w="7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2021</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339,145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339,046</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524,451</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92,640</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956,137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we have $779.5 million of available-for-sale debt securities with contractual maturities of one year or less and $176.6 million with contractual maturities greater than one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Option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8"/>
                <w:szCs w:val="18"/>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investments,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4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92,841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(8,535)</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2021</w:t>
            </w: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327,216</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339,046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339,046</w:t>
            </w:r>
          </w:p>
        </w:tc>
      </w:tr>
      <w:tr>
        <w:trPr>
          <w:trHeight w:val="229"/>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524,451</w:t>
            </w:r>
          </w:p>
        </w:tc>
      </w:tr>
      <w:tr>
        <w:trPr>
          <w:trHeight w:val="229"/>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92,640</w:t>
            </w:r>
          </w:p>
        </w:tc>
      </w:tr>
      <w:tr>
        <w:trPr>
          <w:trHeight w:val="22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956,137</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185,274</w:t>
            </w:r>
          </w:p>
        </w:tc>
      </w:tr>
      <w:tr>
        <w:trPr>
          <w:trHeight w:val="22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1,141,411</w:t>
            </w:r>
          </w:p>
        </w:tc>
      </w:tr>
      <w:tr>
        <w:trPr>
          <w:trHeight w:val="229"/>
        </w:trPr>
        <w:tc>
          <w:tcPr>
            <w:tcW w:w="626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(14,363)</w:t>
            </w:r>
          </w:p>
        </w:tc>
      </w:tr>
      <w:tr>
        <w:trPr>
          <w:trHeight w:val="248"/>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1,127,048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810,114</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372,746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372,746</w:t>
            </w: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r>
      <w:tr>
        <w:trPr>
          <w:trHeight w:val="230"/>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r>
      <w:tr>
        <w:trPr>
          <w:trHeight w:val="22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1,622,926</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r>
      <w:tr>
        <w:trPr>
          <w:trHeight w:val="22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1,647,361</w:t>
            </w:r>
          </w:p>
        </w:tc>
      </w:tr>
      <w:tr>
        <w:trPr>
          <w:trHeight w:val="229"/>
        </w:trPr>
        <w:tc>
          <w:tcPr>
            <w:tcW w:w="626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(9,090)</w:t>
            </w:r>
          </w:p>
        </w:tc>
      </w:tr>
      <w:tr>
        <w:trPr>
          <w:trHeight w:val="248"/>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and December 31, 2020, we did not have any investments that were categorized within Level 3 of the fair value hierarchy.</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PROPERTY AND EQUIPMENT</w:t>
      </w:r>
    </w:p>
    <w:p>
      <w:pPr>
        <w:sectPr>
          <w:pgSz w:w="11900" w:h="16838" w:orient="portrait"/>
          <w:cols w:equalWidth="0" w:num="1">
            <w:col w:w="11240"/>
          </w:cols>
          <w:pgMar w:left="320" w:top="140"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components of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As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439"/>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1,630,278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1,602,076</w:t>
            </w:r>
          </w:p>
        </w:tc>
      </w:tr>
      <w:tr>
        <w:trPr>
          <w:trHeight w:val="229"/>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743,802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788,237</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2,374,080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2,390,313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our satellite fleet consisted of ten geosynchronous (“GEO”) satellites, seven of which are owned and three of which are leased. Our GEO satellite fleet operates at approximately 22,300 miles above the equator. Our owned S-band low-earth orbit (“LEO”) nano-satellites are not included in the table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September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Depreciable Life</w:t>
            </w:r>
          </w:p>
        </w:tc>
        <w:tc>
          <w:tcPr>
            <w:tcW w:w="0" w:type="dxa"/>
            <w:vAlign w:val="bottom"/>
          </w:tcPr>
          <w:p>
            <w:pPr>
              <w:spacing w:after="0"/>
              <w:rPr>
                <w:sz w:val="1"/>
                <w:szCs w:val="1"/>
                <w:color w:val="auto"/>
              </w:rPr>
            </w:pPr>
          </w:p>
        </w:tc>
      </w:tr>
      <w:tr>
        <w:trPr>
          <w:trHeight w:val="176"/>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(4)</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41" w:lineRule="auto"/>
        <w:tabs>
          <w:tab w:leader="none" w:pos="377"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40" w:hanging="332"/>
        <w:spacing w:after="0" w:line="241" w:lineRule="auto"/>
        <w:tabs>
          <w:tab w:leader="none" w:pos="232"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40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65"/>
        </w:trPr>
        <w:tc>
          <w:tcPr>
            <w:tcW w:w="6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82"/>
        </w:trPr>
        <w:tc>
          <w:tcPr>
            <w:tcW w:w="6180" w:type="dxa"/>
            <w:vAlign w:val="bottom"/>
          </w:tcPr>
          <w:p>
            <w:pPr>
              <w:spacing w:after="0"/>
              <w:rPr>
                <w:sz w:val="15"/>
                <w:szCs w:val="15"/>
                <w:color w:val="auto"/>
              </w:rPr>
            </w:pPr>
          </w:p>
        </w:tc>
        <w:tc>
          <w:tcPr>
            <w:tcW w:w="168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w w:val="99"/>
              </w:rPr>
              <w:t>Depreciable Life</w:t>
            </w:r>
          </w:p>
        </w:tc>
        <w:tc>
          <w:tcPr>
            <w:tcW w:w="160" w:type="dxa"/>
            <w:vAlign w:val="bottom"/>
          </w:tcPr>
          <w:p>
            <w:pPr>
              <w:spacing w:after="0"/>
              <w:rPr>
                <w:sz w:val="15"/>
                <w:szCs w:val="15"/>
                <w:color w:val="auto"/>
              </w:rPr>
            </w:pPr>
          </w:p>
        </w:tc>
        <w:tc>
          <w:tcPr>
            <w:tcW w:w="158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618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160" w:type="dxa"/>
            <w:vAlign w:val="bottom"/>
          </w:tcPr>
          <w:p>
            <w:pPr>
              <w:spacing w:after="0"/>
              <w:rPr>
                <w:sz w:val="19"/>
                <w:szCs w:val="19"/>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1,807,596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1,805,590</w:t>
            </w:r>
          </w:p>
        </w:tc>
      </w:tr>
      <w:tr>
        <w:trPr>
          <w:trHeight w:val="230"/>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352,245</w:t>
            </w:r>
          </w:p>
        </w:tc>
      </w:tr>
      <w:tr>
        <w:trPr>
          <w:trHeight w:val="229"/>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409,032</w:t>
            </w:r>
          </w:p>
        </w:tc>
      </w:tr>
      <w:tr>
        <w:trPr>
          <w:trHeight w:val="223"/>
        </w:trPr>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2,692,924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2,566,867</w:t>
            </w: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(890,783)</w:t>
            </w:r>
          </w:p>
        </w:tc>
      </w:tr>
      <w:tr>
        <w:trPr>
          <w:trHeight w:val="230"/>
        </w:trPr>
        <w:tc>
          <w:tcPr>
            <w:tcW w:w="6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(74,008)</w:t>
            </w:r>
          </w:p>
        </w:tc>
      </w:tr>
      <w:tr>
        <w:trPr>
          <w:trHeight w:val="223"/>
        </w:trPr>
        <w:tc>
          <w:tcPr>
            <w:tcW w:w="6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(964,791)</w:t>
            </w:r>
          </w:p>
        </w:tc>
      </w:tr>
      <w:tr>
        <w:trPr>
          <w:trHeight w:val="223"/>
        </w:trPr>
        <w:tc>
          <w:tcPr>
            <w:tcW w:w="6180" w:type="dxa"/>
            <w:vAlign w:val="bottom"/>
          </w:tcPr>
          <w:p>
            <w:pPr>
              <w:ind w:left="800"/>
              <w:spacing w:after="0"/>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1,602,076</w:t>
            </w:r>
          </w:p>
        </w:tc>
      </w:tr>
      <w:tr>
        <w:trPr>
          <w:trHeight w:val="20"/>
        </w:trPr>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77,517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96,220</w:t>
            </w:r>
          </w:p>
        </w:tc>
      </w:tr>
      <w:tr>
        <w:trPr>
          <w:trHeight w:val="229"/>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20,421</w:t>
            </w:r>
          </w:p>
        </w:tc>
      </w:tr>
      <w:tr>
        <w:trPr>
          <w:trHeight w:val="223"/>
        </w:trPr>
        <w:tc>
          <w:tcPr>
            <w:tcW w:w="594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116,641</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Capital expenditures associated with the construction and launch of the EchoStar XXIV satellite are included in Corporate and Other in our segment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September 30, 2021 and December 31, 2020 our satellite-related commitments were $354.6 million and $487.7 million, respectively. These include payments pursuant to: i) agreements for the construction of the EchoStar XXIV satellite, ii) the EchoStar XXIV launch contract,</w:t>
      </w:r>
    </w:p>
    <w:p>
      <w:pPr>
        <w:spacing w:after="0" w:line="1" w:lineRule="exact"/>
        <w:rPr>
          <w:sz w:val="20"/>
          <w:szCs w:val="20"/>
          <w:color w:val="auto"/>
        </w:rPr>
      </w:pPr>
    </w:p>
    <w:p>
      <w:pPr>
        <w:ind w:right="20" w:firstLine="8"/>
        <w:spacing w:after="0" w:line="261" w:lineRule="auto"/>
        <w:tabs>
          <w:tab w:leader="none" w:pos="2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regulatory authorizations, and non-lease costs associated with our finance lease satellites, in-orbit incentives relating to certain satellites and commitments for satellite service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and nine months ended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and December 31, 2020, the fair values of our in-orbit incentive obligations approximated their carrying amounts of $53.6 million and $55.4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REGULATORY AUTHORIZATIONS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Finite lived</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4"/>
            <w:vMerge w:val="restart"/>
          </w:tcPr>
          <w:p>
            <w:pPr>
              <w:jc w:val="right"/>
              <w:ind w:right="60"/>
              <w:spacing w:after="0"/>
              <w:rPr>
                <w:sz w:val="20"/>
                <w:szCs w:val="20"/>
                <w:color w:val="auto"/>
              </w:rPr>
            </w:pPr>
            <w:r>
              <w:rPr>
                <w:rFonts w:ascii="Arial" w:cs="Arial" w:eastAsia="Arial" w:hAnsi="Arial"/>
                <w:sz w:val="18"/>
                <w:szCs w:val="18"/>
                <w:b w:val="1"/>
                <w:bCs w:val="1"/>
                <w:color w:val="auto"/>
              </w:rPr>
              <w:t>Indefinite lived</w:t>
            </w:r>
          </w:p>
        </w:tc>
        <w:tc>
          <w:tcPr>
            <w:tcW w:w="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4"/>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rPr>
              <w:t>38,307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440,291</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59,058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(24,254)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color w:val="auto"/>
              </w:rPr>
              <w:t>34,804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441,020</w:t>
            </w:r>
          </w:p>
        </w:tc>
        <w:tc>
          <w:tcPr>
            <w:tcW w:w="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475,824</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(26,639)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444,020</w:t>
            </w:r>
          </w:p>
        </w:tc>
        <w:tc>
          <w:tcPr>
            <w:tcW w:w="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(2,590)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rPr>
              <w:t>29,580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441,430</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471,010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OTHER INVESTMENTS</w:t>
            </w: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8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As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110"/>
              <w:spacing w:after="0" w:line="169"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149,799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151,070</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102,205</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own 49% of DISH Mexico, S. de R.L. de C.V. and its subsidiaries (“Dish Mexico”), a joint venture that we entered into in 2008 to provide direct-to-home satellite services in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The following table presents revenue recognized: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9"/>
          </w:tcPr>
          <w:p>
            <w:pPr>
              <w:jc w:val="center"/>
              <w:ind w:right="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BCS</w:t>
            </w: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1,838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2,190</w:t>
            </w:r>
          </w:p>
        </w:tc>
        <w:tc>
          <w:tcPr>
            <w:tcW w:w="32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5,952</w:t>
            </w:r>
          </w:p>
        </w:tc>
        <w:tc>
          <w:tcPr>
            <w:tcW w:w="34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1"/>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7"/>
          </w:tcPr>
          <w:p>
            <w:pPr>
              <w:ind w:left="200"/>
              <w:spacing w:after="0" w:line="169" w:lineRule="exact"/>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4"/>
                <w:szCs w:val="14"/>
                <w:color w:val="auto"/>
              </w:rPr>
            </w:pPr>
          </w:p>
        </w:tc>
        <w:tc>
          <w:tcPr>
            <w:tcW w:w="1420" w:type="dxa"/>
            <w:vAlign w:val="bottom"/>
            <w:gridSpan w:val="6"/>
          </w:tcPr>
          <w:p>
            <w:pPr>
              <w:jc w:val="right"/>
              <w:ind w:right="15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center"/>
              <w:ind w:right="4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BCS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center"/>
              <w:ind w:right="11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8,082</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1"/>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Equity Investments</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9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The following table presents the activity on our investments: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8"/>
                <w:szCs w:val="18"/>
                <w:b w:val="1"/>
                <w:bCs w:val="1"/>
                <w:color w:val="auto"/>
                <w:w w:val="99"/>
              </w:rPr>
              <w:t>September 30,</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9"/>
          </w:tcPr>
          <w:p>
            <w:pPr>
              <w:jc w:val="center"/>
              <w:ind w:right="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tab/>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December 31, 2020</w:t>
            </w:r>
          </w:p>
        </w:tc>
      </w:tr>
      <w:tr>
        <w:trPr>
          <w:trHeight w:val="183"/>
        </w:trPr>
        <w:tc>
          <w:tcPr>
            <w:tcW w:w="2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8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rPr>
              <w:t>Effective</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120" w:type="dxa"/>
            <w:vAlign w:val="bottom"/>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5"/>
                <w:szCs w:val="15"/>
                <w:color w:val="auto"/>
              </w:rPr>
            </w:pPr>
          </w:p>
        </w:tc>
        <w:tc>
          <w:tcPr>
            <w:tcW w:w="1160" w:type="dxa"/>
            <w:vAlign w:val="bottom"/>
            <w:gridSpan w:val="2"/>
          </w:tcPr>
          <w:p>
            <w:pPr>
              <w:jc w:val="center"/>
              <w:ind w:right="340"/>
              <w:spacing w:after="0" w:line="182"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Fair</w:t>
            </w:r>
          </w:p>
        </w:tc>
      </w:tr>
      <w:tr>
        <w:trPr>
          <w:trHeight w:val="229"/>
        </w:trPr>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240" w:type="dxa"/>
            <w:vAlign w:val="bottom"/>
          </w:tcPr>
          <w:p>
            <w:pPr>
              <w:ind w:left="140"/>
              <w:spacing w:after="0"/>
              <w:rPr>
                <w:sz w:val="20"/>
                <w:szCs w:val="20"/>
                <w:color w:val="auto"/>
              </w:rPr>
            </w:pPr>
            <w:r>
              <w:rPr>
                <w:rFonts w:ascii="Arial" w:cs="Arial" w:eastAsia="Arial" w:hAnsi="Arial"/>
                <w:sz w:val="18"/>
                <w:szCs w:val="18"/>
                <w:color w:val="auto"/>
                <w:w w:val="79"/>
              </w:rPr>
              <w:t>5</w:t>
            </w:r>
          </w:p>
        </w:tc>
        <w:tc>
          <w:tcPr>
            <w:tcW w:w="4200" w:type="dxa"/>
            <w:vAlign w:val="bottom"/>
          </w:tcPr>
          <w:p>
            <w:pPr>
              <w:ind w:left="4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849,128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834,045</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40" w:type="dxa"/>
            <w:vAlign w:val="bottom"/>
          </w:tcPr>
          <w:p>
            <w:pPr>
              <w:ind w:left="140"/>
              <w:spacing w:after="0"/>
              <w:rPr>
                <w:sz w:val="20"/>
                <w:szCs w:val="20"/>
                <w:color w:val="auto"/>
              </w:rPr>
            </w:pPr>
            <w:r>
              <w:rPr>
                <w:rFonts w:ascii="Arial" w:cs="Arial" w:eastAsia="Arial" w:hAnsi="Arial"/>
                <w:sz w:val="18"/>
                <w:szCs w:val="18"/>
                <w:color w:val="auto"/>
                <w:w w:val="79"/>
              </w:rPr>
              <w:t>7</w:t>
            </w:r>
          </w:p>
        </w:tc>
        <w:tc>
          <w:tcPr>
            <w:tcW w:w="4200" w:type="dxa"/>
            <w:vAlign w:val="bottom"/>
          </w:tcPr>
          <w:p>
            <w:pPr>
              <w:ind w:left="40"/>
              <w:spacing w:after="0"/>
              <w:rPr>
                <w:sz w:val="20"/>
                <w:szCs w:val="20"/>
                <w:color w:val="auto"/>
              </w:rPr>
            </w:pPr>
            <w:r>
              <w:rPr>
                <w:rFonts w:ascii="Arial" w:cs="Arial" w:eastAsia="Arial" w:hAnsi="Arial"/>
                <w:sz w:val="18"/>
                <w:szCs w:val="18"/>
                <w:color w:val="auto"/>
              </w:rPr>
              <w:t>5/8% Senior Unsecured Notes due 2021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30"/>
        </w:trPr>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6</w:t>
            </w:r>
          </w:p>
        </w:tc>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852,810</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1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1,495,805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2,610,858</w:t>
            </w:r>
          </w:p>
        </w:tc>
      </w:tr>
      <w:tr>
        <w:trPr>
          <w:trHeight w:val="230"/>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Less: Current portion, net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48"/>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1,686,855</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tax provision was $19.7 million for the three months ended September 30, 2021 compared to our income tax provision of $3.0 million for the three months ended September 30, 2020. Our estimated effective income tax rate was 39.5% and 11.2% for the three months ended September 30, 2021 and 2020, respectively. The variations in our effective tax rate from the U.S. federal statutory rate for the three months ended September 30, 2021 were primarily due to excluded foreign losses where the Company carries a full valuation allowance and the impact of state and local taxes. The variations in our effective tax rate from the U.S. federal statutory rate for the three months ended September 30, 2020 were primarily due to the increase in our valuation allowance associated with certain foreign losses and the impact of state and local taxes, partially offset by the change in net unrealized gains that are capital in nature and research and experimentation credits.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tax provision was $63.0 million for the nine months ended September 30, 2021 compared to our income tax provision of $6.3 million for the nine months ended September 30, 2020. Our estimated effective income tax rate was 30.6% and (14.7)% for the nine months ended September 30, 2021 and 2020, respectively. The variations in our effective tax rate from the U.S. federal statutory rate for the nine months ended September 30, 2021 were primarily due to excluded foreign losses where the Company carries a full valuation allowance and the impact of state and local taxes. The variations in our effective tax rate from the U.S. federal statutory rate for the nine months ended September 30, 2020 were primarily due to the increase in our valuation allowance associated with certain foreign losses and the impact of state and local taxes, partially offset by the change in net unrealized gains that are capital in nature and research and experimentation credits.</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w:t>
      </w:r>
    </w:p>
    <w:p>
      <w:pPr>
        <w:spacing w:after="0" w:line="2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EchoStar Technologies businesses and certain other assets (collectively, the “Share Exchange”). The Tracking Stock was retired in March 2017.</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(“DISH Network”) and our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7"/>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r>
      <w:tr>
        <w:trPr>
          <w:trHeight w:val="229"/>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IX satellite. Subject to availability, DISH Network generally has the right to continue leasing satellite capacity from us on the EchoStar IX satellite on a month-to-month basis.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w:t>
      </w:r>
    </w:p>
    <w:p>
      <w:pPr>
        <w:jc w:val="both"/>
        <w:spacing w:after="0" w:line="247" w:lineRule="auto"/>
        <w:rPr>
          <w:sz w:val="20"/>
          <w:szCs w:val="20"/>
          <w:color w:val="auto"/>
        </w:rPr>
      </w:pPr>
      <w:r>
        <w:rPr>
          <w:rFonts w:ascii="Arial" w:cs="Arial" w:eastAsia="Arial" w:hAnsi="Arial"/>
          <w:sz w:val="18"/>
          <w:szCs w:val="18"/>
          <w:color w:val="auto"/>
        </w:rPr>
        <w:t>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76" w:lineRule="exact"/>
        <w:rPr>
          <w:sz w:val="20"/>
          <w:szCs w:val="20"/>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to use certain of our space at 100 Inverness Terrace East, Englewood, Colorado for an initial period ending in December 2020. Effective December 2020, we amended this agreement to extend the license until December 2021. This agreement may be terminated by either party upon 180 days’ prior notice. Subsequent to December 2021,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11" w:lineRule="exact"/>
        <w:rPr>
          <w:rFonts w:ascii="Arial" w:cs="Arial" w:eastAsia="Arial" w:hAnsi="Arial"/>
          <w:sz w:val="18"/>
          <w:szCs w:val="18"/>
          <w:b w:val="1"/>
          <w:bCs w:val="1"/>
          <w:i w:val="1"/>
          <w:iCs w:val="1"/>
          <w:color w:val="auto"/>
        </w:rPr>
      </w:pPr>
    </w:p>
    <w:p>
      <w:pPr>
        <w:jc w:val="both"/>
        <w:ind w:left="660" w:hanging="328"/>
        <w:spacing w:after="0" w:line="262"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2021. After December 2021, this agreement may be converted by mutual consent to a month-to-month lease agreement with either party having the right to terminate upon 30 days’ notice.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8"/>
                <w:szCs w:val="18"/>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51"/>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r>
      <w:tr>
        <w:trPr>
          <w:trHeight w:val="230"/>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2022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The rent on a per square foot basis is comparable to per square foot rental rates of similar commercial property in the same geographic area at the time of the lease or subsequent amendments and includes our portion of the taxes, insurance, utilities and/or maintenance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November 2020, we provided a termination notice for one of our Englewood, Colorado agreements to be effective May 2021. In August 2017, we and DISH Network also entered into certain other agreements pursuant to which DISH Network provides additional collocation and antenna space to us in Monee, Illinois and Spokane, Washington through August 2022. In November 2021, we exercised our right to renew the collocation agreements at Gilbert, Arizona, Cheyenne, Wyoming, Spokane, Washington, Englewood, Colorado and Monee, Illinois for a period ending in February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$2.1 million and $5.2 million for the three months ended September 30, 2021 and 2020, respectively, and $5.9 million and $14.2 million for the nine months ended September 30, 2021 and 2020, respectively.</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In June 2021, we amended the 2019 TT&amp;C Agreement to extend the term until September 2022 and added the option for us to renew the 2019 TT&amp;C Agreement up to an additional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initial term of one year, after which time either party can provide 90 days’ written notice of its decision to terminate.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Receivables - DISH Network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51"/>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r>
      <w:tr>
        <w:trPr>
          <w:trHeight w:val="229"/>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change in control of either us or DISH Network or, for any particular state, if we and DISH Network no longer file a combined tax return for such state.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own in the aggregate approximately 25%, on an undiluted basis, of Hughes Systique’s outstanding shares as of September 30, 2021.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$0.7 million, for the three months ended September 30, 2021 and 2020, respectively, and $ 1.4 million and $3.8 million for the nine months ended September 30, 2021 and 2020, respectively. As of December 31, 2020, we had $0.4 million of trade accounts receivable from TSI.</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5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A settlement hearing has been scheduled for December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an additional payment on March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99"/>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license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76,871</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Payments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SEGMENT REPORTING</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and ESS.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4,347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80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74,259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89,537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184,341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466,762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80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466,762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98,137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188,815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1,465,073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12,543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9,460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1,465,073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9,195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228,641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123,362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352,003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644,068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7,944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295,041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531,276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436,870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w:t>
            </w: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(33,707)</w:t>
            </w:r>
          </w:p>
        </w:tc>
      </w:tr>
      <w:tr>
        <w:trPr>
          <w:trHeight w:val="229"/>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112,458</w:t>
            </w: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129,822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392,077</w:t>
            </w:r>
          </w:p>
        </w:tc>
      </w:tr>
      <w:tr>
        <w:trPr>
          <w:trHeight w:val="229"/>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436,870</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29"/>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5,612</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55,381</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9,090</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116,661</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Contract acquisition costs,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99,837</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fulfillment costs,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29,485</w:t>
            </w: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non-current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14,699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159,564</w:t>
            </w:r>
          </w:p>
        </w:tc>
        <w:tc>
          <w:tcPr>
            <w:tcW w:w="0" w:type="dxa"/>
            <w:vAlign w:val="bottom"/>
          </w:tcPr>
          <w:p>
            <w:pPr>
              <w:spacing w:after="0"/>
              <w:rPr>
                <w:sz w:val="1"/>
                <w:szCs w:val="1"/>
                <w:color w:val="auto"/>
              </w:rPr>
            </w:pP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85,148</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113"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For the nine months ended September</w:t>
      </w:r>
    </w:p>
    <w:p>
      <w:pPr>
        <w:jc w:val="center"/>
        <w:ind w:left="7840"/>
        <w:spacing w:after="0"/>
        <w:rPr>
          <w:sz w:val="20"/>
          <w:szCs w:val="20"/>
          <w:color w:val="auto"/>
        </w:rPr>
      </w:pPr>
      <w:r>
        <w:rPr>
          <w:rFonts w:ascii="Arial" w:cs="Arial" w:eastAsia="Arial" w:hAnsi="Arial"/>
          <w:sz w:val="18"/>
          <w:szCs w:val="18"/>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Cash paid for interest, net of amounts capitalized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Employee benefits paid in Class A common stock</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40"/>
              <w:spacing w:after="0" w:line="176" w:lineRule="exact"/>
              <w:rPr>
                <w:sz w:val="20"/>
                <w:szCs w:val="20"/>
                <w:color w:val="auto"/>
              </w:rPr>
            </w:pPr>
            <w:r>
              <w:rPr>
                <w:rFonts w:ascii="Arial" w:cs="Arial" w:eastAsia="Arial" w:hAnsi="Arial"/>
                <w:sz w:val="18"/>
                <w:szCs w:val="18"/>
                <w:color w:val="auto"/>
              </w:rPr>
              <w:t>Non-cash net assets received in exchange for a 20% ownership interest in our existing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860" w:type="dxa"/>
            <w:vAlign w:val="bottom"/>
            <w:vMerge w:val="continue"/>
          </w:tcPr>
          <w:p>
            <w:pPr>
              <w:spacing w:after="0"/>
              <w:rPr>
                <w:sz w:val="11"/>
                <w:szCs w:val="11"/>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line="190" w:lineRule="exact"/>
              <w:rPr>
                <w:sz w:val="20"/>
                <w:szCs w:val="20"/>
                <w:color w:val="auto"/>
              </w:rPr>
            </w:pPr>
            <w:r>
              <w:rPr>
                <w:rFonts w:ascii="Arial" w:cs="Arial" w:eastAsia="Arial" w:hAnsi="Arial"/>
                <w:sz w:val="18"/>
                <w:szCs w:val="18"/>
                <w:color w:val="auto"/>
              </w:rPr>
              <w:t>Brazilian subsidiary</w:t>
            </w:r>
          </w:p>
        </w:tc>
        <w:tc>
          <w:tcPr>
            <w:tcW w:w="3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(“Accompanying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amounts presented in this Management’s Discussion and Analysis, unless otherwise noted, are expressed in thousands of United States (“U.S.”) dollars, except share and per share amounts and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September 30, 2021:</w:t>
      </w:r>
    </w:p>
    <w:p>
      <w:pPr>
        <w:spacing w:after="0" w:line="27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$504.7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of $62.6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$30.2 million</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$33.4 million and basic and diluted earnings per share of common stock of $0.38</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and net income attributable to non-controlling interests (“EBITDA”) of $184.3 million (see reconciliation of this non-GAAP measure in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September 30, 2021:</w:t>
      </w:r>
    </w:p>
    <w:p>
      <w:pPr>
        <w:spacing w:after="0" w:line="27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of $6.2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liabilities of $2.7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stockholders’ equity of $3.5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$1.6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 capacity to be launched or acquired.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We have seen a limited number of our enterprise customers file for bankruptcy protection. We have reserved an amount related to pre-petition receivables and are working closely with these customers on providing post-petition services and products, as well as working with the customer regarding collection of pre-petition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acquired from third-</w:t>
      </w:r>
    </w:p>
    <w:p>
      <w:pPr>
        <w:spacing w:after="0" w:line="2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party providers, to provide services to our customers. Growth of our consumer subscriber base in the U.S. continues to be constrained where we are nearing or have reached maximum capacity in most areas. Our Latin America consumer subscriber base in certain areas has also become capacity constrained in the current quarter. While these constraints are not expected to be resolved until we launch new satellites, we continue to focus on revenue growth in all areas and consumer subscriber growth in the areas where we have available capacity.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The EchoStar XXIV satellite is expected to be launched in the second half of 2022. Further delays or impediments could have a material adverse impact on our business operations, future revenues, financial position and prospects, the completion of manufacture of the EchoStar XXIV</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 In March 2021, we entered into an agreement for additional capacity on the Telesat T19V satellite over Puerto Rico.</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gridSpan w:val="2"/>
          </w:tcPr>
          <w:p>
            <w:pPr>
              <w:spacing w:after="0"/>
              <w:rPr>
                <w:sz w:val="20"/>
                <w:szCs w:val="20"/>
                <w:color w:val="auto"/>
              </w:rPr>
            </w:pPr>
            <w:r>
              <w:rPr>
                <w:rFonts w:ascii="Arial" w:cs="Arial" w:eastAsia="Arial" w:hAnsi="Arial"/>
                <w:sz w:val="18"/>
                <w:szCs w:val="18"/>
                <w:color w:val="auto"/>
              </w:rPr>
              <w:t>The following table presents our approximate number of broadband subscribers:</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Borders>
              <w:bottom w:val="single" w:sz="8" w:color="auto"/>
            </w:tcBorders>
            <w:gridSpan w:val="5"/>
          </w:tcPr>
          <w:p>
            <w:pPr>
              <w:ind w:left="146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jc w:val="center"/>
              <w:ind w:right="300"/>
              <w:spacing w:after="0" w:line="169" w:lineRule="exact"/>
              <w:rPr>
                <w:sz w:val="20"/>
                <w:szCs w:val="20"/>
                <w:color w:val="auto"/>
              </w:rPr>
            </w:pPr>
            <w:r>
              <w:rPr>
                <w:rFonts w:ascii="Arial" w:cs="Arial" w:eastAsia="Arial" w:hAnsi="Arial"/>
                <w:sz w:val="18"/>
                <w:szCs w:val="18"/>
                <w:b w:val="1"/>
                <w:bCs w:val="1"/>
                <w:color w:val="auto"/>
              </w:rPr>
              <w:t>September 30,</w:t>
            </w: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1,144,000</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398,000</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1,510,000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presents the approximate number of net subscriber additions: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jc w:val="center"/>
              <w:ind w:right="340"/>
              <w:spacing w:after="0" w:line="169" w:lineRule="exact"/>
              <w:rPr>
                <w:sz w:val="20"/>
                <w:szCs w:val="20"/>
                <w:color w:val="auto"/>
              </w:rPr>
            </w:pPr>
            <w:r>
              <w:rPr>
                <w:rFonts w:ascii="Arial" w:cs="Arial" w:eastAsia="Arial" w:hAnsi="Arial"/>
                <w:sz w:val="18"/>
                <w:szCs w:val="18"/>
                <w:b w:val="1"/>
                <w:bCs w:val="1"/>
                <w:color w:val="auto"/>
              </w:rPr>
              <w:t>September 30,</w:t>
            </w: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June 30, 2021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7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U.S. consumer subscriber base in certain areas continues to be capacity constrained and we are managing the available capacity to maintain service quality to our existing subscribers. While the balancing of total subscribers relative to capacity utilization in the third quarter resulted in lower total subscribers, ARPU increased from the second quarter. During the third quarter, the lower net subscribers were due to both lower gross additions and higher churn as compared to the second quarter.</w:t>
      </w:r>
    </w:p>
    <w:p>
      <w:pPr>
        <w:spacing w:after="0" w:line="21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Latin America consumer subscriber base in certain areas has also become capacity constrained in the current quarter. Continued high bandwidth demand in certain areas has resulted in managing subscriber growth and similar to the U.S., we are balancing capacity utilization with subscriber levels in the impacted areas which resulted in lower total subscribers. Although subscribers decreased in the third quarter of 2021, ARPU increased from the second quarter. During the third quarter, the lower net subscribers were due to both lower gross additions and higher churn as compared to the second quarter.</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and December 31, 2020, our Hughes segment had $1.3 billion of contracted revenue backlog. We define Hughes contracted revenue backlog as our expected future revenue under enterprise customer contracts that are non-cancelable, including lease revenue.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and December 31, 2020, our ESS segment had contracted revenue backlog of $8.3 million and $6.7 million, respectively. We define contracted revenue backlog for our ESS segment as contracted future satellite lease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and medium-earth orbit (“MEO”)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intend to continue to explore the development and deployment of S-band technologies that we expect will reduce the cost of satellite 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develop a hybrid mobile satellite service (“MSS”) and complementary ground component (“CGC”) network in the European Union and its member states (“E.U.”), the United Kingdom (“U.K.”) and other European countries, including through the use of our EchoStar XXI satellite, which was placed into service in November 2017, and the EUTELSAT 10A payload. We have positioned ourselves to continue to develop the S-band spectrum globally by acquiring Sirion Global Pty Ltd., which we have renamed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obtained milestone relief due to these force majeure events. In the second quarter of 2021, we launched our third nano-satellite. The nano-satellite was successfully commissioned and placed at the altitude prescribed in our license for the S-band frequency. We have completed the process of fulfilling the remaining requirements under the International Telecommunication Union (“ITU”) Radio Regulations of bringing the Australian filing into use. The nano-satellite will now be used to develop and test a wide range of potential S-band applications and services. We also hold licenses for S-band MSS and terrestrial services in Mexico.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and third parties with whom we work face a constantly evolving landscape of cybersecurity threats in which hackers and other parties use a complex assortment of techniques and methods to execute cyberattacks. Cybersecurity incidents have increased significantly in quantity and severity and are expected to continue to increase. In addition to our efforts to mitigate cyber-attacks, we are making investments to alleviate the potential impact to our products. As a result of these efforts, we could discover new vulnerabilities within our products and systems. We may not discover all such vulnerabilities due to the scale of activities on our platforms, or due to other factors, including but not limited to issues outside of our control. In addition, our IT systems and infrastructure are vulnerable to damage from a variety of sources, including telecommunications or network failures, malicious acts, human errors and natural disasters. Moreover, despite network security and backup measures, some of our servers are potentially vulnerable to physical or electronic break-ins, computer viruses and similar disruptive problems.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nine months ended September 30, 2021.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the Three Months Ended September 30, 2020</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three months ended September 30, 2021 compared to the three months ended September 30,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00" w:type="dxa"/>
            <w:vAlign w:val="bottom"/>
          </w:tcPr>
          <w:p>
            <w:pPr>
              <w:spacing w:after="0"/>
              <w:rPr>
                <w:sz w:val="18"/>
                <w:szCs w:val="18"/>
                <w:color w:val="auto"/>
              </w:rPr>
            </w:pPr>
          </w:p>
        </w:tc>
        <w:tc>
          <w:tcPr>
            <w:tcW w:w="1320" w:type="dxa"/>
            <w:vAlign w:val="bottom"/>
          </w:tcPr>
          <w:p>
            <w:pPr>
              <w:jc w:val="right"/>
              <w:ind w:right="55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432,739</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426,532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71,921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46,970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504,660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473,502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138,179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146,577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62,328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37,079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112,986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115,358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7,974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7,676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120,596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129,822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442,063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436,512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62,597</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36,990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Interest income, net</w:t>
            </w:r>
          </w:p>
        </w:tc>
        <w:tc>
          <w:tcPr>
            <w:tcW w:w="3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5,725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7,364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(16,313)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Gains (losses) on investments, net</w:t>
            </w:r>
          </w:p>
        </w:tc>
        <w:tc>
          <w:tcPr>
            <w:tcW w:w="3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3,748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14,998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gridSpan w:val="2"/>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00" w:type="dxa"/>
            <w:vAlign w:val="bottom"/>
          </w:tcPr>
          <w:p>
            <w:pPr>
              <w:spacing w:after="0"/>
              <w:rPr>
                <w:sz w:val="18"/>
                <w:szCs w:val="18"/>
                <w:color w:val="auto"/>
              </w:rPr>
            </w:pPr>
          </w:p>
        </w:tc>
        <w:tc>
          <w:tcPr>
            <w:tcW w:w="1320" w:type="dxa"/>
            <w:vAlign w:val="bottom"/>
          </w:tcPr>
          <w:p>
            <w:pPr>
              <w:jc w:val="right"/>
              <w:ind w:right="78"/>
              <w:spacing w:after="0"/>
              <w:rPr>
                <w:sz w:val="20"/>
                <w:szCs w:val="20"/>
                <w:color w:val="auto"/>
              </w:rPr>
            </w:pPr>
            <w:r>
              <w:rPr>
                <w:rFonts w:ascii="Arial" w:cs="Arial" w:eastAsia="Arial" w:hAnsi="Arial"/>
                <w:sz w:val="16"/>
                <w:szCs w:val="16"/>
                <w:color w:val="auto"/>
              </w:rPr>
              <w:t>(6,641)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(12,632)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(10,767)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49,965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26,223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Income tax benefit (provision), net</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(19,748)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30,217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77"/>
        </w:trPr>
        <w:tc>
          <w:tcPr>
            <w:tcW w:w="472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Less: Net loss (income) attributable to non-controlling</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interests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3,192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2,167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60"/>
        </w:trPr>
        <w:tc>
          <w:tcPr>
            <w:tcW w:w="47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income (loss) attributable to EchoStar Corporation common</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118"/>
              <w:spacing w:after="0"/>
              <w:rPr>
                <w:sz w:val="20"/>
                <w:szCs w:val="20"/>
                <w:color w:val="auto"/>
              </w:rPr>
            </w:pPr>
            <w:r>
              <w:rPr>
                <w:rFonts w:ascii="Arial" w:cs="Arial" w:eastAsia="Arial" w:hAnsi="Arial"/>
                <w:sz w:val="16"/>
                <w:szCs w:val="16"/>
                <w:color w:val="auto"/>
              </w:rPr>
              <w:t>33,409</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25,440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20" w:type="dxa"/>
            <w:vAlign w:val="bottom"/>
            <w:tcBorders>
              <w:bottom w:val="single" w:sz="8" w:color="CCEEFF"/>
            </w:tcBorders>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stock</w:t>
            </w: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184,341</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188,815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20" w:type="dxa"/>
            <w:vAlign w:val="bottom"/>
            <w:tcBorders>
              <w:bottom w:val="single" w:sz="8" w:color="CCEEFF"/>
            </w:tcBorders>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Subscribers, end of period</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1,510,000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1,580,000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line="258" w:lineRule="auto"/>
        <w:tabs>
          <w:tab w:leader="none" w:pos="3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three months ended September 30, 2021 and 2020.</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$432.7 million for the three months ended September 30, 2021,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$6.2 million, or 1.5%, as compared to 2020. The increase was primarily attributable to increases in our Hughes segment related to sales of broadband services to our enterprise and mobile satellite system customers of $2.6 million and to our consumer customers of $1.9 million. Our Corporate and Other segment increased by $0.9 million. The variance reflects the positive impact of exchange rate fluctuations of $0.9 million.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$71.9 million for the three months ended September 30, 2021, an increase of $25.0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53.1%, as compared to 2020. The increase was primarily attributable to increases in hardware sales of $27.9 million to our enterprise customers, partially offset by decreases in hardware sales of $2.0 million to our consumer customers.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$138.2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$8.4 million, or 5.7%, as compared to 2020. The decrease was primarily attributable to lower costs of services provided to our consumer customers associated with customer care and field services.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$62.3 million for the three months ended September 30,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$25.2 million, or 68.1%, as compared to 2020. The increase was primarily attributable to the corresponding increase in equipment revenue as well as a non-recurring expense of $2.6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$ 113.0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 decrease of $2.4 million, or 2.1%, as compared to 2020. The decrease was primarily attributable to decreases in bad debt expense of $1.7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$ 120.6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$9.2 million, or 7.1%, as compared to 2020. The decrease was primarily attributable to our SPACEWAY 3 satellite which was fully depreciated at the end of the first quarter of 2021.</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$5.7 million for the three months ended September 30, 2021, a decrease of $1.6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22.3%, as compared to 2020, primarily attributable to decreases in the yield on our marketable investment securities and a decrease in our marketable investment securities average balance.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$16.3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 decrease of $21.7 million, or 57.0%, as compared to 2020. The decrease was primarily attributable to a decrease of $18.1 million in interest expense and the amortization of deferred financing cost as a result of the repurchases and maturity of our 7 5/8% Senior Unsecured Notes due 2021 and an increase of $1.9 million in capitalized interest relating to the EchoStar XXIV satellite program.</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$ 3.7 million in gains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 decrease of $11.3 million, as compared to 2020. The change was primarily attributable to decreased gains on marketable investment securities of $16.3 million in the third quarter of 2021 as compared to 2020, partially offset by a gain on other equity securities of $5.0 million in 2021.</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earnings for the three months ended September 30, 2021, a decrease in losses of $2.2 million, as compared to 2020. The decrease in losses was related to net increased earnings from our investments in our equity method investees.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$6.6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2021, as compared to $6.7 million in gains for the three months ended September 30, 2020, a negative change of $13.3 million. The change was due to the net impact of foreign exchange rate fluctuations of certain foreign currencies during the quarter.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$(19.7)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as compared to $(3.0) million for the three months ended September 30, 2020. Our effective income tax rate was 39.5% and 11.2% for the three months ended September 30, 2021 and 2020, respectively. The variations in our effective tax rate from the U.S. federal statutory rate for the three months ended September 30, 2021 were primarily due to excluded foreign losses where the Company carries a full valuation allowance and the impact of state and local taxes. The variations in our current year effective tax rate from the U.S. federal statutory rate for the three months ended September 30, 2020 were primarily due to the increase in our valuation allowance associated with certain foreign losses and by the impact of state and local taxes partially offset by the change in net unrealized gains that are capital in nature and research and experimentation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September 30,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25,607</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21,654</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(11,250)</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w:t>
            </w:r>
          </w:p>
        </w:tc>
      </w:tr>
      <w:tr>
        <w:trPr>
          <w:trHeight w:val="230"/>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September 30,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Accompanying Consolidated Financial Statements: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8"/>
                <w:szCs w:val="18"/>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Income tax provision (benefit),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16,798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16,381</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(11,250)</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September 30,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184,341</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three months ended September 30, 2021, as compared to the three months ended September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Hughes</w:t>
            </w:r>
          </w:p>
        </w:tc>
        <w:tc>
          <w:tcPr>
            <w:tcW w:w="560" w:type="dxa"/>
            <w:vAlign w:val="bottom"/>
          </w:tcPr>
          <w:p>
            <w:pPr>
              <w:spacing w:after="0"/>
              <w:rPr>
                <w:sz w:val="16"/>
                <w:szCs w:val="16"/>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ESS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Corporate and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96"/>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Other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96"/>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496,937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6"/>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89,537</w:t>
            </w:r>
          </w:p>
        </w:tc>
        <w:tc>
          <w:tcPr>
            <w:tcW w:w="0" w:type="dxa"/>
            <w:vAlign w:val="bottom"/>
          </w:tcPr>
          <w:p>
            <w:pPr>
              <w:spacing w:after="0"/>
              <w:rPr>
                <w:sz w:val="1"/>
                <w:szCs w:val="1"/>
                <w:color w:val="auto"/>
              </w:rPr>
            </w:pP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EBITDA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196,970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184,341</w:t>
            </w:r>
          </w:p>
        </w:tc>
        <w:tc>
          <w:tcPr>
            <w:tcW w:w="0" w:type="dxa"/>
            <w:vAlign w:val="bottom"/>
          </w:tcPr>
          <w:p>
            <w:pPr>
              <w:spacing w:after="0"/>
              <w:rPr>
                <w:sz w:val="1"/>
                <w:szCs w:val="1"/>
                <w:color w:val="auto"/>
              </w:rPr>
            </w:pPr>
          </w:p>
        </w:tc>
      </w:tr>
      <w:tr>
        <w:trPr>
          <w:trHeight w:val="259"/>
        </w:trPr>
        <w:tc>
          <w:tcPr>
            <w:tcW w:w="4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6"/>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88,848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98,137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EBITDA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188,815</w:t>
            </w:r>
          </w:p>
        </w:tc>
        <w:tc>
          <w:tcPr>
            <w:tcW w:w="0" w:type="dxa"/>
            <w:vAlign w:val="bottom"/>
          </w:tcPr>
          <w:p>
            <w:pPr>
              <w:spacing w:after="0"/>
              <w:rPr>
                <w:sz w:val="1"/>
                <w:szCs w:val="1"/>
                <w:color w:val="auto"/>
              </w:rPr>
            </w:pPr>
          </w:p>
        </w:tc>
      </w:tr>
      <w:tr>
        <w:trPr>
          <w:trHeight w:val="554"/>
        </w:trPr>
        <w:tc>
          <w:tcPr>
            <w:tcW w:w="480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7"/>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vMerge w:val="restart"/>
          </w:tcPr>
          <w:p>
            <w:pPr>
              <w:jc w:val="right"/>
              <w:ind w:right="1116"/>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(14,589)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 was $ 496.9 million for the three months ended September 30, 2021, an increase of $30.2 million, or 6.5%, as compared to 2020. Services and other revenue increased primarily due to increases in sales of broadband services to our enterprise and mobile satellite system customers of $2.6 million and to our consumer customers of $1.9 million. Equipment revenue increased primarily due to increases in hardware sales of $27.9 million to our enterprise customers, partially offset by decreases in hardware sales of $2.0 million to our consumer customers. These variances reflect the positive impact of exchange rate fluctuations of $0.9 million.</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$74.3 million for the three months ended September 30, 2021, a decrease of $14.6 million, or 16.4%, as compared to 2020, primarily due to decreases in expenditures associated with our consumer business, partially offset by increased expenditures related to the construction of our satellite-related ground infrastructure in preparation for the launch of EchoStar XXIV.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September 30, 2020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40" w:type="dxa"/>
            <w:vAlign w:val="bottom"/>
            <w:gridSpan w:val="7"/>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September 30, 2021</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For the three months ended</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vMerge w:val="restart"/>
          </w:tcPr>
          <w:p>
            <w:pPr>
              <w:jc w:val="right"/>
              <w:ind w:right="1090"/>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9"/>
              </w:rPr>
              <w:t>34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left="790"/>
              <w:spacing w:after="0"/>
              <w:rPr>
                <w:sz w:val="20"/>
                <w:szCs w:val="20"/>
                <w:color w:val="auto"/>
              </w:rPr>
            </w:pPr>
            <w:r>
              <w:rPr>
                <w:rFonts w:ascii="Arial" w:cs="Arial" w:eastAsia="Arial" w:hAnsi="Arial"/>
                <w:sz w:val="18"/>
                <w:szCs w:val="18"/>
                <w:color w:val="auto"/>
                <w:w w:val="99"/>
              </w:rPr>
              <w:t>(41)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$4.4 million for the three months ended September 30, 2021, which is flat compared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 was $2.3 million for the three months ended September 30, 2021, which is flat compared to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For the three months ended</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rPr>
              <w:t>2,338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8"/>
              </w:rPr>
              <w:t>(3,475)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Total revenue was $3.3 million for the three months ended September 30, 2021, an increase of $0.9 million, or 40.6%, as compared to 2020, primarily due to increased services and other revenue from DISH Network.</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Capital expenditures were $15.3 million for the three months ended September 30, 2021, an increase of $6.0 million, or 65.2%, as compared to 2020, primarily due to increases in expenditures related to the EchoStar XXIV satellite program.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7"/>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40" w:type="dxa"/>
            <w:vAlign w:val="bottom"/>
          </w:tcPr>
          <w:p>
            <w:pPr>
              <w:spacing w:after="0"/>
              <w:rPr>
                <w:sz w:val="19"/>
                <w:szCs w:val="19"/>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September 30,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2,134</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r>
      <w:tr>
        <w:trPr>
          <w:trHeight w:val="230"/>
        </w:trPr>
        <w:tc>
          <w:tcPr>
            <w:tcW w:w="40" w:type="dxa"/>
            <w:vAlign w:val="bottom"/>
          </w:tcPr>
          <w:p>
            <w:pPr>
              <w:spacing w:after="0"/>
              <w:rPr>
                <w:sz w:val="19"/>
                <w:szCs w:val="19"/>
                <w:color w:val="auto"/>
              </w:rPr>
            </w:pPr>
          </w:p>
        </w:tc>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w:t>
            </w:r>
          </w:p>
        </w:tc>
      </w:tr>
      <w:tr>
        <w:trPr>
          <w:trHeight w:val="248"/>
        </w:trPr>
        <w:tc>
          <w:tcPr>
            <w:tcW w:w="4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September 30,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(14,948)</w:t>
            </w:r>
          </w:p>
        </w:tc>
      </w:tr>
      <w:tr>
        <w:trPr>
          <w:trHeight w:val="20"/>
        </w:trPr>
        <w:tc>
          <w:tcPr>
            <w:tcW w:w="4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the Nine Months Ended September 30, 2020</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nine months ended September 30, 2021 compared to the nine months ended September 30, 2020:</w:t>
      </w:r>
    </w:p>
    <w:p>
      <w:pPr>
        <w:spacing w:after="0" w:line="8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For the nine months ended September</w:t>
      </w: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8"/>
                <w:szCs w:val="18"/>
                <w:b w:val="1"/>
                <w:bCs w:val="1"/>
                <w:color w:val="auto"/>
              </w:rPr>
              <w:t>30,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60" w:type="dxa"/>
            <w:vAlign w:val="bottom"/>
          </w:tcPr>
          <w:p>
            <w:pPr>
              <w:spacing w:after="0"/>
              <w:rPr>
                <w:sz w:val="19"/>
                <w:szCs w:val="19"/>
                <w:color w:val="auto"/>
              </w:rPr>
            </w:pPr>
          </w:p>
        </w:tc>
        <w:tc>
          <w:tcPr>
            <w:tcW w:w="1260" w:type="dxa"/>
            <w:vAlign w:val="bottom"/>
          </w:tcPr>
          <w:p>
            <w:pPr>
              <w:jc w:val="right"/>
              <w:ind w:right="518"/>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1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1,294,355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1,251,932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42,423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192,721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146,702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1,487,076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1,398,634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88,442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6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410,515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432,848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6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161,982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115,529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341,143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354,437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6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22,960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21,378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368,864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392,077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1,305,709</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1,316,269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(10,560)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181,367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82,365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16,914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60" w:type="dxa"/>
            <w:vAlign w:val="bottom"/>
          </w:tcPr>
          <w:p>
            <w:pPr>
              <w:spacing w:after="0"/>
              <w:rPr>
                <w:sz w:val="18"/>
                <w:szCs w:val="18"/>
                <w:color w:val="auto"/>
              </w:rPr>
            </w:pPr>
          </w:p>
        </w:tc>
        <w:tc>
          <w:tcPr>
            <w:tcW w:w="1260" w:type="dxa"/>
            <w:vAlign w:val="bottom"/>
          </w:tcPr>
          <w:p>
            <w:pPr>
              <w:jc w:val="right"/>
              <w:ind w:right="78"/>
              <w:spacing w:after="0"/>
              <w:rPr>
                <w:sz w:val="20"/>
                <w:szCs w:val="20"/>
                <w:color w:val="auto"/>
              </w:rPr>
            </w:pPr>
            <w:r>
              <w:rPr>
                <w:rFonts w:ascii="Arial" w:cs="Arial" w:eastAsia="Arial" w:hAnsi="Arial"/>
                <w:sz w:val="16"/>
                <w:szCs w:val="16"/>
                <w:color w:val="auto"/>
              </w:rPr>
              <w:t>(79,848)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(112,458)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112,981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60" w:type="dxa"/>
            <w:vAlign w:val="bottom"/>
          </w:tcPr>
          <w:p>
            <w:pPr>
              <w:spacing w:after="0"/>
              <w:rPr>
                <w:sz w:val="18"/>
                <w:szCs w:val="18"/>
                <w:color w:val="auto"/>
              </w:rPr>
            </w:pPr>
          </w:p>
        </w:tc>
        <w:tc>
          <w:tcPr>
            <w:tcW w:w="1260" w:type="dxa"/>
            <w:vAlign w:val="bottom"/>
          </w:tcPr>
          <w:p>
            <w:pPr>
              <w:jc w:val="right"/>
              <w:ind w:right="78"/>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(5,866)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(10,045)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(12,922)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24,484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(125,363)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17"/>
                <w:szCs w:val="17"/>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205,851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(42,998)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248,849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(63,047)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7"/>
                <w:szCs w:val="17"/>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142,804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(49,307)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192,111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240"/>
              <w:spacing w:after="0" w:line="181" w:lineRule="exact"/>
              <w:rPr>
                <w:sz w:val="20"/>
                <w:szCs w:val="20"/>
                <w:color w:val="auto"/>
              </w:rPr>
            </w:pPr>
            <w:r>
              <w:rPr>
                <w:rFonts w:ascii="Arial" w:cs="Arial" w:eastAsia="Arial" w:hAnsi="Arial"/>
                <w:sz w:val="16"/>
                <w:szCs w:val="16"/>
                <w:color w:val="auto"/>
              </w:rPr>
              <w:t>Less: Net loss (income) attributable to non-controlling</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6,419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9,040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57"/>
        </w:trPr>
        <w:tc>
          <w:tcPr>
            <w:tcW w:w="470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Net income (loss) attributable to EchoStar Corporation</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18"/>
              <w:spacing w:after="0"/>
              <w:rPr>
                <w:sz w:val="20"/>
                <w:szCs w:val="20"/>
                <w:color w:val="auto"/>
              </w:rPr>
            </w:pPr>
            <w:r>
              <w:rPr>
                <w:rFonts w:ascii="Arial" w:cs="Arial" w:eastAsia="Arial" w:hAnsi="Arial"/>
                <w:sz w:val="16"/>
                <w:szCs w:val="16"/>
                <w:color w:val="auto"/>
              </w:rPr>
              <w:t>149,223</w:t>
            </w:r>
          </w:p>
        </w:tc>
        <w:tc>
          <w:tcPr>
            <w:tcW w:w="12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(40,267)</w:t>
            </w:r>
          </w:p>
        </w:tc>
        <w:tc>
          <w:tcPr>
            <w:tcW w:w="12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189,490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0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common stock</w:t>
            </w:r>
          </w:p>
        </w:tc>
        <w:tc>
          <w:tcPr>
            <w:tcW w:w="3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EBITDA (1)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644,068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436,870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1,510,000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1,580,000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 w:lineRule="exact"/>
        <w:rPr>
          <w:rFonts w:ascii="Arial" w:cs="Arial" w:eastAsia="Arial" w:hAnsi="Arial"/>
          <w:sz w:val="14"/>
          <w:szCs w:val="14"/>
          <w:color w:val="auto"/>
        </w:rPr>
      </w:pPr>
    </w:p>
    <w:p>
      <w:pPr>
        <w:ind w:left="340" w:hanging="332"/>
        <w:spacing w:after="0" w:line="258" w:lineRule="auto"/>
        <w:tabs>
          <w:tab w:leader="none" w:pos="3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nine months ended September 30, 2021 and 2020.</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$1.3 billion for the nine months ended September 30, 2021,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$42.4 million, or 3.4%, as compared to 2020. The increase was primarily attributable to increases in our Hughes segment related to sales of broadband services to our consumer customers of $41.2 million, partially offset by decreases in sales of broadband services to our enterprise customers of $1.6 million. Our Corporate and Other segment increased by $2.2 million. These variances reflect the negative impact of exchange rate fluctuations of $2.4 million, primarily attributable to our consumer customers.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$192.7 million for the nine months ended September 30,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$46.0 million, or 31.4%, as compared to 2020. The increase was primarily attributable to increases in hardware sales of $53.9 million to our enterprise customers, partially offset by decreases in hardware sales of $5.5 million to our mobile satellite systems customers.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$410.5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$22.3 million, or 5.2%, as compared to 2020. The decrease was primarily attributable to lower costs of services provided to our consumer customers associated with customer care and field services as well as a non-recurring decrease in a certain international regulatory fee of $4.5 million.</w:t>
      </w:r>
    </w:p>
    <w:p>
      <w:pPr>
        <w:spacing w:after="0" w:line="20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$162.0 million for the nine months ended September 30,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$46.5 million, or 40.2%, as compared to 2020. The increase was primarily attributable to the corresponding increase in equipment revenue.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$341.1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 decrease of $13.3 million, or 3.8%, as compared to 2020. The decrease was primarily attributable to decreased sales and marketing expenses of $5.2 million mainly associated with our consumer customers and decreases in bad debt expense of $9.1 million.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$368.9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$23.2 million, or 5.9%, as compared to 2020. The decrease was primarily attributable to (i) our SPACEWAY 3 satellite which was fully depreciated at the end of the first quarter of 2021, (ii) decreases in other property and equipment depreciation expense of $1.2 million, and (iii) decreases in amortization of intangibles of $4.7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$16.9 million for the nine months ended September 30, 2021, a decrease of $ 16.8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49.8%, as compared to 2020, primarily attributable to decreases in the yield on our marketable investment securities and a decrease in our marketable investment securities average balance.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$79.8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 decrease of $32.6 million, or 29.0%, as compared to 2020. The decrease was primarily attributable to a decrease of $23.3 million in interest expense and the amortization of deferred financing cost as a result of the repurchases and maturity of our 7 5/8% Senior Unsecured Notes due 2021 and an increase of $6.6 million in capitalized interest relating to the EchoStar XXIV satellite program.</w:t>
      </w: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$113.0 million in gains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an increase of $150.7 million, as compared to 2020. The change was primarily attributable to increased gains on marketable investment securities of $113.7 million in 2021 as compared to 2020, gains on other equity securities of $7.1 million in 2021, and a $29.8 million impairment loss in 2020.</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losses for the nine months ended September 30, 2021, a decrease in losses of $3.3 million, or 55.7%, as compared to 2020. The decrease was related to net increased earnings from our investments in our equity method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$10.0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2021, as compared to $2.6 million in losses for the nine months ended September 30, 2020, a negative change of $7.4 million. The change was due to the net impact of foreign exchange fluctuations of certain currencies during the quarter.</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$12.9 million in losses for the nine months ended September 30, 2021, as compared to $0.4 million in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2020, an increase in losses of $ 12.5 million. The increase was primarily attributable to a litigation expense of $ 16.8 million and losses from debt repurchases on our 7 5/8% Senior Unsecured Notes due 2021 of $1.9 million, partially offset by dividends received from certain marketable equity securities of $2.2 million.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 (63.0) million for the nine months ended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$(6.3) million for the nine months ended September 30, 2020. Our effective income tax rate was 30.6% and (14.7)% for the nine months ended September 30, 2021 and 2020, respectively. The variations in our current year effective tax rate from the U.S. federal statutory rate for the nine months ended September 30, 2021 were primarily due to excluded foreign losses where the Company carries a full valuation allowance and the impact of state and local taxes. The variations in our effective tax rate from the U.S. federal statutory rate for the nine months ended September 30, 2020 were primarily due to the increase in our valuation allowance associated with certain foreign losses and the impact of state and local taxes, partially offset by the change in net unrealized gains that are capital in nature and research and experimentation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ectPr>
          <w:pgSz w:w="11900" w:h="16838" w:orient="portrait"/>
          <w:cols w:equalWidth="0" w:num="1">
            <w:col w:w="11240"/>
          </w:cols>
          <w:pgMar w:left="320" w:top="140" w:right="339" w:bottom="1440" w:gutter="0" w:footer="0" w:header="0"/>
        </w:sectPr>
      </w:pPr>
    </w:p>
    <w:p>
      <w:pPr>
        <w:spacing w:after="0" w:line="293" w:lineRule="exact"/>
        <w:rPr>
          <w:sz w:val="20"/>
          <w:szCs w:val="20"/>
          <w:color w:val="auto"/>
        </w:rPr>
      </w:pPr>
    </w:p>
    <w:p>
      <w:pPr>
        <w:ind w:left="220" w:right="140" w:hanging="201"/>
        <w:spacing w:after="0" w:line="266" w:lineRule="auto"/>
        <w:rPr>
          <w:sz w:val="20"/>
          <w:szCs w:val="20"/>
          <w:color w:val="auto"/>
        </w:rPr>
      </w:pPr>
      <w:r>
        <w:rPr>
          <w:rFonts w:ascii="Arial" w:cs="Arial" w:eastAsia="Arial" w:hAnsi="Arial"/>
          <w:sz w:val="18"/>
          <w:szCs w:val="18"/>
          <w:color w:val="auto"/>
        </w:rPr>
        <w:t>Net income (loss) attributable to EchoStar Corporation for the nine months ended September 30, 2020 Decrease (increase) in income tax benefit (provision),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062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0628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interest income, net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20" w:right="1140"/>
        <w:spacing w:after="0" w:line="277" w:lineRule="auto"/>
        <w:rPr>
          <w:sz w:val="20"/>
          <w:szCs w:val="20"/>
          <w:color w:val="auto"/>
        </w:rPr>
      </w:pPr>
      <w:r>
        <w:rPr>
          <w:rFonts w:ascii="Arial" w:cs="Arial" w:eastAsia="Arial" w:hAnsi="Arial"/>
          <w:sz w:val="18"/>
          <w:szCs w:val="18"/>
          <w:color w:val="auto"/>
        </w:rPr>
        <w:t>Increase (decrease) in operating income (loss), including depreciation and amortization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(loss) attributable to EchoStar Corporation for the nine months ended September 30, 2021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w:t>
      </w:r>
    </w:p>
    <w:p>
      <w:pPr>
        <w:spacing w:after="0" w:line="5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(40,267)</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(56,738)</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(16,793)</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(12,543)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(7,442)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(2,621)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3,270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32,610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99,002</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150,745</w:t>
      </w:r>
    </w:p>
    <w:p>
      <w:pPr>
        <w:spacing w:after="0" w:line="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149,223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97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300" w:space="720"/>
            <w:col w:w="22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Accompanying Consolidated Financial Statements: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nine months ended</w:t>
            </w:r>
          </w:p>
        </w:tc>
        <w:tc>
          <w:tcPr>
            <w:tcW w:w="240" w:type="dxa"/>
            <w:vAlign w:val="bottom"/>
          </w:tcPr>
          <w:p>
            <w:pPr>
              <w:spacing w:after="0"/>
              <w:rPr>
                <w:sz w:val="17"/>
                <w:szCs w:val="17"/>
                <w:color w:val="auto"/>
              </w:rPr>
            </w:pPr>
          </w:p>
        </w:tc>
        <w:tc>
          <w:tcPr>
            <w:tcW w:w="1900" w:type="dxa"/>
            <w:vAlign w:val="bottom"/>
            <w:gridSpan w:val="3"/>
            <w:vMerge w:val="restart"/>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142,804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nine months ended September 30,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436,870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150,745</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75,789</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3,270</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(7,442)</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nine months ended September 30,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644,068</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nine months ended September 30, 2021, as compared to the nine months ended September 30,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1,465,073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9,195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352,003</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605,742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644,068</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263,844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295,041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For the nine months ended</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1,465,073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8"/>
              </w:rPr>
              <w:t>86,657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228,641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left="430"/>
              <w:spacing w:after="0"/>
              <w:rPr>
                <w:sz w:val="20"/>
                <w:szCs w:val="20"/>
                <w:color w:val="auto"/>
              </w:rPr>
            </w:pPr>
            <w:r>
              <w:rPr>
                <w:rFonts w:ascii="Arial" w:cs="Arial" w:eastAsia="Arial" w:hAnsi="Arial"/>
                <w:sz w:val="18"/>
                <w:szCs w:val="18"/>
                <w:color w:val="auto"/>
              </w:rPr>
              <w:t>(35,203)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8"/>
              </w:rPr>
              <w:t>74,466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was $ 1.5 billion for the nine months ended September 30, 2021, an increase of $86.7 million, or 6.3%, as compared to 2020. Services and other revenue increased primarily due to an increase of $41.2 million in sales of broadband services to our consumer customers, partially offset by decreases in sales of broadband services to our enterprise customers of $1.6 million. Equipment revenue increased primarily due to increases in hardware sales of $53.9 million to our enterprise customers, partially offset by decreases in hardware sales of $5.5 million to our mobile satellite systems customers. These variances reflect the negative impact of exchange rate fluctuations of $2.5 million.</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Capital expenditures were $228.6 million for the nine months ended September 30, 2021, a decrease of $35.2 million, or 13.3%, as compared to 2020, primarily due to decreases in expenditures associated with our consumer business, partially offset by increased expenditures related to our enterprise business and construction of our satellite-related ground infrastructure in preparation the our launch of EchoStar XXIV.</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Amounts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nine months ended September 30, 2020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531,276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75,288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5"/>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EBITDA for the nine months ended September 30, 2021</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605,742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ESS Segment</w:t>
            </w: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For the nine months ended</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4"/>
            <w:vMerge w:val="restart"/>
          </w:tcPr>
          <w:p>
            <w:pPr>
              <w:jc w:val="right"/>
              <w:ind w:right="1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was $12.8 million for the nine months ended September 30, 2021, a decrease of $0.4 million, or 3.2%, as compared to 2020, primarily due to a decrease in transponder services provided to third parties.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EBITDA was $6.5 million for the nine months ended September 30, 2021, an increase of $0.6 million, or 10.8%, as compared to 2020, primarily due to the recovery of a bad debt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For the nine months ended</w:t>
            </w:r>
          </w:p>
        </w:tc>
        <w:tc>
          <w:tcPr>
            <w:tcW w:w="240" w:type="dxa"/>
            <w:vAlign w:val="bottom"/>
          </w:tcPr>
          <w:p>
            <w:pPr>
              <w:spacing w:after="0"/>
              <w:rPr>
                <w:sz w:val="24"/>
                <w:szCs w:val="24"/>
                <w:color w:val="auto"/>
              </w:rPr>
            </w:pPr>
          </w:p>
        </w:tc>
        <w:tc>
          <w:tcPr>
            <w:tcW w:w="1900" w:type="dxa"/>
            <w:vAlign w:val="bottom"/>
            <w:gridSpan w:val="3"/>
            <w:vMerge w:val="restart"/>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123,362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92,206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was $9.2 million for the nine months ended September 30, 2021, an increase of $2.2 million, or 31.6%, as compared to 2020, primarily due to increased services and other revenue from DISH Network.</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Capital expenditures were $123.4 million for the nine months ended September 30, 2021, an increase of $92.2 million, as compared to 2020, primarily due to increases in expenditures related to the EchoStar XXIV satellite program.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nine months ended September 30,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(100,253)</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(16,633)</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r>
      <w:tr>
        <w:trPr>
          <w:trHeight w:val="230"/>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148,495</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nine months ended September 30,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our cash, cash equivalents and marketable investment securities totaled $1.6 billion, of which $1.1 billion, we held as marketable investment securities, consisting of various debt and equity instruments including corporate bonds, corporate equity securities, government bonds and mutual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nine months ended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6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0"/>
        </w:trPr>
        <w:tc>
          <w:tcPr>
            <w:tcW w:w="6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230,147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(1,331,246)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1,561,393</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(1,133,925)</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495,162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provided by (used for) operating activities increased by $62.5 million primarily attributable to changes in net income (loss) of $192.1 million and deferred tax provision (benefit), net of $41.5 million, partially offset by changes in gains (losses) on investments, net of $150.7 million and depreciation and amortization of $23.2 million.</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investing activities increased by $1.6 billion primarily attributable to our marketable investment securities and other investments net activity and an increase in expenditures for property and equipment.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financing activities decreased by $1.1 billion primarily attributable to the repurchase and maturity of our 7 5/8% Senior Unsecured Notes due 2021 of $901.8 million and from increased treasury share repurchases of $223.5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our satellite-related commitments were $354.6 million. These primarily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September 30, 2021</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89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4,496</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31,094</w:t>
            </w:r>
          </w:p>
        </w:tc>
      </w:tr>
      <w:tr>
        <w:trPr>
          <w:trHeight w:val="223"/>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53,448</w:t>
            </w:r>
          </w:p>
        </w:tc>
      </w:tr>
      <w:tr>
        <w:trPr>
          <w:trHeight w:val="21"/>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or to improve the quality of our satellite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Al Yah Satellite Communications Company PrJSC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significant amount of outstanding indebtedness. As of September 30, 2021, our total indebtedness was $1.5 billion. Refer to our Form 10-K for a discussion of the terms of our long-term debt. Our liquidity requirements will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2021.</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On November 2, 2021, our Board of Directors terminated the prior repurchase authorization effective December 31, 2021, and authorized us to repurchase up to $500.0 million of our Class A common stock commencing January 1, 2022 through and including December 31, 2022.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three and nine months ended September 30, 2021, we repurchased 2,592,885 and 9,738,051 shares of our Class A common stock for $62.4 million and $231.4 million, respectively under this program. The remaining authorization under this program was $225.2 million as of September 30,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critical accounting policies are those that involve a high degree of estimation, judgment and complexity. Our critical accounting policies are those related to (i) contingent liabilities, (ii) revenue recognition and (iii) impairment of assets.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critical accounting policies are described in our Form 10-K under the heading Part II - Item 7. Management’s Discussion and Analysis of Financial Condition and Results of Operations. There have been no significant changes in our critical accounting policies from those presented in our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For a discussion of new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Accompanying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SUPPLY CHAIN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especially considering current worldwide supply chain disruptions.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2021 there have been worldwide interruptions and delays in the supply of components, materials and parts, which may impact our ability to deliver equipment in a timely manner. These interruptions and delays could also increase the cost of our equipment which we may not be able to pass onto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Accompanying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Refer to our Form 10-K, under the heading Part II - Item 7A. Quantitative and Qualitative Disclosures About Market Risk, for a more complete discussion of our risks. As of September 30, 2021, our market risk has not changed materially from those presented in our Form 10-K.</w:t>
      </w:r>
    </w:p>
    <w:p>
      <w:pPr>
        <w:spacing w:after="0" w:line="1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September 30, 2021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13. Contingencies</w:t>
      </w:r>
      <w:r>
        <w:rPr>
          <w:rFonts w:ascii="Arial" w:cs="Arial" w:eastAsia="Arial" w:hAnsi="Arial"/>
          <w:sz w:val="18"/>
          <w:szCs w:val="18"/>
          <w:color w:val="auto"/>
        </w:rPr>
        <w:t xml:space="preserve"> - Litigation in this Form 10-Q.</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2020 includes a detailed discussion of our risk factors.</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through December 31, 2021. During the year ended December 31, 2020, we repurchased 1,905,906 shares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4760" w:type="dxa"/>
            <w:vAlign w:val="bottom"/>
            <w:vMerge w:val="continue"/>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(or Unit)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5"/>
                <w:szCs w:val="15"/>
                <w:color w:val="auto"/>
              </w:rPr>
            </w:pPr>
          </w:p>
        </w:tc>
        <w:tc>
          <w:tcPr>
            <w:tcW w:w="1520" w:type="dxa"/>
            <w:vAlign w:val="bottom"/>
          </w:tcPr>
          <w:p>
            <w:pPr>
              <w:jc w:val="center"/>
              <w:ind w:right="38"/>
              <w:spacing w:after="0" w:line="176" w:lineRule="exact"/>
              <w:rPr>
                <w:sz w:val="20"/>
                <w:szCs w:val="20"/>
                <w:color w:val="auto"/>
              </w:rPr>
            </w:pPr>
            <w:r>
              <w:rPr>
                <w:rFonts w:ascii="Arial" w:cs="Arial" w:eastAsia="Arial" w:hAnsi="Arial"/>
                <w:sz w:val="14"/>
                <w:szCs w:val="14"/>
                <w:b w:val="1"/>
                <w:bCs w:val="1"/>
                <w:color w:val="auto"/>
              </w:rPr>
              <w:t xml:space="preserve">Plans or Program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1,084,097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262,778</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August 1 -31</w:t>
            </w:r>
          </w:p>
        </w:tc>
        <w:tc>
          <w:tcPr>
            <w:tcW w:w="1520" w:type="dxa"/>
            <w:vAlign w:val="bottom"/>
          </w:tcPr>
          <w:p>
            <w:pPr>
              <w:jc w:val="right"/>
              <w:spacing w:after="0"/>
              <w:rPr>
                <w:sz w:val="20"/>
                <w:szCs w:val="20"/>
                <w:color w:val="auto"/>
              </w:rPr>
            </w:pPr>
            <w:r>
              <w:rPr>
                <w:rFonts w:ascii="Arial" w:cs="Arial" w:eastAsia="Arial" w:hAnsi="Arial"/>
                <w:sz w:val="18"/>
                <w:szCs w:val="18"/>
                <w:color w:val="auto"/>
              </w:rPr>
              <w:t>995,713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995,713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238,268</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225,159</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2,592,885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2,592,885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225,159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20" w:lineRule="auto"/>
        <w:tabs>
          <w:tab w:leader="none" w:pos="17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On October 29, 2020, our Board of Directors authorized us to repurchase up to $500.0 million of our Class A common stock through and including December 31, 2021. On November 2, 2021, our Board of Directors authorized us to repurchase up to $500.0 million of our Class A common stock commencing January 1, 2022 through and including December 31, 2022. All shares repurchased reflected in the table above have been converted to treasury shares.</w:t>
      </w:r>
    </w:p>
    <w:p>
      <w:pPr>
        <w:spacing w:after="0" w:line="2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9, 2021, we issued a press release (the “Press Release”) announcing our financial results for the quarter ended September 30, 2021. A copy of the Press Release is furnished herewith as Exhibit 99.1. The foregoing information, including the exhibit related thereto, is furnished in response to Item 2.02 of Form 8-K and shall not be deemed “filed” for the purposes of Section 18 of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20" w:type="dxa"/>
            <w:vAlign w:val="bottom"/>
          </w:tcPr>
          <w:p>
            <w:pPr>
              <w:spacing w:after="0"/>
              <w:rPr>
                <w:sz w:val="15"/>
                <w:szCs w:val="15"/>
                <w:color w:val="auto"/>
              </w:rPr>
            </w:pPr>
          </w:p>
        </w:tc>
        <w:tc>
          <w:tcPr>
            <w:tcW w:w="600" w:type="dxa"/>
            <w:vAlign w:val="bottom"/>
            <w:gridSpan w:val="2"/>
          </w:tcPr>
          <w:p>
            <w:pPr>
              <w:spacing w:after="0" w:line="182" w:lineRule="exact"/>
              <w:rPr>
                <w:rFonts w:ascii="Arial" w:cs="Arial" w:eastAsia="Arial" w:hAnsi="Arial"/>
                <w:sz w:val="18"/>
                <w:szCs w:val="18"/>
                <w:color w:val="0000FF"/>
                <w:w w:val="93"/>
              </w:rPr>
            </w:pPr>
            <w:hyperlink w:anchor="page65">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1(H)</w:t>
              </w:r>
            </w:hyperlink>
          </w:p>
        </w:tc>
        <w:tc>
          <w:tcPr>
            <w:tcW w:w="760" w:type="dxa"/>
            <w:vAlign w:val="bottom"/>
            <w:gridSpan w:val="2"/>
          </w:tcPr>
          <w:p>
            <w:pPr>
              <w:spacing w:after="0"/>
              <w:rPr>
                <w:sz w:val="15"/>
                <w:szCs w:val="15"/>
                <w:color w:val="auto"/>
              </w:rPr>
            </w:pPr>
          </w:p>
        </w:tc>
        <w:tc>
          <w:tcPr>
            <w:tcW w:w="980" w:type="dxa"/>
            <w:vAlign w:val="bottom"/>
            <w:gridSpan w:val="2"/>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Section 302</w:t>
              </w:r>
            </w:hyperlink>
          </w:p>
        </w:tc>
        <w:tc>
          <w:tcPr>
            <w:tcW w:w="8880" w:type="dxa"/>
            <w:vAlign w:val="bottom"/>
            <w:gridSpan w:val="5"/>
          </w:tcPr>
          <w:p>
            <w:pPr>
              <w:ind w:left="20"/>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Certification of Chief Executive Officer.</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93"/>
              </w:rPr>
            </w:pPr>
            <w:hyperlink w:anchor="page66">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2(H)</w:t>
              </w:r>
            </w:hyperlink>
          </w:p>
        </w:tc>
        <w:tc>
          <w:tcPr>
            <w:tcW w:w="760" w:type="dxa"/>
            <w:vAlign w:val="bottom"/>
            <w:gridSpan w:val="2"/>
          </w:tcPr>
          <w:p>
            <w:pPr>
              <w:spacing w:after="0"/>
              <w:rPr>
                <w:sz w:val="18"/>
                <w:szCs w:val="18"/>
                <w:color w:val="auto"/>
              </w:rPr>
            </w:pPr>
          </w:p>
        </w:tc>
        <w:tc>
          <w:tcPr>
            <w:tcW w:w="980" w:type="dxa"/>
            <w:vAlign w:val="bottom"/>
            <w:gridSpan w:val="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Section 302</w:t>
              </w:r>
            </w:hyperlink>
          </w:p>
        </w:tc>
        <w:tc>
          <w:tcPr>
            <w:tcW w:w="8880" w:type="dxa"/>
            <w:vAlign w:val="bottom"/>
            <w:gridSpan w:val="5"/>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Financial Officer.</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760" w:type="dxa"/>
            <w:vAlign w:val="bottom"/>
            <w:gridSpan w:val="2"/>
          </w:tcPr>
          <w:p>
            <w:pPr>
              <w:spacing w:after="0"/>
              <w:rPr>
                <w:sz w:val="18"/>
                <w:szCs w:val="18"/>
                <w:color w:val="auto"/>
              </w:rPr>
            </w:pPr>
          </w:p>
        </w:tc>
        <w:tc>
          <w:tcPr>
            <w:tcW w:w="98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Section 906</w:t>
              </w:r>
            </w:hyperlink>
          </w:p>
        </w:tc>
        <w:tc>
          <w:tcPr>
            <w:tcW w:w="8880" w:type="dxa"/>
            <w:vAlign w:val="bottom"/>
            <w:gridSpan w:val="5"/>
          </w:tcPr>
          <w:p>
            <w:pPr>
              <w:ind w:left="20"/>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Certifications of Chief Executive Officer and Chief Financial Officer.</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4"/>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9860" w:type="dxa"/>
            <w:vAlign w:val="bottom"/>
            <w:gridSpan w:val="7"/>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 xml:space="preserve">Press release dated November </w:t>
              </w:r>
            </w:hyperlink>
            <w:r>
              <w:rPr>
                <w:rFonts w:ascii="Arial" w:cs="Arial" w:eastAsia="Arial" w:hAnsi="Arial"/>
                <w:sz w:val="18"/>
                <w:szCs w:val="18"/>
                <w:color w:val="0000FF"/>
              </w:rPr>
              <w:t xml:space="preserve">9, </w:t>
            </w:r>
            <w:hyperlink w:anchor="page68">
              <w:r>
                <w:rPr>
                  <w:rFonts w:ascii="Arial" w:cs="Arial" w:eastAsia="Arial" w:hAnsi="Arial"/>
                  <w:sz w:val="18"/>
                  <w:szCs w:val="18"/>
                  <w:color w:val="0000FF"/>
                </w:rPr>
                <w:t>2021 issued by EchoStar Corporation regarding financial results for the period ended</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September 30, 2021.</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69"/>
        </w:trPr>
        <w:tc>
          <w:tcPr>
            <w:tcW w:w="3380" w:type="dxa"/>
            <w:vAlign w:val="bottom"/>
          </w:tcPr>
          <w:p>
            <w:pPr>
              <w:spacing w:after="0"/>
              <w:rPr>
                <w:sz w:val="20"/>
                <w:szCs w:val="20"/>
                <w:color w:val="auto"/>
              </w:rPr>
            </w:pPr>
            <w:r>
              <w:rPr>
                <w:rFonts w:ascii="Arial" w:cs="Arial" w:eastAsia="Arial" w:hAnsi="Arial"/>
                <w:sz w:val="18"/>
                <w:szCs w:val="18"/>
                <w:color w:val="auto"/>
              </w:rPr>
              <w:t>Date: November 9, 2021</w:t>
            </w:r>
          </w:p>
        </w:tc>
        <w:tc>
          <w:tcPr>
            <w:tcW w:w="2060" w:type="dxa"/>
            <w:vAlign w:val="bottom"/>
          </w:tcPr>
          <w:p>
            <w:pPr>
              <w:ind w:left="142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3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3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69"/>
        </w:trPr>
        <w:tc>
          <w:tcPr>
            <w:tcW w:w="3380" w:type="dxa"/>
            <w:vAlign w:val="bottom"/>
          </w:tcPr>
          <w:p>
            <w:pPr>
              <w:spacing w:after="0"/>
              <w:rPr>
                <w:sz w:val="20"/>
                <w:szCs w:val="20"/>
                <w:color w:val="auto"/>
              </w:rPr>
            </w:pPr>
            <w:r>
              <w:rPr>
                <w:rFonts w:ascii="Arial" w:cs="Arial" w:eastAsia="Arial" w:hAnsi="Arial"/>
                <w:sz w:val="18"/>
                <w:szCs w:val="18"/>
                <w:color w:val="auto"/>
              </w:rPr>
              <w:t>Date: November 9, 2021</w:t>
            </w:r>
          </w:p>
        </w:tc>
        <w:tc>
          <w:tcPr>
            <w:tcW w:w="2060" w:type="dxa"/>
            <w:vAlign w:val="bottom"/>
          </w:tcPr>
          <w:p>
            <w:pPr>
              <w:ind w:left="142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23"/>
        </w:trPr>
        <w:tc>
          <w:tcPr>
            <w:tcW w:w="3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3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1"/>
        </w:trPr>
        <w:tc>
          <w:tcPr>
            <w:tcW w:w="3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5"/>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51"/>
        </w:trPr>
        <w:tc>
          <w:tcPr>
            <w:tcW w:w="3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40"/>
          </w:cols>
          <w:pgMar w:left="320" w:top="1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2021</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8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8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2021</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David J. Rayner</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86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29"/>
        </w:trPr>
        <w:tc>
          <w:tcPr>
            <w:tcW w:w="8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for the quarter ended September 30, 2021 on Form 10-Q (the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4" w:lineRule="exact"/>
        <w:rPr>
          <w:sz w:val="20"/>
          <w:szCs w:val="20"/>
          <w:color w:val="auto"/>
        </w:rPr>
      </w:pPr>
    </w:p>
    <w:p>
      <w:pPr>
        <w:ind w:left="660" w:hanging="328"/>
        <w:spacing w:after="0" w:line="261" w:lineRule="auto"/>
        <w:tabs>
          <w:tab w:leader="none" w:pos="7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2021</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Michael T. Dugan</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9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4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w:t>
            </w:r>
          </w:p>
        </w:tc>
      </w:tr>
      <w:tr>
        <w:trPr>
          <w:trHeight w:val="212"/>
        </w:trPr>
        <w:tc>
          <w:tcPr>
            <w:tcW w:w="98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Operating Officer and Treasurer</w:t>
            </w:r>
          </w:p>
        </w:tc>
      </w:tr>
      <w:tr>
        <w:trPr>
          <w:trHeight w:val="235"/>
        </w:trPr>
        <w:tc>
          <w:tcPr>
            <w:tcW w:w="9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Nine Months Ended September 30, 2021</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November 9, 2021—</w:t>
      </w:r>
      <w:r>
        <w:rPr>
          <w:rFonts w:ascii="Arial" w:cs="Arial" w:eastAsia="Arial" w:hAnsi="Arial"/>
          <w:sz w:val="18"/>
          <w:szCs w:val="18"/>
          <w:color w:val="auto"/>
        </w:rPr>
        <w:t>EchoStar Corporation (NASDAQ: SATS) today announced its financial results 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Financial Highlights:</w:t>
      </w:r>
    </w:p>
    <w:p>
      <w:pPr>
        <w:spacing w:after="0" w:line="27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revenue of $504.7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of $30.2 million, consolidated net income attributable to EchoStar common stock of $33.4 million, and basic and diluted earnings per share of $0.38.</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Adjusted EBITDA of $187.0 million (see discussion and the reconciliation of GAAP to this non-GAAP measure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Financial Highlights:</w:t>
      </w:r>
    </w:p>
    <w:p>
      <w:pPr>
        <w:spacing w:after="0" w:line="27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revenue of $1,487.1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of $142.8 million, consolidated net income attributable to EchoStar common stock of $149.2 million, and basic and diluted earnings per share of $1.64.</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Adjusted EBITDA of $559.4 million (see discussion and the reconciliation of GAAP to this non-GAPP measure below).</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am pleased with our financial performance in the third quarter of 2021,” commented Michael Dugan, CEO and President of EchoStar. “We grew revenue, net income, and Adjusted EBITDA from the same period last year by managing all areas of the business prudently. Laying a strategic foundation for the multi-orbit future, we announced agreements with OneWeb to provide satellite connectivity solutions in the US and India and fulfilled the remaining ITU requirements to bring our Sirion-1 filing into use which is a key milestone in the development of our global S-band capabilities.”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 Additional Information:</w:t>
      </w:r>
    </w:p>
    <w:p>
      <w:pPr>
        <w:spacing w:after="0" w:line="274" w:lineRule="exact"/>
        <w:rPr>
          <w:sz w:val="20"/>
          <w:szCs w:val="20"/>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revenue increased 6.6% or $31.2 million year over year primarily driven by higher equipment sales of $25.0 million to our domestic and international enterprise customers.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increased 12.2% or $20.3 million year over year.</w:t>
      </w:r>
    </w:p>
    <w:p>
      <w:pPr>
        <w:spacing w:after="0" w:line="130" w:lineRule="exact"/>
        <w:rPr>
          <w:rFonts w:ascii="Arial" w:cs="Arial" w:eastAsia="Arial" w:hAnsi="Arial"/>
          <w:sz w:val="18"/>
          <w:szCs w:val="18"/>
          <w:color w:val="auto"/>
        </w:rPr>
      </w:pPr>
    </w:p>
    <w:p>
      <w:pPr>
        <w:ind w:left="1300" w:hanging="320"/>
        <w:spacing w:after="0" w:line="261" w:lineRule="auto"/>
        <w:tabs>
          <w:tab w:leader="none" w:pos="13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Hughes segment Adjusted EBITDA increased $16.5 million year over year. The increase was driven primarily by higher revenue and lower cost of services provided to our consumer customers.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ESS segment Adjusted EBITDA was flat year over year.</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Corporate and Other segment Adjusted EBITDA increased $3.7 million year over year.</w:t>
      </w:r>
    </w:p>
    <w:p>
      <w:pPr>
        <w:spacing w:after="0" w:line="1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increased $6.9 million year over year. The increase was primarily due to higher operating income of $25.6 million and lower net interest expense of $20.0 million, partially offset by higher income tax expense, net, of $16.8 million, unfavorable changes in foreign currency exchange rates of $13.3 million, and lower gains on investments, net, of $11.3 million.</w:t>
      </w:r>
    </w:p>
    <w:p>
      <w:pPr>
        <w:spacing w:after="0" w:line="10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Hughes broadband subscribers were approximately 1,510,000, declining 32,000 from June 30, 2021. Subscribers in the US decreased by 24,000 as compared to June 30, 2021 to approximately 1,120,000. In the same period, subscribers in Latin America decreased by 8,000 to approximately 390,000. Similar to the US, our Latin American subscriber base has become capacity constrained in certain areas. While the balancing of total subscribers relative to capacity utilization resulted in lower subscribers, average revenue per user increased in both regions from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68" w:name="page69"/>
    <w:bookmarkEnd w:id="68"/>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three months ended September 30, 2021, approximately 66% of Hughes segment revenue was attributable to our consumer customers with approximately 34% attributable to our enterprise customers.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$1.6 billion as of September 30, 2021.</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three months ended September 30, 2021, we repurchased 2,592,885 shares of our Class A common stock in open market trades.</w:t>
      </w:r>
    </w:p>
    <w:p>
      <w:pPr>
        <w:spacing w:after="0" w:line="200" w:lineRule="exact"/>
        <w:rPr>
          <w:sz w:val="20"/>
          <w:szCs w:val="20"/>
          <w:color w:val="auto"/>
        </w:rPr>
      </w:pPr>
    </w:p>
    <w:p>
      <w:pPr>
        <w:spacing w:after="0" w:line="26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for the three and nine months ended September 30, 2021 and 2020 (amounts in thousands) (all US GAAP amounts reference results from operations):</w:t>
      </w:r>
    </w:p>
    <w:tbl>
      <w:tblPr>
        <w:tblLayout w:type="fixed"/>
        <w:tblInd w:w="2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center"/>
              <w:ind w:right="300"/>
              <w:spacing w:after="0" w:line="185" w:lineRule="exact"/>
              <w:rPr>
                <w:sz w:val="20"/>
                <w:szCs w:val="20"/>
                <w:color w:val="auto"/>
              </w:rPr>
            </w:pPr>
            <w:r>
              <w:rPr>
                <w:rFonts w:ascii="Arial" w:cs="Arial" w:eastAsia="Arial" w:hAnsi="Arial"/>
                <w:sz w:val="18"/>
                <w:szCs w:val="18"/>
                <w:b w:val="1"/>
                <w:bCs w:val="1"/>
                <w:color w:val="auto"/>
                <w:w w:val="99"/>
              </w:rPr>
              <w:t>For the three months ended</w:t>
            </w:r>
          </w:p>
        </w:tc>
        <w:tc>
          <w:tcPr>
            <w:tcW w:w="200" w:type="dxa"/>
            <w:vAlign w:val="bottom"/>
          </w:tcPr>
          <w:p>
            <w:pPr>
              <w:spacing w:after="0"/>
              <w:rPr>
                <w:sz w:val="16"/>
                <w:szCs w:val="16"/>
                <w:color w:val="auto"/>
              </w:rPr>
            </w:pPr>
          </w:p>
        </w:tc>
        <w:tc>
          <w:tcPr>
            <w:tcW w:w="2680" w:type="dxa"/>
            <w:vAlign w:val="bottom"/>
            <w:gridSpan w:val="4"/>
          </w:tcPr>
          <w:p>
            <w:pPr>
              <w:jc w:val="right"/>
              <w:ind w:right="190"/>
              <w:spacing w:after="0" w:line="185" w:lineRule="exact"/>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19"/>
                <w:szCs w:val="19"/>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80"/>
        </w:trPr>
        <w:tc>
          <w:tcPr>
            <w:tcW w:w="53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200"/>
              <w:spacing w:after="0"/>
              <w:rPr>
                <w:sz w:val="20"/>
                <w:szCs w:val="20"/>
                <w:color w:val="auto"/>
              </w:rPr>
            </w:pPr>
            <w:r>
              <w:rPr>
                <w:rFonts w:ascii="Arial" w:cs="Arial" w:eastAsia="Arial" w:hAnsi="Arial"/>
                <w:sz w:val="18"/>
                <w:szCs w:val="18"/>
                <w:color w:val="auto"/>
              </w:rPr>
              <w:t>Hughes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496,937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466,762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1,465,073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1,378,416</w:t>
            </w:r>
          </w:p>
        </w:tc>
        <w:tc>
          <w:tcPr>
            <w:tcW w:w="0" w:type="dxa"/>
            <w:vAlign w:val="bottom"/>
          </w:tcPr>
          <w:p>
            <w:pPr>
              <w:spacing w:after="0"/>
              <w:rPr>
                <w:sz w:val="1"/>
                <w:szCs w:val="1"/>
                <w:color w:val="auto"/>
              </w:rPr>
            </w:pPr>
          </w:p>
        </w:tc>
      </w:tr>
      <w:tr>
        <w:trPr>
          <w:trHeight w:val="270"/>
        </w:trPr>
        <w:tc>
          <w:tcPr>
            <w:tcW w:w="534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13,233</w:t>
            </w:r>
          </w:p>
        </w:tc>
        <w:tc>
          <w:tcPr>
            <w:tcW w:w="0" w:type="dxa"/>
            <w:vAlign w:val="bottom"/>
          </w:tcPr>
          <w:p>
            <w:pPr>
              <w:spacing w:after="0"/>
              <w:rPr>
                <w:sz w:val="1"/>
                <w:szCs w:val="1"/>
                <w:color w:val="auto"/>
              </w:rPr>
            </w:pPr>
          </w:p>
        </w:tc>
      </w:tr>
      <w:tr>
        <w:trPr>
          <w:trHeight w:val="270"/>
        </w:trPr>
        <w:tc>
          <w:tcPr>
            <w:tcW w:w="534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23"/>
        </w:trPr>
        <w:tc>
          <w:tcPr>
            <w:tcW w:w="53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504,660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473,502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1,487,076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1,398,634</w:t>
            </w: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200"/>
              <w:spacing w:after="0"/>
              <w:rPr>
                <w:sz w:val="20"/>
                <w:szCs w:val="20"/>
                <w:color w:val="auto"/>
              </w:rPr>
            </w:pPr>
            <w:r>
              <w:rPr>
                <w:rFonts w:ascii="Arial" w:cs="Arial" w:eastAsia="Arial" w:hAnsi="Arial"/>
                <w:sz w:val="18"/>
                <w:szCs w:val="18"/>
                <w:color w:val="auto"/>
              </w:rPr>
              <w:t>Hughes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202,997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186,458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612,251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534,955</w:t>
            </w:r>
          </w:p>
        </w:tc>
        <w:tc>
          <w:tcPr>
            <w:tcW w:w="0" w:type="dxa"/>
            <w:vAlign w:val="bottom"/>
          </w:tcPr>
          <w:p>
            <w:pPr>
              <w:spacing w:after="0"/>
              <w:rPr>
                <w:sz w:val="1"/>
                <w:szCs w:val="1"/>
                <w:color w:val="auto"/>
              </w:rPr>
            </w:pPr>
          </w:p>
        </w:tc>
      </w:tr>
      <w:tr>
        <w:trPr>
          <w:trHeight w:val="270"/>
        </w:trPr>
        <w:tc>
          <w:tcPr>
            <w:tcW w:w="534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(19,974)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(63,948)</w:t>
            </w:r>
          </w:p>
        </w:tc>
        <w:tc>
          <w:tcPr>
            <w:tcW w:w="0" w:type="dxa"/>
            <w:vAlign w:val="bottom"/>
          </w:tcPr>
          <w:p>
            <w:pPr>
              <w:spacing w:after="0"/>
              <w:rPr>
                <w:sz w:val="1"/>
                <w:szCs w:val="1"/>
                <w:color w:val="auto"/>
              </w:rPr>
            </w:pPr>
          </w:p>
        </w:tc>
      </w:tr>
      <w:tr>
        <w:trPr>
          <w:trHeight w:val="270"/>
        </w:trPr>
        <w:tc>
          <w:tcPr>
            <w:tcW w:w="5340" w:type="dxa"/>
            <w:vAlign w:val="bottom"/>
          </w:tcPr>
          <w:p>
            <w:pPr>
              <w:ind w:left="460"/>
              <w:spacing w:after="0"/>
              <w:rPr>
                <w:sz w:val="20"/>
                <w:szCs w:val="20"/>
                <w:color w:val="auto"/>
              </w:rPr>
            </w:pPr>
            <w:r>
              <w:rPr>
                <w:rFonts w:ascii="Arial" w:cs="Arial" w:eastAsia="Arial" w:hAnsi="Arial"/>
                <w:sz w:val="18"/>
                <w:szCs w:val="18"/>
                <w:color w:val="auto"/>
              </w:rPr>
              <w:t>Equity in earnings (losses) of unconsolidated affiliates, net</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50"/>
        </w:trPr>
        <w:tc>
          <w:tcPr>
            <w:tcW w:w="534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(18,344)</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(64,608)</w:t>
            </w:r>
          </w:p>
        </w:tc>
        <w:tc>
          <w:tcPr>
            <w:tcW w:w="0" w:type="dxa"/>
            <w:vAlign w:val="bottom"/>
          </w:tcPr>
          <w:p>
            <w:pPr>
              <w:spacing w:after="0"/>
              <w:rPr>
                <w:sz w:val="1"/>
                <w:szCs w:val="1"/>
                <w:color w:val="auto"/>
              </w:rPr>
            </w:pPr>
          </w:p>
        </w:tc>
      </w:tr>
      <w:tr>
        <w:trPr>
          <w:trHeight w:val="223"/>
        </w:trPr>
        <w:tc>
          <w:tcPr>
            <w:tcW w:w="534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166,656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559,407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476,194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142,804</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(49,307)</w:t>
            </w: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352,003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295,041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0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6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6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480"/>
        </w:trPr>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30,217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23,273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142,804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(49,307)</w:t>
            </w:r>
          </w:p>
        </w:tc>
      </w:tr>
      <w:tr>
        <w:trPr>
          <w:trHeight w:val="229"/>
        </w:trPr>
        <w:tc>
          <w:tcPr>
            <w:tcW w:w="540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(33,707)</w:t>
            </w:r>
          </w:p>
        </w:tc>
      </w:tr>
      <w:tr>
        <w:trPr>
          <w:trHeight w:val="229"/>
        </w:trPr>
        <w:tc>
          <w:tcPr>
            <w:tcW w:w="540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112,458</w:t>
            </w:r>
          </w:p>
        </w:tc>
      </w:tr>
      <w:tr>
        <w:trPr>
          <w:trHeight w:val="230"/>
        </w:trPr>
        <w:tc>
          <w:tcPr>
            <w:tcW w:w="540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6,309</w:t>
            </w:r>
          </w:p>
        </w:tc>
      </w:tr>
      <w:tr>
        <w:trPr>
          <w:trHeight w:val="229"/>
        </w:trPr>
        <w:tc>
          <w:tcPr>
            <w:tcW w:w="5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392,077</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w:t>
            </w:r>
          </w:p>
        </w:tc>
      </w:tr>
      <w:tr>
        <w:trPr>
          <w:trHeight w:val="250"/>
        </w:trPr>
        <w:tc>
          <w:tcPr>
            <w:tcW w:w="5400" w:type="dxa"/>
            <w:vAlign w:val="bottom"/>
          </w:tcPr>
          <w:p>
            <w:pPr>
              <w:ind w:left="46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184,341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644,068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436,870</w:t>
            </w:r>
          </w:p>
        </w:tc>
      </w:tr>
      <w:tr>
        <w:trPr>
          <w:trHeight w:val="270"/>
        </w:trPr>
        <w:tc>
          <w:tcPr>
            <w:tcW w:w="540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(112,981)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37,764</w:t>
            </w:r>
          </w:p>
        </w:tc>
      </w:tr>
      <w:tr>
        <w:trPr>
          <w:trHeight w:val="230"/>
        </w:trPr>
        <w:tc>
          <w:tcPr>
            <w:tcW w:w="5400" w:type="dxa"/>
            <w:vAlign w:val="bottom"/>
          </w:tcPr>
          <w:p>
            <w:pPr>
              <w:ind w:left="46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460"/>
              <w:spacing w:after="0"/>
              <w:rPr>
                <w:sz w:val="20"/>
                <w:szCs w:val="20"/>
                <w:color w:val="auto"/>
              </w:rPr>
            </w:pPr>
            <w:r>
              <w:rPr>
                <w:rFonts w:ascii="Arial" w:cs="Arial" w:eastAsia="Arial" w:hAnsi="Arial"/>
                <w:sz w:val="18"/>
                <w:szCs w:val="18"/>
                <w:color w:val="auto"/>
              </w:rPr>
              <w:t>Litigation Expense</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0" w:type="dxa"/>
            <w:vAlign w:val="bottom"/>
          </w:tcPr>
          <w:p>
            <w:pPr>
              <w:ind w:left="460"/>
              <w:spacing w:after="0"/>
              <w:rPr>
                <w:sz w:val="20"/>
                <w:szCs w:val="20"/>
                <w:color w:val="auto"/>
              </w:rPr>
            </w:pPr>
            <w:r>
              <w:rPr>
                <w:rFonts w:ascii="Arial" w:cs="Arial" w:eastAsia="Arial" w:hAnsi="Arial"/>
                <w:sz w:val="18"/>
                <w:szCs w:val="18"/>
                <w:color w:val="auto"/>
              </w:rPr>
              <w:t>License fee dispute - India, net of non-controlling interests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30"/>
        </w:trPr>
        <w:tc>
          <w:tcPr>
            <w:tcW w:w="5400" w:type="dxa"/>
            <w:vAlign w:val="bottom"/>
          </w:tcPr>
          <w:p>
            <w:pPr>
              <w:ind w:left="460"/>
              <w:spacing w:after="0"/>
              <w:rPr>
                <w:sz w:val="20"/>
                <w:szCs w:val="20"/>
                <w:color w:val="auto"/>
              </w:rPr>
            </w:pPr>
            <w:r>
              <w:rPr>
                <w:rFonts w:ascii="Arial" w:cs="Arial" w:eastAsia="Arial" w:hAnsi="Arial"/>
                <w:sz w:val="18"/>
                <w:szCs w:val="18"/>
                <w:color w:val="auto"/>
              </w:rPr>
              <w:t>Loss on Debt Repurchase</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r>
      <w:tr>
        <w:trPr>
          <w:trHeight w:val="223"/>
        </w:trPr>
        <w:tc>
          <w:tcPr>
            <w:tcW w:w="540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476,194</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September 30, 2021 and 2020 are attached to this press release. Detailed financial data and other information are available in EchoStar’s Quarterly Report on Form 10-Q for the period ended September 30, 2021 filed today with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will host a conference call to discuss its earnings on Tuesday, November 9, 2021 at 11:00 a.m. Eastern Time. The conference call will be broadcast live in listen-only mode on EchoStar’s investor relations website at ir.echostar.com. To ask a question, the dial in numbers are (833) 562-0124 (toll-free) and (661) 567-1102 (international), Conference ID 1061358.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0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2020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84" w:right="339" w:bottom="1440" w:gutter="0" w:footer="0" w:header="0"/>
        </w:sectPr>
      </w:pP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106"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203" w:lineRule="auto"/>
        <w:rPr>
          <w:sz w:val="20"/>
          <w:szCs w:val="20"/>
          <w:color w:val="auto"/>
        </w:rPr>
      </w:pPr>
      <w:r>
        <w:rPr>
          <w:rFonts w:ascii="Arial" w:cs="Arial" w:eastAsia="Arial" w:hAnsi="Arial"/>
          <w:sz w:val="18"/>
          <w:szCs w:val="18"/>
          <w:color w:val="auto"/>
        </w:rPr>
        <w:t>Phone: +1 303-728-5179</w:t>
      </w: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84" w:right="339" w:bottom="1440" w:gutter="0" w:footer="0" w:header="0"/>
          <w:type w:val="continuous"/>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2"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As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178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429,656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896,005</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1,127,048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1,638,271</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183,989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1,954,448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2,908,086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2,374,080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2,390,313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128,303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511,266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511,597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471,010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478,762</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351,884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284,937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364,553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352,921</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assets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4,227,910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0" w:type="dxa"/>
            <w:vAlign w:val="bottom"/>
          </w:tcPr>
          <w:p>
            <w:pPr>
              <w:spacing w:after="0"/>
              <w:rPr>
                <w:sz w:val="1"/>
                <w:szCs w:val="1"/>
                <w:color w:val="auto"/>
              </w:rPr>
            </w:pPr>
          </w:p>
        </w:tc>
      </w:tr>
      <w:tr>
        <w:trPr>
          <w:trHeight w:val="209"/>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6,182,358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0" w:type="dxa"/>
            <w:vAlign w:val="bottom"/>
          </w:tcPr>
          <w:p>
            <w:pPr>
              <w:spacing w:after="0"/>
              <w:rPr>
                <w:sz w:val="1"/>
                <w:szCs w:val="1"/>
                <w:color w:val="auto"/>
              </w:rPr>
            </w:pPr>
          </w:p>
        </w:tc>
      </w:tr>
      <w:tr>
        <w:trPr>
          <w:trHeight w:val="26"/>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7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111,047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122,366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4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898,237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104,569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487,297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1,425,171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1,495,805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1,495,256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359,896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114,886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135,737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2,166,616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2,040,931</w:t>
            </w:r>
          </w:p>
        </w:tc>
        <w:tc>
          <w:tcPr>
            <w:tcW w:w="0" w:type="dxa"/>
            <w:vAlign w:val="bottom"/>
          </w:tcPr>
          <w:p>
            <w:pPr>
              <w:spacing w:after="0"/>
              <w:rPr>
                <w:sz w:val="1"/>
                <w:szCs w:val="1"/>
                <w:color w:val="auto"/>
              </w:rPr>
            </w:pPr>
          </w:p>
        </w:tc>
      </w:tr>
      <w:tr>
        <w:trPr>
          <w:trHeight w:val="213"/>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2,653,913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3,466,102</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684"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3"/>
        </w:trPr>
        <w:tc>
          <w:tcPr>
            <w:tcW w:w="8200" w:type="dxa"/>
            <w:vAlign w:val="bottom"/>
          </w:tcPr>
          <w:p>
            <w:pPr>
              <w:ind w:left="20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1"/>
        </w:trPr>
        <w:tc>
          <w:tcPr>
            <w:tcW w:w="8200" w:type="dxa"/>
            <w:vAlign w:val="bottom"/>
          </w:tcPr>
          <w:p>
            <w:pPr>
              <w:ind w:left="200"/>
              <w:spacing w:after="0"/>
              <w:rPr>
                <w:sz w:val="20"/>
                <w:szCs w:val="20"/>
                <w:color w:val="auto"/>
              </w:rPr>
            </w:pPr>
            <w:r>
              <w:rPr>
                <w:rFonts w:ascii="Arial" w:cs="Arial" w:eastAsia="Arial" w:hAnsi="Arial"/>
                <w:sz w:val="16"/>
                <w:szCs w:val="16"/>
                <w:color w:val="auto"/>
              </w:rPr>
              <w:t>September 30,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20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77"/>
        </w:trPr>
        <w:tc>
          <w:tcPr>
            <w:tcW w:w="8200" w:type="dxa"/>
            <w:vAlign w:val="bottom"/>
          </w:tcPr>
          <w:p>
            <w:pPr>
              <w:ind w:left="460"/>
              <w:spacing w:after="0" w:line="178" w:lineRule="exact"/>
              <w:rPr>
                <w:sz w:val="20"/>
                <w:szCs w:val="20"/>
                <w:color w:val="auto"/>
              </w:rPr>
            </w:pPr>
            <w:r>
              <w:rPr>
                <w:rFonts w:ascii="Arial" w:cs="Arial" w:eastAsia="Arial" w:hAnsi="Arial"/>
                <w:sz w:val="16"/>
                <w:szCs w:val="16"/>
                <w:color w:val="auto"/>
              </w:rPr>
              <w:t>Class A common stock, $0.001 par value, 1,600,000,000 shares authorized, 57,939,820 shares issued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8200" w:type="dxa"/>
            <w:vAlign w:val="bottom"/>
          </w:tcPr>
          <w:p>
            <w:pPr>
              <w:ind w:left="460"/>
              <w:spacing w:after="0" w:line="162" w:lineRule="exact"/>
              <w:rPr>
                <w:sz w:val="20"/>
                <w:szCs w:val="20"/>
                <w:color w:val="auto"/>
              </w:rPr>
            </w:pPr>
            <w:r>
              <w:rPr>
                <w:rFonts w:ascii="Arial" w:cs="Arial" w:eastAsia="Arial" w:hAnsi="Arial"/>
                <w:sz w:val="16"/>
                <w:szCs w:val="16"/>
                <w:color w:val="auto"/>
              </w:rPr>
              <w:t>and 39,810,942 shares outstanding at September 30, 2021 and 57,254,201 shares issued and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48,863,374 shares outstanding at December 31, 2020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issued and outstanding at both September 30, 2021 and December 31, 2020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outstanding at both September 30,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both September 30,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3,341,751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3,321,426</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(205,470)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(187,876)</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732,814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583,591</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(406,295)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(174,912)</w:t>
            </w:r>
          </w:p>
        </w:tc>
      </w:tr>
      <w:tr>
        <w:trPr>
          <w:trHeight w:val="210"/>
        </w:trPr>
        <w:tc>
          <w:tcPr>
            <w:tcW w:w="82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3,462,906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3,542,334</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3,528,445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r>
      <w:tr>
        <w:trPr>
          <w:trHeight w:val="21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6,182,358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r>
      <w:tr>
        <w:trPr>
          <w:trHeight w:val="23"/>
        </w:trPr>
        <w:tc>
          <w:tcPr>
            <w:tcW w:w="8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84"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For the three months ended</w:t>
            </w:r>
          </w:p>
        </w:tc>
        <w:tc>
          <w:tcPr>
            <w:tcW w:w="200" w:type="dxa"/>
            <w:vAlign w:val="bottom"/>
          </w:tcPr>
          <w:p>
            <w:pPr>
              <w:spacing w:after="0"/>
              <w:rPr>
                <w:sz w:val="17"/>
                <w:szCs w:val="17"/>
                <w:color w:val="auto"/>
              </w:rPr>
            </w:pPr>
          </w:p>
        </w:tc>
        <w:tc>
          <w:tcPr>
            <w:tcW w:w="2680" w:type="dxa"/>
            <w:vAlign w:val="bottom"/>
            <w:gridSpan w:val="4"/>
          </w:tcPr>
          <w:p>
            <w:pPr>
              <w:jc w:val="right"/>
              <w:ind w:right="199"/>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19"/>
                <w:szCs w:val="19"/>
                <w:color w:val="auto"/>
              </w:rPr>
            </w:pPr>
          </w:p>
        </w:tc>
        <w:tc>
          <w:tcPr>
            <w:tcW w:w="2680" w:type="dxa"/>
            <w:vAlign w:val="bottom"/>
            <w:gridSpan w:val="4"/>
          </w:tcPr>
          <w:p>
            <w:pPr>
              <w:jc w:val="right"/>
              <w:ind w:right="739"/>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60"/>
        </w:trPr>
        <w:tc>
          <w:tcPr>
            <w:tcW w:w="5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432,739</w:t>
            </w: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426,532</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1,294,355</w:t>
            </w: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1,251,932</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46,970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146,702</w:t>
            </w:r>
          </w:p>
        </w:tc>
        <w:tc>
          <w:tcPr>
            <w:tcW w:w="0" w:type="dxa"/>
            <w:vAlign w:val="bottom"/>
          </w:tcPr>
          <w:p>
            <w:pPr>
              <w:spacing w:after="0"/>
              <w:rPr>
                <w:sz w:val="1"/>
                <w:szCs w:val="1"/>
                <w:color w:val="auto"/>
              </w:rPr>
            </w:pPr>
          </w:p>
        </w:tc>
      </w:tr>
      <w:tr>
        <w:trPr>
          <w:trHeight w:val="210"/>
        </w:trPr>
        <w:tc>
          <w:tcPr>
            <w:tcW w:w="534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504,660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473,502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1,487,076</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138,179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146,577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410,515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432,848</w:t>
            </w:r>
          </w:p>
        </w:tc>
        <w:tc>
          <w:tcPr>
            <w:tcW w:w="0" w:type="dxa"/>
            <w:vAlign w:val="bottom"/>
          </w:tcPr>
          <w:p>
            <w:pPr>
              <w:spacing w:after="0"/>
              <w:rPr>
                <w:sz w:val="1"/>
                <w:szCs w:val="1"/>
                <w:color w:val="auto"/>
              </w:rPr>
            </w:pPr>
          </w:p>
        </w:tc>
      </w:tr>
      <w:tr>
        <w:trPr>
          <w:trHeight w:val="183"/>
        </w:trPr>
        <w:tc>
          <w:tcPr>
            <w:tcW w:w="534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37,079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161,982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115,529</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112,986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341,143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354,437</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21,378</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129,822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368,864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392,077</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340" w:type="dxa"/>
            <w:vAlign w:val="bottom"/>
          </w:tcPr>
          <w:p>
            <w:pPr>
              <w:ind w:left="46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442,063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436,512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1,305,709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1,316,269</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62,597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82,365</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33,707</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(79,848)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(112,458)</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112,981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(37,764)</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(5,866)</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9"/>
        </w:trPr>
        <w:tc>
          <w:tcPr>
            <w:tcW w:w="5340" w:type="dxa"/>
            <w:vAlign w:val="bottom"/>
          </w:tcPr>
          <w:p>
            <w:pPr>
              <w:ind w:left="46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(125,363)</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205,851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(42,998)</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(49,307)</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9,040</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149,223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(40,267)</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5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340" w:type="dxa"/>
            <w:vAlign w:val="bottom"/>
          </w:tcPr>
          <w:p>
            <w:pPr>
              <w:ind w:left="200"/>
              <w:spacing w:after="0"/>
              <w:rPr>
                <w:sz w:val="20"/>
                <w:szCs w:val="20"/>
                <w:color w:val="auto"/>
              </w:rPr>
            </w:pPr>
            <w:r>
              <w:rPr>
                <w:rFonts w:ascii="Arial" w:cs="Arial" w:eastAsia="Arial" w:hAnsi="Arial"/>
                <w:sz w:val="16"/>
                <w:szCs w:val="16"/>
                <w:color w:val="auto"/>
              </w:rPr>
              <w:t>Basic and diluted earnings (losses)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84"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11"/>
        </w:trPr>
        <w:tc>
          <w:tcPr>
            <w:tcW w:w="7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394"/>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142,804</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(49,307)</w:t>
            </w:r>
          </w:p>
        </w:tc>
      </w:tr>
      <w:tr>
        <w:trPr>
          <w:trHeight w:val="168"/>
        </w:trPr>
        <w:tc>
          <w:tcPr>
            <w:tcW w:w="7760" w:type="dxa"/>
            <w:vAlign w:val="bottom"/>
          </w:tcPr>
          <w:p>
            <w:pPr>
              <w:ind w:left="200"/>
              <w:spacing w:after="0" w:line="168"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77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368,864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392,077</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Impairment of long-lived assets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Losses (gains) on investments,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(112,981)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37,764</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5,866</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Deferred tax provision (benefit),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45,950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4,474</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6,887</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3,212</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Other,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16,691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(9,145)</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b w:val="1"/>
                <w:bCs w:val="1"/>
                <w:color w:val="auto"/>
              </w:rPr>
              <w:t>Changes in assets and liabilities, net: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(20,894)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(9,157)</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Other current assets, net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(21,090)</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Trade accounts payable</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(15,386)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(17,824)</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Contract liabilities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(11,438)</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(103,457)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29,155</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63,055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427,862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365,402</w:t>
            </w:r>
          </w:p>
        </w:tc>
      </w:tr>
      <w:tr>
        <w:trPr>
          <w:trHeight w:val="452"/>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(1,452,982)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(2,234,671)</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2,099,815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1,231,790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(352,003)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(295,041)</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(25,634)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(27,824)</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230,147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(1,331,246)</w:t>
            </w:r>
          </w:p>
        </w:tc>
      </w:tr>
      <w:tr>
        <w:trPr>
          <w:trHeight w:val="453"/>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Repurchase and maturity of the 2021 Senior Unsecured Notes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(901,818)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(1,268)</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Proceeds from Class A common stock options exercised</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8,066</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(229,383)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(5,893)</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Contribution by non-controlling interest holder</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14,268</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213"/>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(1,117,377)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16,548</w:t>
            </w:r>
          </w:p>
        </w:tc>
      </w:tr>
      <w:tr>
        <w:trPr>
          <w:trHeight w:val="199"/>
        </w:trPr>
        <w:tc>
          <w:tcPr>
            <w:tcW w:w="7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7"/>
        </w:trPr>
        <w:tc>
          <w:tcPr>
            <w:tcW w:w="776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w:t>
            </w: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(462,482)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(957,644)</w:t>
            </w:r>
          </w:p>
        </w:tc>
      </w:tr>
      <w:tr>
        <w:trPr>
          <w:trHeight w:val="219"/>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434,330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564,245</w:t>
            </w:r>
          </w:p>
        </w:tc>
      </w:tr>
      <w:tr>
        <w:trPr>
          <w:trHeight w:val="20"/>
        </w:trPr>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sectPr>
      <w:pgSz w:w="11900" w:h="16838" w:orient="portrait"/>
      <w:cols w:equalWidth="0" w:num="1">
        <w:col w:w="11220"/>
      </w:cols>
      <w:pgMar w:left="34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3"/>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upperLetter"/>
      <w:start w:val="8"/>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lvl w:ilvl="1">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2021-11-09T05:33:33Z</dcterms:created>
  <dcterms:modified xsi:type="dcterms:W3CDTF">2021-11-09T05:33:33Z</dcterms:modified>
</cp:coreProperties>
</file>