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460" w:right="2800" w:hanging="3454"/>
        <w:spacing w:after="0" w:line="256" w:lineRule="auto"/>
        <w:tabs>
          <w:tab w:leader="none" w:pos="288"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0"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336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3995420</wp:posOffset>
            </wp:positionH>
            <wp:positionV relativeFrom="paragraph">
              <wp:posOffset>-16510</wp:posOffset>
            </wp:positionV>
            <wp:extent cx="1007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168910</wp:posOffset>
            </wp:positionV>
            <wp:extent cx="1682750" cy="421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2750" cy="421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9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9"/>
              </w:rPr>
              <w:t>Nevada</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26-1232727</w:t>
            </w:r>
          </w:p>
        </w:tc>
      </w:tr>
      <w:tr>
        <w:trPr>
          <w:trHeight w:val="208"/>
        </w:trPr>
        <w:tc>
          <w:tcPr>
            <w:tcW w:w="4660" w:type="dxa"/>
            <w:vAlign w:val="bottom"/>
          </w:tcPr>
          <w:p>
            <w:pPr>
              <w:jc w:val="center"/>
              <w:ind w:right="398"/>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9"/>
              </w:rPr>
              <w:t>(I.R.S. Employer Identification No.)</w:t>
            </w:r>
          </w:p>
        </w:tc>
      </w:tr>
      <w:tr>
        <w:trPr>
          <w:trHeight w:val="415"/>
        </w:trPr>
        <w:tc>
          <w:tcPr>
            <w:tcW w:w="4660" w:type="dxa"/>
            <w:vAlign w:val="bottom"/>
          </w:tcPr>
          <w:p>
            <w:pPr>
              <w:jc w:val="center"/>
              <w:ind w:right="398"/>
              <w:spacing w:after="0"/>
              <w:rPr>
                <w:sz w:val="20"/>
                <w:szCs w:val="20"/>
                <w:color w:val="auto"/>
              </w:rPr>
            </w:pPr>
            <w:r>
              <w:rPr>
                <w:rFonts w:ascii="Arial" w:cs="Arial" w:eastAsia="Arial" w:hAnsi="Arial"/>
                <w:sz w:val="18"/>
                <w:szCs w:val="18"/>
                <w:b w:val="1"/>
                <w:bCs w:val="1"/>
                <w:color w:val="auto"/>
                <w:w w:val="97"/>
              </w:rPr>
              <w:t>100 Inverness Terrace East, Englewood, Colorado</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80112-5308</w:t>
            </w:r>
          </w:p>
        </w:tc>
      </w:tr>
      <w:tr>
        <w:trPr>
          <w:trHeight w:val="20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(Address of principal executive offices)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(Zip Code)</w:t>
            </w:r>
          </w:p>
        </w:tc>
      </w:tr>
      <w:tr>
        <w:trPr>
          <w:trHeight w:val="335"/>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7"/>
              </w:rPr>
              <w:t>(303) 706-4000</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8"/>
              </w:rPr>
              <w:t>Not Applicable</w:t>
            </w:r>
          </w:p>
        </w:tc>
      </w:tr>
      <w:tr>
        <w:trPr>
          <w:trHeight w:val="175"/>
        </w:trPr>
        <w:tc>
          <w:tcPr>
            <w:tcW w:w="4660" w:type="dxa"/>
            <w:vAlign w:val="bottom"/>
          </w:tcPr>
          <w:p>
            <w:pPr>
              <w:jc w:val="center"/>
              <w:ind w:right="418"/>
              <w:spacing w:after="0" w:line="175" w:lineRule="exact"/>
              <w:rPr>
                <w:sz w:val="20"/>
                <w:szCs w:val="20"/>
                <w:color w:val="auto"/>
              </w:rPr>
            </w:pPr>
            <w:r>
              <w:rPr>
                <w:rFonts w:ascii="Arial" w:cs="Arial" w:eastAsia="Arial" w:hAnsi="Arial"/>
                <w:sz w:val="16"/>
                <w:szCs w:val="16"/>
                <w:color w:val="auto"/>
                <w:w w:val="98"/>
              </w:rPr>
              <w:t>(Registrant’s telephone number, including area code)</w:t>
            </w:r>
          </w:p>
        </w:tc>
        <w:tc>
          <w:tcPr>
            <w:tcW w:w="5740" w:type="dxa"/>
            <w:vAlign w:val="bottom"/>
          </w:tcPr>
          <w:p>
            <w:pPr>
              <w:jc w:val="center"/>
              <w:ind w:left="418"/>
              <w:spacing w:after="0" w:line="175" w:lineRule="exact"/>
              <w:rPr>
                <w:sz w:val="20"/>
                <w:szCs w:val="20"/>
                <w:color w:val="auto"/>
              </w:rPr>
            </w:pPr>
            <w:r>
              <w:rPr>
                <w:rFonts w:ascii="Arial" w:cs="Arial" w:eastAsia="Arial" w:hAnsi="Arial"/>
                <w:sz w:val="16"/>
                <w:szCs w:val="16"/>
                <w:color w:val="auto"/>
                <w:w w:val="98"/>
              </w:rPr>
              <w:t>(Former name, former address and former fiscal year, if changed since last</w:t>
            </w:r>
          </w:p>
        </w:tc>
      </w:tr>
      <w:tr>
        <w:trPr>
          <w:trHeight w:val="192"/>
        </w:trPr>
        <w:tc>
          <w:tcPr>
            <w:tcW w:w="4660" w:type="dxa"/>
            <w:vAlign w:val="bottom"/>
          </w:tcPr>
          <w:p>
            <w:pPr>
              <w:spacing w:after="0"/>
              <w:rPr>
                <w:sz w:val="16"/>
                <w:szCs w:val="16"/>
                <w:color w:val="auto"/>
              </w:rPr>
            </w:pP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report)</w:t>
            </w:r>
          </w:p>
        </w:tc>
      </w:tr>
      <w:tr>
        <w:trPr>
          <w:trHeight w:val="31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5740" w:type="dxa"/>
            <w:vAlign w:val="bottom"/>
          </w:tcPr>
          <w:p>
            <w:pPr>
              <w:spacing w:after="0"/>
              <w:rPr>
                <w:sz w:val="24"/>
                <w:szCs w:val="24"/>
                <w:color w:val="auto"/>
              </w:rPr>
            </w:pPr>
          </w:p>
        </w:tc>
      </w:tr>
      <w:tr>
        <w:trPr>
          <w:trHeight w:val="212"/>
        </w:trPr>
        <w:tc>
          <w:tcPr>
            <w:tcW w:w="4660" w:type="dxa"/>
            <w:vAlign w:val="bottom"/>
          </w:tcPr>
          <w:p>
            <w:pPr>
              <w:jc w:val="center"/>
              <w:ind w:right="438"/>
              <w:spacing w:after="0"/>
              <w:rPr>
                <w:sz w:val="20"/>
                <w:szCs w:val="20"/>
                <w:color w:val="auto"/>
              </w:rPr>
            </w:pPr>
            <w:r>
              <w:rPr>
                <w:rFonts w:ascii="Arial" w:cs="Arial" w:eastAsia="Arial" w:hAnsi="Arial"/>
                <w:sz w:val="16"/>
                <w:szCs w:val="16"/>
                <w:b w:val="1"/>
                <w:bCs w:val="1"/>
                <w:color w:val="auto"/>
              </w:rPr>
              <w:t>Class A common stock $0.001 par value</w:t>
            </w:r>
          </w:p>
        </w:tc>
        <w:tc>
          <w:tcPr>
            <w:tcW w:w="5740" w:type="dxa"/>
            <w:vAlign w:val="bottom"/>
          </w:tcPr>
          <w:p>
            <w:pPr>
              <w:jc w:val="center"/>
              <w:ind w:left="418"/>
              <w:spacing w:after="0"/>
              <w:rPr>
                <w:sz w:val="20"/>
                <w:szCs w:val="20"/>
                <w:color w:val="auto"/>
              </w:rPr>
            </w:pPr>
            <w:r>
              <w:rPr>
                <w:rFonts w:ascii="Arial" w:cs="Arial" w:eastAsia="Arial" w:hAnsi="Arial"/>
                <w:sz w:val="16"/>
                <w:szCs w:val="16"/>
                <w:b w:val="1"/>
                <w:bCs w:val="1"/>
                <w:color w:val="auto"/>
                <w:w w:val="99"/>
              </w:rPr>
              <w:t>The NASDAQ Stock Market LLC</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(Title of each class)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8"/>
              </w:rPr>
              <w:t>(Name of each exchange on which registered)</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b w:val="1"/>
                <w:bCs w:val="1"/>
                <w:color w:val="auto"/>
                <w:w w:val="93"/>
              </w:rPr>
              <w:t>SATS</w:t>
            </w:r>
          </w:p>
        </w:tc>
        <w:tc>
          <w:tcPr>
            <w:tcW w:w="5740" w:type="dxa"/>
            <w:vAlign w:val="bottom"/>
          </w:tcPr>
          <w:p>
            <w:pPr>
              <w:spacing w:after="0"/>
              <w:rPr>
                <w:sz w:val="18"/>
                <w:szCs w:val="18"/>
                <w:color w:val="auto"/>
              </w:rPr>
            </w:pP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(Ticker symbol)</w:t>
            </w:r>
          </w:p>
        </w:tc>
        <w:tc>
          <w:tcPr>
            <w:tcW w:w="5740" w:type="dxa"/>
            <w:vAlign w:val="bottom"/>
          </w:tcPr>
          <w:p>
            <w:pPr>
              <w:spacing w:after="0"/>
              <w:rPr>
                <w:sz w:val="18"/>
                <w:szCs w:val="18"/>
                <w:color w:val="auto"/>
              </w:rPr>
            </w:pPr>
          </w:p>
        </w:tc>
      </w:tr>
    </w:tbl>
    <w:p>
      <w:pPr>
        <w:spacing w:after="0" w:line="245"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jc w:val="both"/>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45" w:right="339" w:bottom="1440" w:gutter="0" w:footer="0" w:header="0"/>
        </w:sectPr>
      </w:pPr>
    </w:p>
    <w:p>
      <w:pPr>
        <w:spacing w:after="0" w:line="121"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Large accelerated filer</w:t>
      </w:r>
    </w:p>
    <w:p>
      <w:pPr>
        <w:spacing w:after="0" w:line="40"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7" w:lineRule="exact"/>
        <w:rPr>
          <w:sz w:val="24"/>
          <w:szCs w:val="24"/>
          <w:color w:val="auto"/>
        </w:rPr>
      </w:pPr>
    </w:p>
    <w:p>
      <w:pPr>
        <w:sectPr>
          <w:pgSz w:w="11900" w:h="16838" w:orient="portrait"/>
          <w:cols w:equalWidth="0" w:num="6">
            <w:col w:w="3220" w:space="720"/>
            <w:col w:w="140" w:space="160"/>
            <w:col w:w="1900" w:space="580"/>
            <w:col w:w="160" w:space="140"/>
            <w:col w:w="1900" w:space="600"/>
            <w:col w:w="1720"/>
          </w:cols>
          <w:pgMar w:left="320" w:top="245" w:right="339" w:bottom="1440" w:gutter="0" w:footer="0" w:header="0"/>
          <w:type w:val="continuous"/>
        </w:sectPr>
      </w:pP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line="252" w:lineRule="auto"/>
        <w:rPr>
          <w:sz w:val="20"/>
          <w:szCs w:val="20"/>
          <w:color w:val="auto"/>
        </w:rPr>
      </w:pPr>
      <w:r>
        <w:rPr>
          <w:rFonts w:ascii="Arial" w:cs="Arial" w:eastAsia="Arial" w:hAnsi="Arial"/>
          <w:sz w:val="16"/>
          <w:szCs w:val="16"/>
          <w:color w:val="auto"/>
        </w:rPr>
        <w:t>As of April 28, 2022, the registrant’s outstanding common stock consisted of 37,228,906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548640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0" w:type="dxa"/>
            <w:vAlign w:val="bottom"/>
            <w:gridSpan w:val="10"/>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Disclosure Regarding Forward Looking Statements</w:t>
              </w:r>
            </w:hyperlink>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ind w:left="6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1"/>
          </w:tcPr>
          <w:p>
            <w:pPr>
              <w:jc w:val="center"/>
              <w:ind w:right="2800"/>
              <w:spacing w:after="0"/>
              <w:rPr>
                <w:rFonts w:ascii="Arial" w:cs="Arial" w:eastAsia="Arial" w:hAnsi="Arial"/>
                <w:sz w:val="18"/>
                <w:szCs w:val="18"/>
                <w:b w:val="1"/>
                <w:bCs w:val="1"/>
                <w:color w:val="0000FF"/>
                <w:w w:val="96"/>
              </w:rPr>
            </w:pPr>
            <w:hyperlink w:anchor="page3">
              <w:r>
                <w:rPr>
                  <w:rFonts w:ascii="Arial" w:cs="Arial" w:eastAsia="Arial" w:hAnsi="Arial"/>
                  <w:sz w:val="18"/>
                  <w:szCs w:val="18"/>
                  <w:b w:val="1"/>
                  <w:bCs w:val="1"/>
                  <w:color w:val="0000FF"/>
                  <w:w w:val="96"/>
                </w:rPr>
                <w:t>PART I - FINANCIAL INFORMATION</w:t>
              </w:r>
            </w:hyperlink>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3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2800" w:type="dxa"/>
            <w:vAlign w:val="bottom"/>
            <w:gridSpan w:val="1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2940" w:type="dxa"/>
            <w:vAlign w:val="bottom"/>
            <w:tcBorders>
              <w:top w:val="single" w:sz="8" w:color="0000FF"/>
            </w:tcBorders>
            <w:gridSpan w:val="5"/>
          </w:tcPr>
          <w:p>
            <w:pPr>
              <w:spacing w:after="0"/>
              <w:rPr>
                <w:sz w:val="24"/>
                <w:szCs w:val="24"/>
                <w:color w:val="auto"/>
              </w:rPr>
            </w:pPr>
          </w:p>
        </w:tc>
        <w:tc>
          <w:tcPr>
            <w:tcW w:w="2800" w:type="dxa"/>
            <w:vAlign w:val="bottom"/>
            <w:gridSpan w:val="6"/>
          </w:tcPr>
          <w:p>
            <w:pPr>
              <w:spacing w:after="0"/>
              <w:rPr>
                <w:sz w:val="24"/>
                <w:szCs w:val="24"/>
                <w:color w:val="auto"/>
              </w:rPr>
            </w:pPr>
          </w:p>
        </w:tc>
        <w:tc>
          <w:tcPr>
            <w:tcW w:w="132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60" w:type="dxa"/>
            <w:vAlign w:val="bottom"/>
            <w:gridSpan w:val="19"/>
          </w:tcPr>
          <w:p>
            <w:pPr>
              <w:spacing w:after="0" w:line="205"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Consolidated Balance Sheets as of March 31, 2022 (unaudited) and December 31, 2021 (audited)</w:t>
              </w:r>
            </w:hyperlink>
          </w:p>
        </w:tc>
        <w:tc>
          <w:tcPr>
            <w:tcW w:w="880" w:type="dxa"/>
            <w:vAlign w:val="bottom"/>
            <w:gridSpan w:val="4"/>
          </w:tcPr>
          <w:p>
            <w:pPr>
              <w:spacing w:after="0"/>
              <w:rPr>
                <w:sz w:val="17"/>
                <w:szCs w:val="17"/>
                <w:color w:val="auto"/>
              </w:rPr>
            </w:pPr>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60" w:type="dxa"/>
            <w:vAlign w:val="bottom"/>
            <w:gridSpan w:val="20"/>
          </w:tcPr>
          <w:p>
            <w:pPr>
              <w:spacing w:after="0" w:line="205"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Consolidated Statements of Operations for the three months ended March 31, 2022 and 2021 (unaudited)</w:t>
              </w:r>
            </w:hyperlink>
          </w:p>
        </w:tc>
        <w:tc>
          <w:tcPr>
            <w:tcW w:w="280" w:type="dxa"/>
            <w:vAlign w:val="bottom"/>
            <w:gridSpan w:val="3"/>
          </w:tcPr>
          <w:p>
            <w:pPr>
              <w:spacing w:after="0"/>
              <w:rPr>
                <w:sz w:val="17"/>
                <w:szCs w:val="17"/>
                <w:color w:val="auto"/>
              </w:rPr>
            </w:pPr>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40" w:type="dxa"/>
            <w:vAlign w:val="bottom"/>
            <w:gridSpan w:val="23"/>
          </w:tcPr>
          <w:p>
            <w:pPr>
              <w:spacing w:after="0" w:line="205"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Statements of Comprehensive Income (Loss) for the three months ended March 31, 2022 and</w:t>
              </w:r>
            </w:hyperlink>
          </w:p>
        </w:tc>
        <w:tc>
          <w:tcPr>
            <w:tcW w:w="1320" w:type="dxa"/>
            <w:vAlign w:val="bottom"/>
            <w:gridSpan w:val="4"/>
            <w:vMerge w:val="restart"/>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6">
              <w:r>
                <w:rPr>
                  <w:rFonts w:ascii="Arial" w:cs="Arial" w:eastAsia="Arial" w:hAnsi="Arial"/>
                  <w:sz w:val="17"/>
                  <w:szCs w:val="17"/>
                  <w:color w:val="0000FF"/>
                </w:rPr>
                <w:t>2021 (unaudited)</w:t>
              </w:r>
            </w:hyperlink>
          </w:p>
        </w:tc>
        <w:tc>
          <w:tcPr>
            <w:tcW w:w="7060" w:type="dxa"/>
            <w:vAlign w:val="bottom"/>
            <w:tcBorders>
              <w:top w:val="single" w:sz="8" w:color="0000FF"/>
            </w:tcBorders>
            <w:gridSpan w:val="18"/>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40" w:type="dxa"/>
            <w:vAlign w:val="bottom"/>
            <w:tcBorders>
              <w:bottom w:val="single" w:sz="8" w:color="0000FF"/>
            </w:tcBorders>
            <w:gridSpan w:val="23"/>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Consolidated Statements of Changes in Stockholders’ Equity for the three months ended March 31, 2022 and</w:t>
              </w:r>
            </w:hyperlink>
          </w:p>
        </w:tc>
        <w:tc>
          <w:tcPr>
            <w:tcW w:w="1320" w:type="dxa"/>
            <w:vAlign w:val="bottom"/>
            <w:gridSpan w:val="4"/>
            <w:vMerge w:val="restart"/>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spacing w:after="0" w:line="152" w:lineRule="exact"/>
              <w:rPr>
                <w:rFonts w:ascii="Arial" w:cs="Arial" w:eastAsia="Arial" w:hAnsi="Arial"/>
                <w:sz w:val="17"/>
                <w:szCs w:val="17"/>
                <w:color w:val="0000FF"/>
              </w:rPr>
            </w:pPr>
            <w:hyperlink w:anchor="page7">
              <w:r>
                <w:rPr>
                  <w:rFonts w:ascii="Arial" w:cs="Arial" w:eastAsia="Arial" w:hAnsi="Arial"/>
                  <w:sz w:val="17"/>
                  <w:szCs w:val="17"/>
                  <w:color w:val="0000FF"/>
                </w:rPr>
                <w:t>2021 (unaudited)</w:t>
              </w:r>
            </w:hyperlink>
          </w:p>
        </w:tc>
        <w:tc>
          <w:tcPr>
            <w:tcW w:w="7200" w:type="dxa"/>
            <w:vAlign w:val="bottom"/>
            <w:gridSpan w:val="19"/>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40" w:type="dxa"/>
            <w:vAlign w:val="bottom"/>
            <w:gridSpan w:val="23"/>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Statements of Cash Flows for the three months ended March 31, 2022 and 2021 (unaudited)</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300" w:type="dxa"/>
            <w:vAlign w:val="bottom"/>
            <w:gridSpan w:val="21"/>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Notes to the Consolidated Financial Statements (unaudited)</w:t>
              </w:r>
            </w:hyperlink>
          </w:p>
        </w:tc>
        <w:tc>
          <w:tcPr>
            <w:tcW w:w="240" w:type="dxa"/>
            <w:vAlign w:val="bottom"/>
            <w:gridSpan w:val="2"/>
          </w:tcPr>
          <w:p>
            <w:pPr>
              <w:spacing w:after="0"/>
              <w:rPr>
                <w:sz w:val="17"/>
                <w:szCs w:val="17"/>
                <w:color w:val="auto"/>
              </w:rPr>
            </w:pPr>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Item 3.</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Item 4.</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0" w:type="dxa"/>
            <w:vAlign w:val="bottom"/>
            <w:gridSpan w:val="10"/>
          </w:tcPr>
          <w:p>
            <w:pPr>
              <w:jc w:val="center"/>
              <w:ind w:right="2940"/>
              <w:spacing w:after="0"/>
              <w:rPr>
                <w:rFonts w:ascii="Arial" w:cs="Arial" w:eastAsia="Arial" w:hAnsi="Arial"/>
                <w:sz w:val="18"/>
                <w:szCs w:val="18"/>
                <w:b w:val="1"/>
                <w:bCs w:val="1"/>
                <w:color w:val="0000FF"/>
                <w:w w:val="96"/>
              </w:rPr>
            </w:pPr>
            <w:hyperlink w:anchor="page54">
              <w:r>
                <w:rPr>
                  <w:rFonts w:ascii="Arial" w:cs="Arial" w:eastAsia="Arial" w:hAnsi="Arial"/>
                  <w:sz w:val="18"/>
                  <w:szCs w:val="18"/>
                  <w:b w:val="1"/>
                  <w:bCs w:val="1"/>
                  <w:color w:val="0000FF"/>
                  <w:w w:val="96"/>
                </w:rPr>
                <w:t>PART II - OTHER INFORMATION</w:t>
              </w:r>
            </w:hyperlink>
          </w:p>
        </w:tc>
        <w:tc>
          <w:tcPr>
            <w:tcW w:w="1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6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2940" w:type="dxa"/>
            <w:vAlign w:val="bottom"/>
            <w:gridSpan w:val="1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2660" w:type="dxa"/>
            <w:vAlign w:val="bottom"/>
            <w:tcBorders>
              <w:top w:val="single" w:sz="8" w:color="0000FF"/>
            </w:tcBorders>
            <w:gridSpan w:val="3"/>
          </w:tcPr>
          <w:p>
            <w:pPr>
              <w:spacing w:after="0"/>
              <w:rPr>
                <w:sz w:val="24"/>
                <w:szCs w:val="24"/>
                <w:color w:val="auto"/>
              </w:rPr>
            </w:pPr>
          </w:p>
        </w:tc>
        <w:tc>
          <w:tcPr>
            <w:tcW w:w="2940" w:type="dxa"/>
            <w:vAlign w:val="bottom"/>
            <w:gridSpan w:val="7"/>
          </w:tcPr>
          <w:p>
            <w:pPr>
              <w:spacing w:after="0"/>
              <w:rPr>
                <w:sz w:val="24"/>
                <w:szCs w:val="24"/>
                <w:color w:val="auto"/>
              </w:rPr>
            </w:pPr>
          </w:p>
        </w:tc>
        <w:tc>
          <w:tcPr>
            <w:tcW w:w="1320" w:type="dxa"/>
            <w:vAlign w:val="bottom"/>
            <w:gridSpan w:val="4"/>
          </w:tcPr>
          <w:p>
            <w:pPr>
              <w:jc w:val="right"/>
              <w:ind w:right="4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700" w:type="dxa"/>
            <w:vAlign w:val="bottom"/>
          </w:tcPr>
          <w:p>
            <w:pPr>
              <w:spacing w:after="0"/>
              <w:rPr>
                <w:sz w:val="17"/>
                <w:szCs w:val="17"/>
                <w:color w:val="auto"/>
              </w:rPr>
            </w:pPr>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5.</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Other Information</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180" w:type="dxa"/>
            <w:vAlign w:val="bottom"/>
            <w:gridSpan w:val="1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6.</w:t>
              </w:r>
            </w:hyperlink>
          </w:p>
        </w:tc>
        <w:tc>
          <w:tcPr>
            <w:tcW w:w="8540" w:type="dxa"/>
            <w:vAlign w:val="bottom"/>
            <w:gridSpan w:val="23"/>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gridSpan w:val="2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40" w:type="dxa"/>
            <w:vAlign w:val="bottom"/>
            <w:gridSpan w:val="23"/>
          </w:tcPr>
          <w:p>
            <w:pPr>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1320" w:type="dxa"/>
            <w:vAlign w:val="bottom"/>
            <w:gridSpan w:val="4"/>
          </w:tcPr>
          <w:p>
            <w:pPr>
              <w:jc w:val="right"/>
              <w:ind w:right="40"/>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1245"/>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4"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9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8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2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1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Marketable investment securities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634,593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1,010,496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198,444</w:t>
            </w:r>
          </w:p>
        </w:tc>
      </w:tr>
      <w:tr>
        <w:trPr>
          <w:trHeight w:val="219"/>
        </w:trPr>
        <w:tc>
          <w:tcPr>
            <w:tcW w:w="78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1,926,897</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2,338,285</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150,980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149,198</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Regulatory authorizations,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470,329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469,766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investments,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350,318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297,747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338,241</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4,236,750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4,118,307</w:t>
            </w:r>
          </w:p>
        </w:tc>
      </w:tr>
      <w:tr>
        <w:trPr>
          <w:trHeight w:val="243"/>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6,169,753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109,338</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138,201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423,674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1,496,185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1,495,994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403,684</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136,723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134,897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2,188,166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2,171,001</w:t>
            </w:r>
          </w:p>
        </w:tc>
      </w:tr>
      <w:tr>
        <w:trPr>
          <w:trHeight w:val="218"/>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280"/>
              <w:spacing w:after="0" w:line="185" w:lineRule="exact"/>
              <w:rPr>
                <w:sz w:val="20"/>
                <w:szCs w:val="20"/>
                <w:color w:val="auto"/>
              </w:rPr>
            </w:pPr>
            <w:r>
              <w:rPr>
                <w:rFonts w:ascii="Arial" w:cs="Arial" w:eastAsia="Arial" w:hAnsi="Arial"/>
                <w:sz w:val="18"/>
                <w:szCs w:val="18"/>
                <w:color w:val="auto"/>
              </w:rPr>
              <w:t>Preferred stock, $0.001 par value, 20,000,000 shares authorized, none issued and outstanding</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7860" w:type="dxa"/>
            <w:vAlign w:val="bottom"/>
          </w:tcPr>
          <w:p>
            <w:pPr>
              <w:ind w:left="280"/>
              <w:spacing w:after="0"/>
              <w:rPr>
                <w:sz w:val="20"/>
                <w:szCs w:val="20"/>
                <w:color w:val="auto"/>
              </w:rPr>
            </w:pPr>
            <w:r>
              <w:rPr>
                <w:rFonts w:ascii="Arial" w:cs="Arial" w:eastAsia="Arial" w:hAnsi="Arial"/>
                <w:sz w:val="18"/>
                <w:szCs w:val="18"/>
                <w:color w:val="auto"/>
              </w:rPr>
              <w:t>at both March 31, 2022 and 2021</w:t>
            </w:r>
          </w:p>
        </w:tc>
        <w:tc>
          <w:tcPr>
            <w:tcW w:w="4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A common stock, $0.001 par value, 1,600,000,000 shares authorized, 58,441,449</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2"/>
        </w:trPr>
        <w:tc>
          <w:tcPr>
            <w:tcW w:w="7860" w:type="dxa"/>
            <w:vAlign w:val="bottom"/>
          </w:tcPr>
          <w:p>
            <w:pPr>
              <w:ind w:left="460"/>
              <w:spacing w:after="0" w:line="172" w:lineRule="exact"/>
              <w:rPr>
                <w:sz w:val="20"/>
                <w:szCs w:val="20"/>
                <w:color w:val="auto"/>
              </w:rPr>
            </w:pPr>
            <w:r>
              <w:rPr>
                <w:rFonts w:ascii="Arial" w:cs="Arial" w:eastAsia="Arial" w:hAnsi="Arial"/>
                <w:sz w:val="18"/>
                <w:szCs w:val="18"/>
                <w:color w:val="auto"/>
              </w:rPr>
              <w:t>shares issued and 37,646,656 shares outstanding at March 31, 2022 and 58,059,622 shares</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2"/>
        </w:trPr>
        <w:tc>
          <w:tcPr>
            <w:tcW w:w="7860" w:type="dxa"/>
            <w:vAlign w:val="bottom"/>
          </w:tcPr>
          <w:p>
            <w:pPr>
              <w:ind w:left="460"/>
              <w:spacing w:after="0"/>
              <w:rPr>
                <w:sz w:val="20"/>
                <w:szCs w:val="20"/>
                <w:color w:val="auto"/>
              </w:rPr>
            </w:pPr>
            <w:r>
              <w:rPr>
                <w:rFonts w:ascii="Arial" w:cs="Arial" w:eastAsia="Arial" w:hAnsi="Arial"/>
                <w:sz w:val="18"/>
                <w:szCs w:val="18"/>
                <w:color w:val="auto"/>
              </w:rPr>
              <w:t>issued and 38,726,923 shares outstanding at December 31, 2021</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47,687,039 shares issued and outstanding at both March 31, 2022 and 2021</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C convertible common stock, $0.001 par value, 800,000,000 shares authorized, none</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7860" w:type="dxa"/>
            <w:vAlign w:val="bottom"/>
          </w:tcPr>
          <w:p>
            <w:pPr>
              <w:ind w:left="460"/>
              <w:spacing w:after="0"/>
              <w:rPr>
                <w:sz w:val="20"/>
                <w:szCs w:val="20"/>
                <w:color w:val="auto"/>
              </w:rPr>
            </w:pPr>
            <w:r>
              <w:rPr>
                <w:rFonts w:ascii="Arial" w:cs="Arial" w:eastAsia="Arial" w:hAnsi="Arial"/>
                <w:sz w:val="18"/>
                <w:szCs w:val="18"/>
                <w:color w:val="auto"/>
              </w:rPr>
              <w:t>issued and outstanding at both March 31, 2022 and 2021</w:t>
            </w:r>
          </w:p>
        </w:tc>
        <w:tc>
          <w:tcPr>
            <w:tcW w:w="4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D common stock, $0.001 par value, 800,000,000 shares authorized, none issued and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both March 31, 2022 and 2021</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3,343,056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3,345,878</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(212,102)</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747,899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656,466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(436,521)</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EchoStar Corporation stockholders' equity</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3,446,199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3,353,827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60,253</w:t>
            </w:r>
          </w:p>
        </w:tc>
      </w:tr>
      <w:tr>
        <w:trPr>
          <w:trHeight w:val="218"/>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3,557,913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3,414,080</w:t>
            </w:r>
          </w:p>
        </w:tc>
      </w:tr>
      <w:tr>
        <w:trPr>
          <w:trHeight w:val="243"/>
        </w:trPr>
        <w:tc>
          <w:tcPr>
            <w:tcW w:w="7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6,169,753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(Amounts 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418,811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430,337</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52,245</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132,789</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45,151</w:t>
            </w: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114,119</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129,286</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456,466</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429,120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53,462</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(34,667)</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78,600</w:t>
            </w:r>
          </w:p>
        </w:tc>
        <w:tc>
          <w:tcPr>
            <w:tcW w:w="0" w:type="dxa"/>
            <w:vAlign w:val="bottom"/>
          </w:tcPr>
          <w:p>
            <w:pPr>
              <w:spacing w:after="0"/>
              <w:rPr>
                <w:sz w:val="1"/>
                <w:szCs w:val="1"/>
                <w:color w:val="auto"/>
              </w:rPr>
            </w:pPr>
          </w:p>
        </w:tc>
      </w:tr>
      <w:tr>
        <w:trPr>
          <w:trHeight w:val="225"/>
        </w:trPr>
        <w:tc>
          <w:tcPr>
            <w:tcW w:w="7840" w:type="dxa"/>
            <w:vAlign w:val="bottom"/>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46,257</w:t>
            </w: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99,719</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88,945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77,572</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77,572</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(26,197)</w:t>
            </w: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Unrealized gains (losses) on available-for-sale securities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b w:val="1"/>
                <w:bCs w:val="1"/>
                <w:color w:val="auto"/>
              </w:rPr>
              <w:t>Amounts reclassified to net income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r>
      <w:tr>
        <w:trPr>
          <w:trHeight w:val="225"/>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1"/>
                <w:szCs w:val="11"/>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64,916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line="185" w:lineRule="exact"/>
              <w:rPr>
                <w:sz w:val="20"/>
                <w:szCs w:val="20"/>
                <w:color w:val="auto"/>
              </w:rPr>
            </w:pPr>
            <w:r>
              <w:rPr>
                <w:rFonts w:ascii="Arial" w:cs="Arial" w:eastAsia="Arial" w:hAnsi="Arial"/>
                <w:sz w:val="18"/>
                <w:szCs w:val="18"/>
                <w:color w:val="auto"/>
              </w:rPr>
              <w:t>Contribution by non-controlling interest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20"/>
              <w:spacing w:after="0"/>
              <w:rPr>
                <w:sz w:val="20"/>
                <w:szCs w:val="20"/>
                <w:color w:val="auto"/>
              </w:rPr>
            </w:pPr>
            <w:r>
              <w:rPr>
                <w:rFonts w:ascii="Arial" w:cs="Arial" w:eastAsia="Arial" w:hAnsi="Arial"/>
                <w:sz w:val="18"/>
                <w:szCs w:val="18"/>
                <w:color w:val="auto"/>
              </w:rPr>
              <w:t>holder</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78,519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77,572</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(110,769)</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line="179" w:lineRule="exact"/>
              <w:rPr>
                <w:sz w:val="20"/>
                <w:szCs w:val="20"/>
                <w:color w:val="auto"/>
              </w:rPr>
            </w:pPr>
            <w:r>
              <w:rPr>
                <w:rFonts w:ascii="Arial" w:cs="Arial" w:eastAsia="Arial" w:hAnsi="Arial"/>
                <w:sz w:val="18"/>
                <w:szCs w:val="18"/>
                <w:b w:val="1"/>
                <w:bCs w:val="1"/>
                <w:color w:val="auto"/>
              </w:rPr>
              <w:t>Balance, 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3,333,047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(215,476)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662,110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(285,681)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63,759</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3,557,865</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3,345,878</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(212,102)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656,466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(436,521)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60,253</w:t>
            </w:r>
          </w:p>
        </w:tc>
        <w:tc>
          <w:tcPr>
            <w:tcW w:w="80" w:type="dxa"/>
            <w:vAlign w:val="bottom"/>
          </w:tcPr>
          <w:p>
            <w:pPr>
              <w:spacing w:after="0"/>
              <w:rPr>
                <w:sz w:val="19"/>
                <w:szCs w:val="19"/>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3,414,080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Issuance of equity and contribution of</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pursuant to the India JV formation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30,303</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48,378</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88,945</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(35,061)</w:t>
            </w:r>
          </w:p>
        </w:tc>
        <w:tc>
          <w:tcPr>
            <w:tcW w:w="0" w:type="dxa"/>
            <w:vAlign w:val="bottom"/>
          </w:tcPr>
          <w:p>
            <w:pPr>
              <w:spacing w:after="0"/>
              <w:rPr>
                <w:sz w:val="1"/>
                <w:szCs w:val="1"/>
                <w:color w:val="auto"/>
              </w:rPr>
            </w:pPr>
          </w:p>
        </w:tc>
      </w:tr>
      <w:tr>
        <w:trPr>
          <w:trHeight w:val="204"/>
        </w:trPr>
        <w:tc>
          <w:tcPr>
            <w:tcW w:w="3580" w:type="dxa"/>
            <w:vAlign w:val="bottom"/>
            <w:tcBorders>
              <w:top w:val="single" w:sz="8" w:color="CCEEFF"/>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8"/>
                <w:szCs w:val="18"/>
                <w:b w:val="1"/>
                <w:bCs w:val="1"/>
                <w:color w:val="auto"/>
              </w:rPr>
              <w:t>Balance, 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3,343,056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747,899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3,557,913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93"/>
        </w:trPr>
        <w:tc>
          <w:tcPr>
            <w:tcW w:w="1380" w:type="dxa"/>
            <w:vAlign w:val="bottom"/>
            <w:tcBorders>
              <w:top w:val="single" w:sz="8" w:color="0000FF"/>
            </w:tcBorders>
          </w:tcPr>
          <w:p>
            <w:pPr>
              <w:spacing w:after="0"/>
              <w:rPr>
                <w:sz w:val="24"/>
                <w:szCs w:val="24"/>
                <w:color w:val="auto"/>
              </w:rPr>
            </w:pPr>
          </w:p>
        </w:tc>
        <w:tc>
          <w:tcPr>
            <w:tcW w:w="6560" w:type="dxa"/>
            <w:vAlign w:val="bottom"/>
          </w:tcPr>
          <w:p>
            <w:pPr>
              <w:jc w:val="center"/>
              <w:ind w:left="1852"/>
              <w:spacing w:after="0"/>
              <w:rPr>
                <w:sz w:val="20"/>
                <w:szCs w:val="20"/>
                <w:color w:val="auto"/>
              </w:rPr>
            </w:pPr>
            <w:r>
              <w:rPr>
                <w:rFonts w:ascii="Arial" w:cs="Arial" w:eastAsia="Arial" w:hAnsi="Arial"/>
                <w:sz w:val="18"/>
                <w:szCs w:val="18"/>
                <w:b w:val="1"/>
                <w:bCs w:val="1"/>
                <w:color w:val="auto"/>
                <w:w w:val="97"/>
              </w:rPr>
              <w:t>ECHOSTAR CORPORATION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6560" w:type="dxa"/>
            <w:vAlign w:val="bottom"/>
          </w:tcPr>
          <w:p>
            <w:pPr>
              <w:jc w:val="center"/>
              <w:ind w:left="1832"/>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2"/>
        </w:trPr>
        <w:tc>
          <w:tcPr>
            <w:tcW w:w="1380" w:type="dxa"/>
            <w:vAlign w:val="bottom"/>
          </w:tcPr>
          <w:p>
            <w:pPr>
              <w:spacing w:after="0"/>
              <w:rPr>
                <w:sz w:val="18"/>
                <w:szCs w:val="18"/>
                <w:color w:val="auto"/>
              </w:rPr>
            </w:pPr>
          </w:p>
        </w:tc>
        <w:tc>
          <w:tcPr>
            <w:tcW w:w="6560" w:type="dxa"/>
            <w:vAlign w:val="bottom"/>
          </w:tcPr>
          <w:p>
            <w:pPr>
              <w:jc w:val="center"/>
              <w:ind w:left="1852"/>
              <w:spacing w:after="0"/>
              <w:rPr>
                <w:sz w:val="20"/>
                <w:szCs w:val="20"/>
                <w:color w:val="auto"/>
              </w:rPr>
            </w:pPr>
            <w:r>
              <w:rPr>
                <w:rFonts w:ascii="Arial" w:cs="Arial" w:eastAsia="Arial" w:hAnsi="Arial"/>
                <w:sz w:val="18"/>
                <w:szCs w:val="18"/>
                <w:color w:val="auto"/>
                <w:w w:val="97"/>
              </w:rPr>
              <w:t>(Amounts in thousands)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6560" w:type="dxa"/>
            <w:vAlign w:val="bottom"/>
          </w:tcPr>
          <w:p>
            <w:pPr>
              <w:jc w:val="center"/>
              <w:ind w:left="1832"/>
              <w:spacing w:after="0"/>
              <w:rPr>
                <w:sz w:val="20"/>
                <w:szCs w:val="20"/>
                <w:color w:val="auto"/>
              </w:rPr>
            </w:pPr>
            <w:r>
              <w:rPr>
                <w:rFonts w:ascii="Arial" w:cs="Arial" w:eastAsia="Arial" w:hAnsi="Arial"/>
                <w:sz w:val="18"/>
                <w:szCs w:val="18"/>
                <w:color w:val="auto"/>
                <w:w w:val="97"/>
              </w:rPr>
              <w:t>(Unaudited)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45"/>
        </w:trPr>
        <w:tc>
          <w:tcPr>
            <w:tcW w:w="13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For the three months ended March 31,</w:t>
            </w:r>
          </w:p>
        </w:tc>
      </w:tr>
      <w:tr>
        <w:trPr>
          <w:trHeight w:val="219"/>
        </w:trPr>
        <w:tc>
          <w:tcPr>
            <w:tcW w:w="138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8"/>
                <w:szCs w:val="18"/>
                <w:b w:val="1"/>
                <w:bCs w:val="1"/>
                <w:color w:val="auto"/>
              </w:rPr>
              <w:t>2021</w:t>
            </w:r>
          </w:p>
        </w:tc>
      </w:tr>
      <w:tr>
        <w:trPr>
          <w:trHeight w:val="1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0"/>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88,945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77,572</w:t>
            </w:r>
          </w:p>
        </w:tc>
      </w:tr>
      <w:tr>
        <w:trPr>
          <w:trHeight w:val="161"/>
        </w:trPr>
        <w:tc>
          <w:tcPr>
            <w:tcW w:w="7940" w:type="dxa"/>
            <w:vAlign w:val="bottom"/>
            <w:gridSpan w:val="2"/>
            <w:shd w:val="clear" w:color="auto" w:fill="CCEEFF"/>
          </w:tcPr>
          <w:p>
            <w:pPr>
              <w:ind w:left="240"/>
              <w:spacing w:after="0" w:line="161"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2"/>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7940" w:type="dxa"/>
            <w:vAlign w:val="bottom"/>
            <w:gridSpan w:val="2"/>
          </w:tcPr>
          <w:p>
            <w:pPr>
              <w:ind w:left="4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120,436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129,286</w:t>
            </w:r>
          </w:p>
        </w:tc>
      </w:tr>
      <w:tr>
        <w:trPr>
          <w:trHeight w:val="214"/>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0"/>
        </w:trPr>
        <w:tc>
          <w:tcPr>
            <w:tcW w:w="7940" w:type="dxa"/>
            <w:vAlign w:val="bottom"/>
            <w:gridSpan w:val="2"/>
          </w:tcPr>
          <w:p>
            <w:pPr>
              <w:ind w:left="440"/>
              <w:spacing w:after="0"/>
              <w:rPr>
                <w:sz w:val="20"/>
                <w:szCs w:val="20"/>
                <w:color w:val="auto"/>
              </w:rPr>
            </w:pPr>
            <w:r>
              <w:rPr>
                <w:rFonts w:ascii="Arial" w:cs="Arial" w:eastAsia="Arial" w:hAnsi="Arial"/>
                <w:sz w:val="16"/>
                <w:szCs w:val="16"/>
                <w:color w:val="auto"/>
              </w:rPr>
              <w:t>Losses (gains) on investments,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(78,600)</w:t>
            </w:r>
          </w:p>
        </w:tc>
      </w:tr>
      <w:tr>
        <w:trPr>
          <w:trHeight w:val="214"/>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r>
      <w:tr>
        <w:trPr>
          <w:trHeight w:val="210"/>
        </w:trPr>
        <w:tc>
          <w:tcPr>
            <w:tcW w:w="7940" w:type="dxa"/>
            <w:vAlign w:val="bottom"/>
            <w:gridSpan w:val="2"/>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4,069</w:t>
            </w:r>
          </w:p>
        </w:tc>
      </w:tr>
      <w:tr>
        <w:trPr>
          <w:trHeight w:val="214"/>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Deferred tax provision (benefit),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18,370</w:t>
            </w:r>
          </w:p>
        </w:tc>
      </w:tr>
      <w:tr>
        <w:trPr>
          <w:trHeight w:val="210"/>
        </w:trPr>
        <w:tc>
          <w:tcPr>
            <w:tcW w:w="794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214"/>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09"/>
        </w:trPr>
        <w:tc>
          <w:tcPr>
            <w:tcW w:w="7940" w:type="dxa"/>
            <w:vAlign w:val="bottom"/>
            <w:gridSpan w:val="2"/>
          </w:tcPr>
          <w:p>
            <w:pPr>
              <w:ind w:left="44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11,551</w:t>
            </w:r>
          </w:p>
        </w:tc>
      </w:tr>
      <w:tr>
        <w:trPr>
          <w:trHeight w:val="215"/>
        </w:trPr>
        <w:tc>
          <w:tcPr>
            <w:tcW w:w="794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7940" w:type="dxa"/>
            <w:vAlign w:val="bottom"/>
            <w:gridSpan w:val="2"/>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(6,090)</w:t>
            </w:r>
          </w:p>
        </w:tc>
      </w:tr>
      <w:tr>
        <w:trPr>
          <w:trHeight w:val="214"/>
        </w:trPr>
        <w:tc>
          <w:tcPr>
            <w:tcW w:w="7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assets,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r>
      <w:tr>
        <w:trPr>
          <w:trHeight w:val="210"/>
        </w:trPr>
        <w:tc>
          <w:tcPr>
            <w:tcW w:w="7940" w:type="dxa"/>
            <w:vAlign w:val="bottom"/>
            <w:gridSpan w:val="2"/>
          </w:tcPr>
          <w:p>
            <w:pPr>
              <w:ind w:left="66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(18,375)</w:t>
            </w:r>
          </w:p>
        </w:tc>
      </w:tr>
      <w:tr>
        <w:trPr>
          <w:trHeight w:val="214"/>
        </w:trPr>
        <w:tc>
          <w:tcPr>
            <w:tcW w:w="7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w:t>
            </w:r>
          </w:p>
        </w:tc>
      </w:tr>
      <w:tr>
        <w:trPr>
          <w:trHeight w:val="209"/>
        </w:trPr>
        <w:tc>
          <w:tcPr>
            <w:tcW w:w="7940" w:type="dxa"/>
            <w:vAlign w:val="bottom"/>
            <w:gridSpan w:val="2"/>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(27,447)</w:t>
            </w:r>
          </w:p>
        </w:tc>
      </w:tr>
      <w:tr>
        <w:trPr>
          <w:trHeight w:val="215"/>
        </w:trPr>
        <w:tc>
          <w:tcPr>
            <w:tcW w:w="7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r>
      <w:tr>
        <w:trPr>
          <w:trHeight w:val="203"/>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104,353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116,887</w:t>
            </w:r>
          </w:p>
        </w:tc>
      </w:tr>
      <w:tr>
        <w:trPr>
          <w:trHeight w:val="234"/>
        </w:trPr>
        <w:tc>
          <w:tcPr>
            <w:tcW w:w="138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2"/>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(389,071)</w:t>
            </w:r>
          </w:p>
        </w:tc>
      </w:tr>
      <w:tr>
        <w:trPr>
          <w:trHeight w:val="209"/>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492,812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1,361,632</w:t>
            </w:r>
          </w:p>
        </w:tc>
      </w:tr>
      <w:tr>
        <w:trPr>
          <w:trHeight w:val="215"/>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(179,235)</w:t>
            </w:r>
          </w:p>
        </w:tc>
      </w:tr>
      <w:tr>
        <w:trPr>
          <w:trHeight w:val="210"/>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(7,846)</w:t>
            </w:r>
          </w:p>
        </w:tc>
      </w:tr>
      <w:tr>
        <w:trPr>
          <w:trHeight w:val="215"/>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India JV formation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Purchase of other investments</w:t>
            </w: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4"/>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Sales of other investments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03"/>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279,111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736,980</w:t>
            </w:r>
          </w:p>
        </w:tc>
      </w:tr>
      <w:tr>
        <w:trPr>
          <w:trHeight w:val="195"/>
        </w:trPr>
        <w:tc>
          <w:tcPr>
            <w:tcW w:w="138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2"/>
        </w:trPr>
        <w:tc>
          <w:tcPr>
            <w:tcW w:w="79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Repurchase and maturity of the 2021 Senior Unsecured Notes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(62,588)</w:t>
            </w:r>
          </w:p>
        </w:tc>
      </w:tr>
      <w:tr>
        <w:trPr>
          <w:trHeight w:val="210"/>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Payment of finance lease obligations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5"/>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w:t>
            </w:r>
          </w:p>
        </w:tc>
      </w:tr>
      <w:tr>
        <w:trPr>
          <w:trHeight w:val="209"/>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15"/>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Treasury share repurchase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(107,862)</w:t>
            </w:r>
          </w:p>
        </w:tc>
      </w:tr>
      <w:tr>
        <w:trPr>
          <w:trHeight w:val="210"/>
        </w:trPr>
        <w:tc>
          <w:tcPr>
            <w:tcW w:w="7940" w:type="dxa"/>
            <w:vAlign w:val="bottom"/>
            <w:gridSpan w:val="2"/>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15"/>
        </w:trPr>
        <w:tc>
          <w:tcPr>
            <w:tcW w:w="79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3"/>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(32,469)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(164,289)</w:t>
            </w:r>
          </w:p>
        </w:tc>
      </w:tr>
      <w:tr>
        <w:trPr>
          <w:trHeight w:val="195"/>
        </w:trPr>
        <w:tc>
          <w:tcPr>
            <w:tcW w:w="138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r>
      <w:tr>
        <w:trPr>
          <w:trHeight w:val="208"/>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687,770</w:t>
            </w:r>
          </w:p>
        </w:tc>
      </w:tr>
      <w:tr>
        <w:trPr>
          <w:trHeight w:val="209"/>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3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891,349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1,584,582</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5" w:lineRule="exact"/>
        <w:rPr>
          <w:sz w:val="20"/>
          <w:szCs w:val="20"/>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segment </w:t>
      </w:r>
      <w:r>
        <w:rPr>
          <w:rFonts w:ascii="Arial" w:cs="Arial" w:eastAsia="Arial" w:hAnsi="Arial"/>
          <w:sz w:val="18"/>
          <w:szCs w:val="18"/>
          <w:color w:val="auto"/>
        </w:rPr>
        <w:t>— which provides broadband satellite technologies and broadband internet services to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40" w:hanging="316"/>
        <w:spacing w:after="0" w:line="261"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uses certain of our owned and leased in-orbit satellites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licenses to provide satellite services on a full-time and/or occasional-use basis to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15. Segment Reporting</w:t>
      </w:r>
      <w:r>
        <w:rPr>
          <w:rFonts w:ascii="Arial" w:cs="Arial" w:eastAsia="Arial" w:hAnsi="Arial"/>
          <w:sz w:val="18"/>
          <w:szCs w:val="18"/>
          <w:color w:val="auto"/>
        </w:rPr>
        <w:t xml:space="preserve"> for further detail.</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 2021, we adopted Accounting Standard Update (“ASU”) No. 2019-12 - Income Taxes (Topic 740): Simplifying the Accounting for Income Taxes (“ASU 2019-12”).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March 2020, the FASB issued ASU No. 2020-04 - Reference Rate Reform (Topic 848),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Accounting for Contract Assets and Contract Liabilities from Contracts with Customers,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2023. Early adoption is permitted. The ASU is applied to business combinations occurring on or after the effective date.</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March 2022, the FASB issued ASU 2022-02,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Troubled Debt Restructurings and Vintage Disclosures. The amendments in this update eliminate the accounting guidance for troubled debt restructurings 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The amendments in this update are effective for fiscal years beginning after December 15, 2022, including interim periods within those fiscal years. Early adoption is permitted. We are evaluating the impact of adopting this new guidance on our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Trade accounts receivable and contract assets, net:</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160,325</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154,676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trade accounts receivable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166,047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160,344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r>
      <w:tr>
        <w:trPr>
          <w:trHeight w:val="244"/>
        </w:trPr>
        <w:tc>
          <w:tcPr>
            <w:tcW w:w="786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trade accounts receivable and 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138,201</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141,343</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148,493</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152,012</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-163830</wp:posOffset>
            </wp:positionV>
            <wp:extent cx="7134860"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our contract acquisition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473710</wp:posOffset>
            </wp:positionV>
            <wp:extent cx="713486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Amortization expense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8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8"/>
        </w:trPr>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7"/>
        </w:trPr>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99,837</w:t>
            </w:r>
          </w:p>
        </w:tc>
      </w:tr>
      <w:tr>
        <w:trPr>
          <w:trHeight w:val="225"/>
        </w:trPr>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25"/>
        </w:trPr>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(22,769)</w:t>
            </w:r>
          </w:p>
        </w:tc>
      </w:tr>
      <w:tr>
        <w:trPr>
          <w:trHeight w:val="226"/>
        </w:trPr>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19"/>
        </w:trPr>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94,593</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02" w:lineRule="exact"/>
        <w:rPr>
          <w:sz w:val="20"/>
          <w:szCs w:val="20"/>
          <w:color w:val="auto"/>
        </w:rPr>
      </w:pPr>
    </w:p>
    <w:p>
      <w:pPr>
        <w:sectPr>
          <w:pgSz w:w="11900" w:h="16838" w:orient="portrait"/>
          <w:cols w:equalWidth="0" w:num="2">
            <w:col w:w="7120" w:space="720"/>
            <w:col w:w="3400"/>
          </w:cols>
          <w:pgMar w:left="320" w:top="140" w:right="339" w:bottom="1440" w:gutter="0" w:footer="0" w:header="0"/>
          <w:type w:val="continuous"/>
        </w:sectPr>
      </w:pP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2022, the remaining performance obligations for our customer contracts with original expected durations of more than one year was $890.4 million. Performance obligations expected to be satisfied within one year and greater than one year are 48.0% and 52.0%,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8"/>
                <w:szCs w:val="1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March 31, 2022</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399,422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406,843</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51,819</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398,759</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405,460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43,030</w:t>
            </w: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34,092</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i w:val="1"/>
                <w:iCs w:val="1"/>
                <w:color w:val="auto"/>
              </w:rPr>
              <w:t>Nature of Products and Services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9580" w:type="dxa"/>
            <w:vAlign w:val="bottom"/>
            <w:gridSpan w:val="11"/>
          </w:tcPr>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4"/>
                <w:szCs w:val="24"/>
                <w:color w:val="auto"/>
              </w:rPr>
            </w:pPr>
          </w:p>
        </w:tc>
        <w:tc>
          <w:tcPr>
            <w:tcW w:w="128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Corporate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For the three months ended March 31, 2022</w:t>
            </w: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404,856</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1,429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418,811</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55,905</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82,723</w:t>
            </w:r>
          </w:p>
        </w:tc>
        <w:tc>
          <w:tcPr>
            <w:tcW w:w="0" w:type="dxa"/>
            <w:vAlign w:val="bottom"/>
          </w:tcPr>
          <w:p>
            <w:pPr>
              <w:spacing w:after="0"/>
              <w:rPr>
                <w:sz w:val="1"/>
                <w:szCs w:val="1"/>
                <w:color w:val="auto"/>
              </w:rPr>
            </w:pPr>
          </w:p>
        </w:tc>
      </w:tr>
      <w:tr>
        <w:trPr>
          <w:trHeight w:val="238"/>
        </w:trPr>
        <w:tc>
          <w:tcPr>
            <w:tcW w:w="4800" w:type="dxa"/>
            <w:vAlign w:val="bottom"/>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494,106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417,300</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1,537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color w:val="auto"/>
              </w:rPr>
              <w:t>Total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430,337</w:t>
            </w:r>
          </w:p>
        </w:tc>
        <w:tc>
          <w:tcPr>
            <w:tcW w:w="0" w:type="dxa"/>
            <w:vAlign w:val="bottom"/>
          </w:tcPr>
          <w:p>
            <w:pPr>
              <w:spacing w:after="0"/>
              <w:rPr>
                <w:sz w:val="1"/>
                <w:szCs w:val="1"/>
                <w:color w:val="auto"/>
              </w:rPr>
            </w:pPr>
          </w:p>
        </w:tc>
      </w:tr>
      <w:tr>
        <w:trPr>
          <w:trHeight w:val="205"/>
        </w:trPr>
        <w:tc>
          <w:tcPr>
            <w:tcW w:w="48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Equipment revenue: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25"/>
        </w:trPr>
        <w:tc>
          <w:tcPr>
            <w:tcW w:w="480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ind w:left="680"/>
              <w:spacing w:after="0" w:line="204" w:lineRule="exact"/>
              <w:rPr>
                <w:sz w:val="20"/>
                <w:szCs w:val="20"/>
                <w:color w:val="auto"/>
              </w:rPr>
            </w:pPr>
            <w:r>
              <w:rPr>
                <w:rFonts w:ascii="Arial" w:cs="Arial" w:eastAsia="Arial" w:hAnsi="Arial"/>
                <w:sz w:val="18"/>
                <w:szCs w:val="18"/>
                <w:color w:val="auto"/>
              </w:rPr>
              <w:t>Total equipment revenue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52,245</w:t>
            </w:r>
          </w:p>
        </w:tc>
        <w:tc>
          <w:tcPr>
            <w:tcW w:w="0" w:type="dxa"/>
            <w:vAlign w:val="bottom"/>
          </w:tcPr>
          <w:p>
            <w:pPr>
              <w:spacing w:after="0"/>
              <w:rPr>
                <w:sz w:val="1"/>
                <w:szCs w:val="1"/>
                <w:color w:val="auto"/>
              </w:rPr>
            </w:pPr>
          </w:p>
        </w:tc>
      </w:tr>
      <w:tr>
        <w:trPr>
          <w:trHeight w:val="238"/>
        </w:trPr>
        <w:tc>
          <w:tcPr>
            <w:tcW w:w="4800" w:type="dxa"/>
            <w:vAlign w:val="bottom"/>
            <w:shd w:val="clear" w:color="auto" w:fill="CCEEFF"/>
          </w:tcPr>
          <w:p>
            <w:pPr>
              <w:ind w:left="880"/>
              <w:spacing w:after="0" w:line="205" w:lineRule="exact"/>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Lease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120" w:type="dxa"/>
            <w:vAlign w:val="bottom"/>
            <w:gridSpan w:val="2"/>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Borders>
              <w:bottom w:val="single" w:sz="8" w:color="auto"/>
            </w:tcBorders>
            <w:gridSpan w:val="9"/>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Sales-type lease revenue:</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9"/>
        </w:trPr>
        <w:tc>
          <w:tcPr>
            <w:tcW w:w="4800" w:type="dxa"/>
            <w:vAlign w:val="bottom"/>
          </w:tcPr>
          <w:p>
            <w:pPr>
              <w:ind w:left="440"/>
              <w:spacing w:after="0"/>
              <w:rPr>
                <w:sz w:val="20"/>
                <w:szCs w:val="20"/>
                <w:color w:val="auto"/>
              </w:rPr>
            </w:pPr>
            <w:r>
              <w:rPr>
                <w:rFonts w:ascii="Arial" w:cs="Arial" w:eastAsia="Arial" w:hAnsi="Arial"/>
                <w:sz w:val="18"/>
                <w:szCs w:val="18"/>
                <w:color w:val="auto"/>
              </w:rPr>
              <w:t>Total sales-type lease revenue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0" w:type="dxa"/>
            <w:vAlign w:val="bottom"/>
          </w:tcPr>
          <w:p>
            <w:pPr>
              <w:spacing w:after="0"/>
              <w:rPr>
                <w:sz w:val="1"/>
                <w:szCs w:val="1"/>
                <w:color w:val="auto"/>
              </w:rPr>
            </w:pPr>
          </w:p>
        </w:tc>
      </w:tr>
      <w:tr>
        <w:trPr>
          <w:trHeight w:val="219"/>
        </w:trPr>
        <w:tc>
          <w:tcPr>
            <w:tcW w:w="4800" w:type="dxa"/>
            <w:vAlign w:val="bottom"/>
          </w:tcPr>
          <w:p>
            <w:pPr>
              <w:ind w:left="360"/>
              <w:spacing w:after="0"/>
              <w:rPr>
                <w:sz w:val="20"/>
                <w:szCs w:val="20"/>
                <w:color w:val="auto"/>
              </w:rPr>
            </w:pPr>
            <w:r>
              <w:rPr>
                <w:rFonts w:ascii="Arial" w:cs="Arial" w:eastAsia="Arial" w:hAnsi="Arial"/>
                <w:sz w:val="18"/>
                <w:szCs w:val="18"/>
                <w:color w:val="auto"/>
              </w:rPr>
              <w:t>Total lease revenue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14,882</w:t>
            </w:r>
          </w:p>
        </w:tc>
        <w:tc>
          <w:tcPr>
            <w:tcW w:w="80" w:type="dxa"/>
            <w:vAlign w:val="bottom"/>
          </w:tcPr>
          <w:p>
            <w:pPr>
              <w:spacing w:after="0"/>
              <w:rPr>
                <w:sz w:val="19"/>
                <w:szCs w:val="19"/>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 The results of operations related to the India JV have been included in these Consolidated Financial Statements from the date of formation. The costs associated with the closing of the India JV were not material and were expensed as incurred.</w:t>
      </w:r>
    </w:p>
    <w:p>
      <w:pPr>
        <w:spacing w:after="0" w:line="23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fair value of the consideration transferred was $38.2 million. Net cash paid was $7.9 million, inclusive of amounts paid for the acquisition of, or of HCIPL shares from, entities that were shareholders of HCIPL prior to closing the India JV.</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assets and liabilities acquired in the India JV formation have been recorded at fair value. The following table presents our preliminary allocation of the purchase price:</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06"/>
        </w:trPr>
        <w:tc>
          <w:tcPr>
            <w:tcW w:w="89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r>
      <w:tr>
        <w:trPr>
          <w:trHeight w:val="225"/>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intangible assets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5"/>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5"/>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0"/>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preliminary valuation of assets acquired and liabilities assumed in the India JV were derived using primarily unobservable Level 3 inputs, which require significant management judgment and estimation, and resulted in a customer relationship intangible of $4.4 million with an estimated life of 5 years and is reported in Other intangible assets, net.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associated with the India JV is attributable to expected synergies, the projected long-term business growth in current and new markets and an assembled workforce. Goodwill has been allocated entirely to our Hughes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EARNINGS PER SHARE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43"/>
        </w:trPr>
        <w:tc>
          <w:tcPr>
            <w:tcW w:w="784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91,433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85,846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93,871</w:t>
            </w:r>
          </w:p>
        </w:tc>
      </w:tr>
      <w:tr>
        <w:trPr>
          <w:trHeight w:val="22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impact of stock awards outstanding</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8"/>
        </w:trPr>
        <w:tc>
          <w:tcPr>
            <w:tcW w:w="7840" w:type="dxa"/>
            <w:vAlign w:val="bottom"/>
          </w:tcPr>
          <w:p>
            <w:pPr>
              <w:ind w:left="240"/>
              <w:spacing w:after="0" w:line="204"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85,879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78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40" w:type="dxa"/>
            <w:vAlign w:val="bottom"/>
          </w:tcPr>
          <w:p>
            <w:pPr>
              <w:ind w:left="120"/>
              <w:spacing w:after="0" w:line="198"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jc w:val="right"/>
              <w:ind w:right="832"/>
              <w:spacing w:after="0" w:line="198"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0.84</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47"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38"/>
        </w:trPr>
        <w:tc>
          <w:tcPr>
            <w:tcW w:w="8960" w:type="dxa"/>
            <w:vAlign w:val="bottom"/>
            <w:gridSpan w:val="2"/>
            <w:shd w:val="clear" w:color="auto" w:fill="CCEEFF"/>
          </w:tcPr>
          <w:p>
            <w:pPr>
              <w:jc w:val="right"/>
              <w:ind w:right="7452"/>
              <w:spacing w:after="0"/>
              <w:rPr>
                <w:sz w:val="20"/>
                <w:szCs w:val="20"/>
                <w:color w:val="auto"/>
              </w:rPr>
            </w:pPr>
            <w:r>
              <w:rPr>
                <w:rFonts w:ascii="Arial" w:cs="Arial" w:eastAsia="Arial" w:hAnsi="Arial"/>
                <w:sz w:val="18"/>
                <w:szCs w:val="18"/>
                <w:color w:val="auto"/>
                <w:w w:val="97"/>
              </w:rPr>
              <w:t>Number of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6.  MARKETABLE INVESTMENT SECURITIES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24"/>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Marketable investment securities: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r>
      <w:tr>
        <w:trPr>
          <w:trHeight w:val="225"/>
        </w:trPr>
        <w:tc>
          <w:tcPr>
            <w:tcW w:w="786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221,670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498,358</w:t>
            </w:r>
          </w:p>
        </w:tc>
      </w:tr>
      <w:tr>
        <w:trPr>
          <w:trHeight w:val="22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r>
      <w:tr>
        <w:trPr>
          <w:trHeight w:val="218"/>
        </w:trPr>
        <w:tc>
          <w:tcPr>
            <w:tcW w:w="7860" w:type="dxa"/>
            <w:vAlign w:val="bottom"/>
          </w:tcPr>
          <w:p>
            <w:pPr>
              <w:ind w:left="660"/>
              <w:spacing w:after="0" w:line="204" w:lineRule="exact"/>
              <w:rPr>
                <w:sz w:val="20"/>
                <w:szCs w:val="20"/>
                <w:color w:val="auto"/>
              </w:rPr>
            </w:pPr>
            <w:r>
              <w:rPr>
                <w:rFonts w:ascii="Arial" w:cs="Arial" w:eastAsia="Arial" w:hAnsi="Arial"/>
                <w:sz w:val="18"/>
                <w:szCs w:val="18"/>
                <w:color w:val="auto"/>
              </w:rPr>
              <w:t>Total available-for-sale debt securities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461,694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880,815</w:t>
            </w:r>
          </w:p>
        </w:tc>
      </w:tr>
      <w:tr>
        <w:trPr>
          <w:trHeight w:val="22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186,226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142,943</w:t>
            </w:r>
          </w:p>
        </w:tc>
      </w:tr>
      <w:tr>
        <w:trPr>
          <w:trHeight w:val="218"/>
        </w:trPr>
        <w:tc>
          <w:tcPr>
            <w:tcW w:w="786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 including restricted amounts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647,920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1,023,758</w:t>
            </w:r>
          </w:p>
        </w:tc>
      </w:tr>
      <w:tr>
        <w:trPr>
          <w:trHeight w:val="22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18"/>
        </w:trPr>
        <w:tc>
          <w:tcPr>
            <w:tcW w:w="786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634,593</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20" w:type="dxa"/>
            <w:vAlign w:val="bottom"/>
          </w:tcPr>
          <w:p>
            <w:pPr>
              <w:spacing w:after="0"/>
              <w:rPr>
                <w:sz w:val="20"/>
                <w:szCs w:val="20"/>
                <w:color w:val="auto"/>
              </w:rPr>
            </w:pPr>
            <w:r>
              <w:rPr>
                <w:rFonts w:ascii="Arial" w:cs="Arial" w:eastAsia="Arial" w:hAnsi="Arial"/>
                <w:sz w:val="18"/>
                <w:szCs w:val="18"/>
                <w:i w:val="1"/>
                <w:iCs w:val="1"/>
                <w:color w:val="auto"/>
              </w:rPr>
              <w:t>Available-for-Sale</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800" w:type="dxa"/>
            <w:vAlign w:val="bottom"/>
            <w:gridSpan w:val="5"/>
          </w:tcPr>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Amortized</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8"/>
              </w:rPr>
              <w:t>Unrealized</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Cost</w:t>
            </w:r>
          </w:p>
        </w:tc>
        <w:tc>
          <w:tcPr>
            <w:tcW w:w="3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194,877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194,074</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45,950</w:t>
            </w: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461,694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18"/>
        </w:trPr>
        <w:tc>
          <w:tcPr>
            <w:tcW w:w="4820" w:type="dxa"/>
            <w:vAlign w:val="bottom"/>
          </w:tcPr>
          <w:p>
            <w:pPr>
              <w:ind w:left="460"/>
              <w:spacing w:after="0" w:line="204"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881,269</w:t>
            </w:r>
          </w:p>
        </w:tc>
        <w:tc>
          <w:tcPr>
            <w:tcW w:w="10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91"/>
        </w:trPr>
        <w:tc>
          <w:tcPr>
            <w:tcW w:w="784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March 31, 2022, we have $448.0 million of available-for-sale debt securities with contractual maturities of one year or less and $13.7 million with contractual maturities greater than one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1"/>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1"/>
        </w:trPr>
        <w:tc>
          <w:tcPr>
            <w:tcW w:w="784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on investments,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206"/>
        </w:trPr>
        <w:tc>
          <w:tcPr>
            <w:tcW w:w="62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 of March 31, 2022</w:t>
            </w: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787,862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194,074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194,074</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221,670</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45,950</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461,694</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186,226</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(13,327)</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634,593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289,784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289,784</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142,943</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1,023,758</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(13,262)</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and December 31, 2021, we did not have any investments that were categorized within Level 3 of the fair value hierarchy.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7.  PROPERTY AND EQUIPMENT</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 2022   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Property and equipment, net:</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1,643,431</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1,610,623</w:t>
            </w: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2,376,143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2,338,285</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31, 2022, our satellite fleet consisted of ten geosynchronous (“GEO”) satellites, seven of which are owned and three of which are leased. They are all in geosynchronous orbit, approximately 22,300 miles above the equator. Our owned S-band low-earth orbit (“LEO”) nano-satellites are not included in the table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March 31,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Depreciable Life</w:t>
            </w:r>
          </w:p>
        </w:tc>
        <w:tc>
          <w:tcPr>
            <w:tcW w:w="0" w:type="dxa"/>
            <w:vAlign w:val="bottom"/>
          </w:tcPr>
          <w:p>
            <w:pPr>
              <w:spacing w:after="0"/>
              <w:rPr>
                <w:sz w:val="1"/>
                <w:szCs w:val="1"/>
                <w:color w:val="auto"/>
              </w:rPr>
            </w:pPr>
          </w:p>
        </w:tc>
      </w:tr>
      <w:tr>
        <w:trPr>
          <w:trHeight w:val="172"/>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Segment</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Launch Date</w:t>
            </w:r>
          </w:p>
        </w:tc>
        <w:tc>
          <w:tcPr>
            <w:tcW w:w="19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8"/>
              </w:rPr>
              <w:t>Orbital Location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2"/>
                <w:szCs w:val="22"/>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2"/>
                <w:szCs w:val="22"/>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2"/>
                <w:szCs w:val="22"/>
                <w:color w:val="auto"/>
                <w:vertAlign w:val="superscript"/>
              </w:rPr>
              <w:t>(3) (4)</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2"/>
                <w:szCs w:val="22"/>
                <w:color w:val="auto"/>
                <w:vertAlign w:val="superscript"/>
              </w:rPr>
              <w:t>(5)</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June 2017</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4"/>
        <w:spacing w:after="0" w:line="237" w:lineRule="auto"/>
        <w:tabs>
          <w:tab w:leader="none" w:pos="478"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acquisition of Hughes Communications, Inc. (“Hughes Communications”) and its subsidiaries (the “Hughes Acquisition”).</w:t>
      </w:r>
    </w:p>
    <w:p>
      <w:pPr>
        <w:ind w:left="320" w:hanging="314"/>
        <w:spacing w:after="0" w:line="237" w:lineRule="auto"/>
        <w:tabs>
          <w:tab w:leader="none" w:pos="227"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Depreciable life represents the remaining useful life as of November 2019.</w:t>
      </w:r>
    </w:p>
    <w:p>
      <w:pPr>
        <w:ind w:left="340" w:hanging="334"/>
        <w:spacing w:after="0" w:line="23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ind w:left="320" w:hanging="314"/>
        <w:spacing w:after="0" w:line="237"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expects to place the satellite in an inclined-orbit in the fourth quarter of 2022 or first quarter of 2023, but this ability is dependent upon events beyond our control and may not occur on schedule if at all. Inclined-orbit will extend its life but impact revenue generating capabilities.</w:t>
      </w:r>
    </w:p>
    <w:p>
      <w:pPr>
        <w:ind w:left="320" w:hanging="314"/>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168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9"/>
              </w:rPr>
              <w:t>Depreciable Life</w:t>
            </w:r>
          </w:p>
        </w:tc>
        <w:tc>
          <w:tcPr>
            <w:tcW w:w="160" w:type="dxa"/>
            <w:vAlign w:val="bottom"/>
          </w:tcPr>
          <w:p>
            <w:pPr>
              <w:spacing w:after="0"/>
              <w:rPr>
                <w:sz w:val="15"/>
                <w:szCs w:val="15"/>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25"/>
        </w:trPr>
        <w:tc>
          <w:tcPr>
            <w:tcW w:w="618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1,813,485</w:t>
            </w:r>
          </w:p>
        </w:tc>
        <w:tc>
          <w:tcPr>
            <w:tcW w:w="1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1,806,664</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354,170</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541,422</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2,773,143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2,702,256</w:t>
            </w: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(995,962)</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(1,091,633)</w:t>
            </w:r>
          </w:p>
        </w:tc>
        <w:tc>
          <w:tcPr>
            <w:tcW w:w="0" w:type="dxa"/>
            <w:vAlign w:val="bottom"/>
          </w:tcPr>
          <w:p>
            <w:pPr>
              <w:spacing w:after="0"/>
              <w:rPr>
                <w:sz w:val="1"/>
                <w:szCs w:val="1"/>
                <w:color w:val="auto"/>
              </w:rPr>
            </w:pPr>
          </w:p>
        </w:tc>
      </w:tr>
      <w:tr>
        <w:trPr>
          <w:trHeight w:val="218"/>
        </w:trPr>
        <w:tc>
          <w:tcPr>
            <w:tcW w:w="6180" w:type="dxa"/>
            <w:vAlign w:val="bottom"/>
          </w:tcPr>
          <w:p>
            <w:pPr>
              <w:ind w:left="780"/>
              <w:spacing w:after="0" w:line="204" w:lineRule="exact"/>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1,643,431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1,610,623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45"/>
        </w:trPr>
        <w:tc>
          <w:tcPr>
            <w:tcW w:w="784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Depreciation expense: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8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24,196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32,161</w:t>
            </w:r>
          </w:p>
        </w:tc>
      </w:tr>
      <w:tr>
        <w:trPr>
          <w:trHeight w:val="225"/>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r>
      <w:tr>
        <w:trPr>
          <w:trHeight w:val="219"/>
        </w:trPr>
        <w:tc>
          <w:tcPr>
            <w:tcW w:w="7840" w:type="dxa"/>
            <w:vAlign w:val="bottom"/>
          </w:tcPr>
          <w:p>
            <w:pPr>
              <w:ind w:left="440"/>
              <w:spacing w:after="0"/>
              <w:rPr>
                <w:sz w:val="20"/>
                <w:szCs w:val="20"/>
                <w:color w:val="auto"/>
              </w:rPr>
            </w:pPr>
            <w:r>
              <w:rPr>
                <w:rFonts w:ascii="Arial" w:cs="Arial" w:eastAsia="Arial" w:hAnsi="Arial"/>
                <w:sz w:val="18"/>
                <w:szCs w:val="18"/>
                <w:color w:val="auto"/>
              </w:rPr>
              <w:t>Total depreciation expense</w:t>
            </w:r>
          </w:p>
        </w:tc>
        <w:tc>
          <w:tcPr>
            <w:tcW w:w="104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30,183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39,362</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61"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17780</wp:posOffset>
            </wp:positionV>
            <wp:extent cx="2153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12"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7840" w:val="left"/>
          <w:tab w:leader="none" w:pos="8860" w:val="left"/>
          <w:tab w:leader="none" w:pos="9600" w:val="left"/>
          <w:tab w:leader="none" w:pos="10700" w:val="left"/>
        </w:tabs>
        <w:rPr>
          <w:sz w:val="20"/>
          <w:szCs w:val="20"/>
          <w:color w:val="auto"/>
        </w:rPr>
      </w:pPr>
      <w:r>
        <w:rPr>
          <w:rFonts w:ascii="Arial" w:cs="Arial" w:eastAsia="Arial" w:hAnsi="Arial"/>
          <w:sz w:val="18"/>
          <w:szCs w:val="18"/>
          <w:color w:val="auto"/>
        </w:rPr>
        <w:t>Capitalized 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10,382</w:t>
        <w:tab/>
        <w:t>$</w:t>
      </w:r>
      <w:r>
        <w:rPr>
          <w:sz w:val="20"/>
          <w:szCs w:val="20"/>
          <w:color w:val="auto"/>
        </w:rPr>
        <w:tab/>
      </w:r>
      <w:r>
        <w:rPr>
          <w:rFonts w:ascii="Arial" w:cs="Arial" w:eastAsia="Arial" w:hAnsi="Arial"/>
          <w:sz w:val="17"/>
          <w:szCs w:val="17"/>
          <w:color w:val="auto"/>
        </w:rPr>
        <w:t>8,563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29210</wp:posOffset>
            </wp:positionV>
            <wp:extent cx="2153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Capital expenditures associated with the construction and launch of the EchoStar XXIV satellite are included in Corporate and Other segment in our segment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2022 and December 31, 2021 our satellite-related commitments were $299.8 million and $342.2 million, respectively. These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March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March 31, 2022 and December 31, 2021, the fair values of our in-orbit incentive obligations approximated their carrying amounts of $51.7 million and $53.2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REGULATORY AUTHORIZATIONS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Finite lived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Cost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2"/>
              <w:spacing w:after="0" w:line="166"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(26,649)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443,705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476,092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28,049</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441,717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443,033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470,329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OTHER INVESTMENTS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91,226</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91,636</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114,885</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49% of DISH Mexico, S. de R.L. de C.V. and its subsidiaries (“Dish Mexico”), a joint venture that we entered into in 2008 to provide direct-to-home satellite services in Mexico. During the fourth quarter of 2021, we concluded that our investment in Dish Mexico was not recoverable.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6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50"/>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1"/>
        </w:trPr>
        <w:tc>
          <w:tcPr>
            <w:tcW w:w="784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4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1,771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1,348</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trade accounts receivable:</w:t>
      </w:r>
    </w:p>
    <w:p>
      <w:pPr>
        <w:spacing w:after="0" w:line="261"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17780</wp:posOffset>
            </wp:positionV>
            <wp:extent cx="2145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5665" cy="8255"/>
                    </a:xfrm>
                    <a:prstGeom prst="rect">
                      <a:avLst/>
                    </a:prstGeom>
                    <a:noFill/>
                  </pic:spPr>
                </pic:pic>
              </a:graphicData>
            </a:graphic>
          </wp:anchor>
        </w:drawing>
      </w:r>
    </w:p>
    <w:p>
      <w:pPr>
        <w:spacing w:after="0" w:line="12" w:lineRule="exact"/>
        <w:rPr>
          <w:sz w:val="20"/>
          <w:szCs w:val="20"/>
          <w:color w:val="auto"/>
        </w:rPr>
      </w:pPr>
    </w:p>
    <w:p>
      <w:pPr>
        <w:jc w:val="right"/>
        <w:ind w:right="20"/>
        <w:spacing w:after="0"/>
        <w:tabs>
          <w:tab w:leader="none" w:pos="1580" w:val="left"/>
        </w:tabs>
        <w:rPr>
          <w:sz w:val="20"/>
          <w:szCs w:val="20"/>
          <w:color w:val="auto"/>
        </w:rPr>
      </w:pPr>
      <w:r>
        <w:rPr>
          <w:rFonts w:ascii="Arial" w:cs="Arial" w:eastAsia="Arial" w:hAnsi="Arial"/>
          <w:sz w:val="18"/>
          <w:szCs w:val="18"/>
          <w:b w:val="1"/>
          <w:bCs w:val="1"/>
          <w:color w:val="auto"/>
        </w:rPr>
        <w:t>March 31, 2022</w:t>
      </w:r>
      <w:r>
        <w:rPr>
          <w:sz w:val="20"/>
          <w:szCs w:val="20"/>
          <w:color w:val="auto"/>
        </w:rPr>
        <w:tab/>
      </w:r>
      <w:r>
        <w:rPr>
          <w:rFonts w:ascii="Arial" w:cs="Arial" w:eastAsia="Arial" w:hAnsi="Arial"/>
          <w:sz w:val="17"/>
          <w:szCs w:val="17"/>
          <w:b w:val="1"/>
          <w:bCs w:val="1"/>
          <w:color w:val="auto"/>
        </w:rPr>
        <w:t>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6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6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620" w:type="dxa"/>
            <w:vAlign w:val="bottom"/>
            <w:tcBorders>
              <w:bottom w:val="single" w:sz="8" w:color="auto"/>
            </w:tcBorders>
          </w:tcPr>
          <w:p>
            <w:pPr>
              <w:jc w:val="right"/>
              <w:ind w:right="4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6,575</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1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5,544</w:t>
            </w:r>
          </w:p>
        </w:tc>
      </w:tr>
      <w:tr>
        <w:trPr>
          <w:trHeight w:val="20"/>
        </w:trPr>
        <w:tc>
          <w:tcPr>
            <w:tcW w:w="7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investments:</w:t>
      </w:r>
    </w:p>
    <w:p>
      <w:pPr>
        <w:spacing w:after="0" w:line="261"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17780</wp:posOffset>
            </wp:positionV>
            <wp:extent cx="21539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12"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7840" w:val="left"/>
          <w:tab w:leader="none" w:pos="8860" w:val="left"/>
          <w:tab w:leader="none" w:pos="9600" w:val="left"/>
          <w:tab w:leader="none" w:pos="10600" w:val="left"/>
        </w:tabs>
        <w:rPr>
          <w:sz w:val="20"/>
          <w:szCs w:val="20"/>
          <w:color w:val="auto"/>
        </w:rPr>
      </w:pPr>
      <w:r>
        <w:rPr>
          <w:rFonts w:ascii="Arial" w:cs="Arial" w:eastAsia="Arial" w:hAnsi="Arial"/>
          <w:sz w:val="18"/>
          <w:szCs w:val="18"/>
          <w:color w:val="auto"/>
        </w:rPr>
        <w:t>Gain (loss) on investments,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49,671</w:t>
        <w:tab/>
        <w:t>$</w:t>
      </w:r>
      <w:r>
        <w:rPr>
          <w:sz w:val="20"/>
          <w:szCs w:val="20"/>
          <w:color w:val="auto"/>
        </w:rPr>
        <w:tab/>
      </w:r>
      <w:r>
        <w:rPr>
          <w:rFonts w:ascii="Arial" w:cs="Arial" w:eastAsia="Arial" w:hAnsi="Arial"/>
          <w:sz w:val="17"/>
          <w:szCs w:val="17"/>
          <w:color w:val="auto"/>
        </w:rPr>
        <w:t>14,156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29210</wp:posOffset>
            </wp:positionV>
            <wp:extent cx="2153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Long-term debt, net: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1"/>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December 31, 2021</w:t>
            </w:r>
          </w:p>
        </w:tc>
      </w:tr>
      <w:tr>
        <w:trPr>
          <w:trHeight w:val="180"/>
        </w:trPr>
        <w:tc>
          <w:tcPr>
            <w:tcW w:w="4440" w:type="dxa"/>
            <w:vAlign w:val="bottom"/>
          </w:tcPr>
          <w:p>
            <w:pPr>
              <w:spacing w:after="0"/>
              <w:rPr>
                <w:sz w:val="15"/>
                <w:szCs w:val="15"/>
                <w:color w:val="auto"/>
              </w:rPr>
            </w:pPr>
          </w:p>
        </w:tc>
        <w:tc>
          <w:tcPr>
            <w:tcW w:w="136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8"/>
              </w:rPr>
              <w:t>Effective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80" w:lineRule="exact"/>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5"/>
                <w:szCs w:val="15"/>
                <w:color w:val="auto"/>
              </w:rPr>
            </w:pPr>
          </w:p>
        </w:tc>
        <w:tc>
          <w:tcPr>
            <w:tcW w:w="1120" w:type="dxa"/>
            <w:vAlign w:val="bottom"/>
            <w:gridSpan w:val="2"/>
          </w:tcPr>
          <w:p>
            <w:pPr>
              <w:jc w:val="center"/>
              <w:ind w:right="360"/>
              <w:spacing w:after="0" w:line="180"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5"/>
                <w:szCs w:val="15"/>
                <w:color w:val="auto"/>
              </w:rPr>
            </w:pPr>
          </w:p>
        </w:tc>
        <w:tc>
          <w:tcPr>
            <w:tcW w:w="1160" w:type="dxa"/>
            <w:vAlign w:val="bottom"/>
            <w:gridSpan w:val="2"/>
          </w:tcPr>
          <w:p>
            <w:pPr>
              <w:jc w:val="center"/>
              <w:ind w:right="340"/>
              <w:spacing w:after="0" w:line="180"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020" w:type="dxa"/>
            <w:vAlign w:val="bottom"/>
          </w:tcPr>
          <w:p>
            <w:pPr>
              <w:jc w:val="right"/>
              <w:ind w:right="392"/>
              <w:spacing w:after="0" w:line="180" w:lineRule="exact"/>
              <w:rPr>
                <w:sz w:val="20"/>
                <w:szCs w:val="20"/>
                <w:color w:val="auto"/>
              </w:rPr>
            </w:pPr>
            <w:r>
              <w:rPr>
                <w:rFonts w:ascii="Arial" w:cs="Arial" w:eastAsia="Arial" w:hAnsi="Arial"/>
                <w:sz w:val="18"/>
                <w:szCs w:val="18"/>
                <w:b w:val="1"/>
                <w:bCs w:val="1"/>
                <w:color w:val="auto"/>
              </w:rPr>
              <w:t>Fair</w:t>
            </w:r>
          </w:p>
        </w:tc>
      </w:tr>
      <w:tr>
        <w:trPr>
          <w:trHeight w:val="225"/>
        </w:trPr>
        <w:tc>
          <w:tcPr>
            <w:tcW w:w="444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Interest Rate</w:t>
            </w:r>
          </w:p>
        </w:tc>
        <w:tc>
          <w:tcPr>
            <w:tcW w:w="20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c>
          <w:tcPr>
            <w:tcW w:w="24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Value</w:t>
            </w:r>
          </w:p>
        </w:tc>
      </w:tr>
      <w:tr>
        <w:trPr>
          <w:trHeight w:val="205"/>
        </w:trPr>
        <w:tc>
          <w:tcPr>
            <w:tcW w:w="44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5 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765,668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825,555</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838,740</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440" w:type="dxa"/>
            <w:vAlign w:val="bottom"/>
          </w:tcPr>
          <w:p>
            <w:pPr>
              <w:ind w:left="120"/>
              <w:spacing w:after="0" w:line="204" w:lineRule="exact"/>
              <w:rPr>
                <w:sz w:val="20"/>
                <w:szCs w:val="20"/>
                <w:color w:val="auto"/>
              </w:rPr>
            </w:pPr>
            <w:r>
              <w:rPr>
                <w:rFonts w:ascii="Arial" w:cs="Arial" w:eastAsia="Arial" w:hAnsi="Arial"/>
                <w:sz w:val="18"/>
                <w:szCs w:val="18"/>
                <w:color w:val="auto"/>
              </w:rPr>
              <w:t>Total long-term debt,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1,496,185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1,542,691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1,495,994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1,664,295</w:t>
            </w: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income tax provision was $32.8 million for the three months ended March 31, 2022 compared to our income tax provision of $22.1 million for the three months ended March 31, 2021. Our estimated effective income tax rate was 26.9% and 22.2% for the three months ended March 31, 2022 and 2021, respectively. The variations in our effective tax rate from the U.S. federal statutory rate for the three months ended March 31, 2022 were primarily due to excluded foreign losses where the Company carries a full valuation allowance and the impact of state and local taxes. The variations in our effective tax rate from the U.S. federal statutory rate for the three months ended March 31, 2021 were primarily due to excluded foreign losses where the Company carries a full valuation allowance and by the change in net unrealized gains that are capital in nature.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RELATED PARTY TRANSACTIONS - DISH NETWORK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EchoStar Technologies businesses and certain other assets (collectively, the “Share Exchange”). The Tracking Stock was retired in March 2017.</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ectPr>
          <w:pgSz w:w="11900" w:h="16838" w:orient="portrait"/>
          <w:cols w:equalWidth="0" w:num="1">
            <w:col w:w="11240"/>
          </w:cols>
          <w:pgMar w:left="320" w:top="140" w:right="3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our </w:t>
      </w:r>
      <w:r>
        <w:rPr>
          <w:rFonts w:ascii="Arial" w:cs="Arial" w:eastAsia="Arial" w:hAnsi="Arial"/>
          <w:sz w:val="17"/>
          <w:szCs w:val="17"/>
          <w:i w:val="1"/>
          <w:iCs w:val="1"/>
          <w:color w:val="auto"/>
        </w:rPr>
        <w:t>Services and other revenue - DISH Network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334010</wp:posOffset>
            </wp:positionV>
            <wp:extent cx="7134860"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 and other revenue - DISH Network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7134860" cy="168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accounts receivable - DISH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8"/>
        </w:trPr>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67"/>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2022   December 31, 2021</w:t>
            </w:r>
          </w:p>
        </w:tc>
      </w:tr>
      <w:tr>
        <w:trPr>
          <w:trHeight w:val="218"/>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40" w:right="339" w:bottom="1440" w:gutter="0" w:footer="0" w:header="0"/>
          <w:type w:val="continuous"/>
        </w:sectPr>
      </w:pP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IX satellite. Subject to availability, DISH Network generally has the right to continue leasing satellite capacity from us on the EchoStar IX satellite on a month-to-month basis.</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Telesat Obligation Agreement. </w:t>
      </w:r>
      <w:r>
        <w:rPr>
          <w:rFonts w:ascii="Arial" w:cs="Arial" w:eastAsia="Arial" w:hAnsi="Arial"/>
          <w:sz w:val="17"/>
          <w:szCs w:val="17"/>
          <w:color w:val="auto"/>
        </w:rPr>
        <w:t>In September 2009, we entered into an agreement with Telesat Canada to lease satellite capacity from Telesat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on all 32 direct broadcast satellite (“DBS”) transponders on the Nimiq 5 satellite at the 72.7 degree west longitude orbital location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4" w:lineRule="exact"/>
        <w:rPr>
          <w:sz w:val="20"/>
          <w:szCs w:val="20"/>
          <w:color w:val="auto"/>
        </w:rPr>
      </w:pPr>
    </w:p>
    <w:p>
      <w:pPr>
        <w:jc w:val="both"/>
        <w:ind w:left="640" w:hanging="316"/>
        <w:spacing w:after="0" w:line="22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use certain of our space at 100 Inverness Terrace East, Englewood, Colorado for an initial period ending in December 2020. Effective December 2020, we amended this agreement to extend the license until December 2021. Effective December 2021, we amended this agreement to extend the license until December 2022. This agreement may be terminated by either party upon 180 days’ prior notice. Subsequent to December 2022,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05" w:lineRule="exact"/>
        <w:rPr>
          <w:rFonts w:ascii="Arial" w:cs="Arial" w:eastAsia="Arial" w:hAnsi="Arial"/>
          <w:sz w:val="18"/>
          <w:szCs w:val="18"/>
          <w:color w:val="auto"/>
        </w:rPr>
      </w:pPr>
    </w:p>
    <w:p>
      <w:pPr>
        <w:jc w:val="both"/>
        <w:ind w:left="640" w:hanging="316"/>
        <w:spacing w:after="0" w:line="256" w:lineRule="auto"/>
        <w:tabs>
          <w:tab w:leader="none" w:pos="6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2016. We and DISH Network have amended this lease over time to, among other things, extend the term through December 2022. After December 2022, this agreement may be converted by mutual consent to a month-to-month lease agreement with either party having the right to terminate upon 30 days’ notice.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ectPr>
          <w:pgSz w:w="11900" w:h="16838" w:orient="portrait"/>
          <w:cols w:equalWidth="0" w:num="1">
            <w:col w:w="11240"/>
          </w:cols>
          <w:pgMar w:left="320" w:top="140" w:right="3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operating expenses related to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7134860" cy="168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 DISH Network</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374015</wp:posOffset>
            </wp:positionV>
            <wp:extent cx="7134860" cy="168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accounts payable - DISH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8"/>
        </w:trPr>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67"/>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2022   December 31, 2021</w:t>
            </w:r>
          </w:p>
        </w:tc>
      </w:tr>
      <w:tr>
        <w:trPr>
          <w:trHeight w:val="218"/>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Amended and Restated Professional Services Agreement</w:t>
      </w:r>
      <w:r>
        <w:rPr>
          <w:rFonts w:ascii="Arial" w:cs="Arial" w:eastAsia="Arial" w:hAnsi="Arial"/>
          <w:sz w:val="17"/>
          <w:szCs w:val="17"/>
          <w:color w:val="auto"/>
        </w:rPr>
        <w:t>. In connection with the Spin-off, we entered into various agreements with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Real Estate Leases from DISH Network. </w:t>
      </w:r>
      <w:r>
        <w:rPr>
          <w:rFonts w:ascii="Arial" w:cs="Arial" w:eastAsia="Arial" w:hAnsi="Arial"/>
          <w:sz w:val="17"/>
          <w:szCs w:val="17"/>
          <w:color w:val="auto"/>
        </w:rPr>
        <w:t>Effective March 2017, we entered into a lease with DISH Network for certain space at 530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We and DISH Network entered into an agreement pursuant to which DISH Network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November 2020, we provided a termination notice for one of our Englewood, Colorado agreements to be effective May 2021. In August 2017, we and DISH Network also entered into certain other agreements pursuant to which DISH Network provides additional collocation and antenna space to us in Monee, Illinois and Spokane, Washington through August 2022. In November 2021, we exercised our right to renew the collocation agreements at Gilbert, Arizona, Cheyenne, Wyoming, Spokane, Washington, Englewood, Colorado and Monee, Illinois for a period ending in February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w:t>
      </w:r>
    </w:p>
    <w:p>
      <w:pPr>
        <w:spacing w:after="0" w:line="1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$1.7 million and $1.9 million for the three months ended March 31, 2022 and 2021, respectively.</w:t>
      </w:r>
    </w:p>
    <w:p>
      <w:pPr>
        <w:spacing w:after="0" w:line="20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after June 2022, may be terminated by either party upon 90 days’ prior written notice.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receivables owed from DISH Network:</w:t>
      </w:r>
    </w:p>
    <w:p>
      <w:pPr>
        <w:spacing w:after="0" w:line="116"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17780</wp:posOffset>
            </wp:positionV>
            <wp:extent cx="2145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5665" cy="8255"/>
                    </a:xfrm>
                    <a:prstGeom prst="rect">
                      <a:avLst/>
                    </a:prstGeom>
                    <a:noFill/>
                  </pic:spPr>
                </pic:pic>
              </a:graphicData>
            </a:graphic>
          </wp:anchor>
        </w:drawing>
      </w:r>
    </w:p>
    <w:p>
      <w:pPr>
        <w:spacing w:after="0" w:line="12" w:lineRule="exact"/>
        <w:rPr>
          <w:sz w:val="20"/>
          <w:szCs w:val="20"/>
          <w:color w:val="auto"/>
        </w:rPr>
      </w:pPr>
    </w:p>
    <w:p>
      <w:pPr>
        <w:ind w:left="8060"/>
        <w:spacing w:after="0"/>
        <w:tabs>
          <w:tab w:leader="none" w:pos="9620" w:val="left"/>
        </w:tabs>
        <w:rPr>
          <w:sz w:val="20"/>
          <w:szCs w:val="20"/>
          <w:color w:val="auto"/>
        </w:rPr>
      </w:pPr>
      <w:r>
        <w:rPr>
          <w:rFonts w:ascii="Arial" w:cs="Arial" w:eastAsia="Arial" w:hAnsi="Arial"/>
          <w:sz w:val="18"/>
          <w:szCs w:val="18"/>
          <w:b w:val="1"/>
          <w:bCs w:val="1"/>
          <w:color w:val="auto"/>
        </w:rPr>
        <w:t>March 31, 2022</w:t>
      </w:r>
      <w:r>
        <w:rPr>
          <w:sz w:val="20"/>
          <w:szCs w:val="20"/>
          <w:color w:val="auto"/>
        </w:rPr>
        <w:tab/>
      </w:r>
      <w:r>
        <w:rPr>
          <w:rFonts w:ascii="Arial" w:cs="Arial" w:eastAsia="Arial" w:hAnsi="Arial"/>
          <w:sz w:val="17"/>
          <w:szCs w:val="17"/>
          <w:b w:val="1"/>
          <w:bCs w:val="1"/>
          <w:color w:val="auto"/>
        </w:rPr>
        <w:t>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 current</w:t>
            </w:r>
          </w:p>
        </w:tc>
        <w:tc>
          <w:tcPr>
            <w:tcW w:w="58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60" w:type="dxa"/>
            <w:vAlign w:val="bottom"/>
          </w:tcPr>
          <w:p>
            <w:pPr>
              <w:ind w:left="20"/>
              <w:spacing w:after="0" w:line="198" w:lineRule="exact"/>
              <w:rPr>
                <w:sz w:val="20"/>
                <w:szCs w:val="20"/>
                <w:color w:val="auto"/>
              </w:rPr>
            </w:pPr>
            <w:r>
              <w:rPr>
                <w:rFonts w:ascii="Arial" w:cs="Arial" w:eastAsia="Arial" w:hAnsi="Arial"/>
                <w:sz w:val="18"/>
                <w:szCs w:val="18"/>
                <w:color w:val="auto"/>
              </w:rPr>
              <w:t>Other receivables - DISH Network, noncurrent</w:t>
            </w:r>
          </w:p>
        </w:tc>
        <w:tc>
          <w:tcPr>
            <w:tcW w:w="580" w:type="dxa"/>
            <w:vAlign w:val="bottom"/>
            <w:tcBorders>
              <w:bottom w:val="single" w:sz="8" w:color="auto"/>
            </w:tcBorders>
          </w:tcPr>
          <w:p>
            <w:pPr>
              <w:jc w:val="right"/>
              <w:ind w:right="37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76,536</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77,920</w:t>
            </w:r>
          </w:p>
        </w:tc>
      </w:tr>
      <w:tr>
        <w:trPr>
          <w:trHeight w:val="20"/>
        </w:trPr>
        <w:tc>
          <w:tcPr>
            <w:tcW w:w="7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Effective December 2007, we and DISH Network entered into a tax sharing agreement (the “Tax Sharing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Share Exchange Intellectual Property and Technology License Agreement</w:t>
      </w:r>
      <w:r>
        <w:rPr>
          <w:rFonts w:ascii="Arial" w:cs="Arial" w:eastAsia="Arial" w:hAnsi="Arial"/>
          <w:sz w:val="17"/>
          <w:szCs w:val="17"/>
          <w:color w:val="auto"/>
        </w:rPr>
        <w:t>. Effective March 2017, in connection with the Share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 - OTHER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President of our subsidiary Hughes Communications and a member of our board of directors, and his brother, who is the Chief Executive Officer and President of Hughes Systique, own in the aggregate approximately 25%, on an undiluted basis, of Hughes Systique’s outstanding shares as of March 31, 2022.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$0.4 million for the three months ended March 31, 2022 and 2021, respectively. As of March 31, 2022 we had $0.2 million of trade accounts receivable from TSI.</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The case is expected to be dismissed once the Court approves a class distribution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March 31, 2021 and March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91"/>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19"/>
        </w:trPr>
        <w:tc>
          <w:tcPr>
            <w:tcW w:w="78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Additional license fees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r>
      <w:tr>
        <w:trPr>
          <w:trHeight w:val="225"/>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Payments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r>
      <w:tr>
        <w:trPr>
          <w:trHeight w:val="244"/>
        </w:trPr>
        <w:tc>
          <w:tcPr>
            <w:tcW w:w="78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accrual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SEGMENT REPORTING</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Corporate and</w:t>
            </w: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2022</w:t>
            </w: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494,106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501,534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494,106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501,534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61,021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51,117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112,138</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82,196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97,039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179,235</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tcBorders>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18"/>
        </w:trPr>
        <w:tc>
          <w:tcPr>
            <w:tcW w:w="78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99,719</w:t>
            </w:r>
          </w:p>
        </w:tc>
      </w:tr>
      <w:tr>
        <w:trPr>
          <w:trHeight w:val="225"/>
        </w:trPr>
        <w:tc>
          <w:tcPr>
            <w:tcW w:w="78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(5,949)</w:t>
            </w:r>
          </w:p>
        </w:tc>
      </w:tr>
      <w:tr>
        <w:trPr>
          <w:trHeight w:val="226"/>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34,667</w:t>
            </w:r>
          </w:p>
        </w:tc>
      </w:tr>
      <w:tr>
        <w:trPr>
          <w:trHeight w:val="225"/>
        </w:trPr>
        <w:tc>
          <w:tcPr>
            <w:tcW w:w="7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129,286</w:t>
            </w:r>
          </w:p>
        </w:tc>
      </w:tr>
      <w:tr>
        <w:trPr>
          <w:trHeight w:val="226"/>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18"/>
        </w:trPr>
        <w:tc>
          <w:tcPr>
            <w:tcW w:w="7840" w:type="dxa"/>
            <w:vAlign w:val="bottom"/>
          </w:tcPr>
          <w:p>
            <w:pPr>
              <w:ind w:left="20"/>
              <w:spacing w:after="0" w:line="204" w:lineRule="exact"/>
              <w:rPr>
                <w:sz w:val="20"/>
                <w:szCs w:val="20"/>
                <w:color w:val="auto"/>
              </w:rPr>
            </w:pPr>
            <w:r>
              <w:rPr>
                <w:rFonts w:ascii="Arial" w:cs="Arial" w:eastAsia="Arial" w:hAnsi="Arial"/>
                <w:sz w:val="18"/>
                <w:szCs w:val="18"/>
                <w:color w:val="auto"/>
              </w:rPr>
              <w:t>EBITDA</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258,670</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SUPPLEMENTAL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Other current assets, net:</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110,001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103,084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deposits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57,287</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4,244</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209,905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120,965</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124,701</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76,536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77,920</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other non-current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335,794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05"/>
        </w:trPr>
        <w:tc>
          <w:tcPr>
            <w:tcW w:w="78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54,520</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63,935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58,540</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66,942</w:t>
            </w:r>
          </w:p>
        </w:tc>
        <w:tc>
          <w:tcPr>
            <w:tcW w:w="0" w:type="dxa"/>
            <w:vAlign w:val="bottom"/>
          </w:tcPr>
          <w:p>
            <w:pPr>
              <w:spacing w:after="0"/>
              <w:rPr>
                <w:sz w:val="1"/>
                <w:szCs w:val="1"/>
                <w:color w:val="auto"/>
              </w:rPr>
            </w:pP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7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18"/>
        </w:trPr>
        <w:tc>
          <w:tcPr>
            <w:tcW w:w="78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w:t>
            </w:r>
          </w:p>
        </w:tc>
        <w:tc>
          <w:tcPr>
            <w:tcW w:w="0" w:type="dxa"/>
            <w:vAlign w:val="bottom"/>
          </w:tcPr>
          <w:p>
            <w:pPr>
              <w:spacing w:after="0"/>
              <w:rPr>
                <w:sz w:val="1"/>
                <w:szCs w:val="1"/>
                <w:color w:val="auto"/>
              </w:rPr>
            </w:pPr>
          </w:p>
        </w:tc>
      </w:tr>
      <w:tr>
        <w:trPr>
          <w:trHeight w:val="218"/>
        </w:trPr>
        <w:tc>
          <w:tcPr>
            <w:tcW w:w="7860" w:type="dxa"/>
            <w:vAlign w:val="bottom"/>
          </w:tcPr>
          <w:p>
            <w:pPr>
              <w:ind w:left="220"/>
              <w:spacing w:after="0" w:line="204" w:lineRule="exact"/>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0"/>
        </w:trPr>
        <w:tc>
          <w:tcPr>
            <w:tcW w:w="7840" w:type="dxa"/>
            <w:vAlign w:val="bottom"/>
          </w:tcPr>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5"/>
        </w:trPr>
        <w:tc>
          <w:tcPr>
            <w:tcW w:w="7840" w:type="dxa"/>
            <w:vAlign w:val="bottom"/>
          </w:tcPr>
          <w:p>
            <w:pPr>
              <w:spacing w:after="0"/>
              <w:rPr>
                <w:sz w:val="24"/>
                <w:szCs w:val="24"/>
                <w:color w:val="auto"/>
              </w:rPr>
            </w:pPr>
          </w:p>
        </w:tc>
        <w:tc>
          <w:tcPr>
            <w:tcW w:w="34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Employee benefits paid in Class A common stock</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40" w:type="dxa"/>
            <w:vAlign w:val="bottom"/>
          </w:tcPr>
          <w:p>
            <w:pPr>
              <w:ind w:left="120"/>
              <w:spacing w:after="0" w:line="198" w:lineRule="exact"/>
              <w:rPr>
                <w:sz w:val="20"/>
                <w:szCs w:val="20"/>
                <w:color w:val="auto"/>
              </w:rPr>
            </w:pPr>
            <w:r>
              <w:rPr>
                <w:rFonts w:ascii="Arial" w:cs="Arial" w:eastAsia="Arial" w:hAnsi="Arial"/>
                <w:sz w:val="18"/>
                <w:szCs w:val="18"/>
                <w:color w:val="auto"/>
              </w:rPr>
              <w:t>Non-cash net assets received as part of the India JV formation</w:t>
            </w: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36,701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and broadband internet products and services for consumer customers, which include home and small to medium-sized businesses, satellite services and solutions for enterprise customers, which include aeronautical and government enterprises.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currently operate in two business segments: Hughes segment and EchoStar Satellite Services segment (“ESS segment”). These segments are consistent with the way we make decisions regarding the allocation of resources, as well as how operating results are reviewed by our chief operating decision maker, who is the Company’s Chief Executive Officer.</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operations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U.S. dollars, except share and per share amounts and unless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March 31, 2022:</w:t>
      </w:r>
    </w:p>
    <w:p>
      <w:pPr>
        <w:spacing w:after="0" w:line="266" w:lineRule="exact"/>
        <w:rPr>
          <w:sz w:val="20"/>
          <w:szCs w:val="20"/>
          <w:color w:val="auto"/>
        </w:rPr>
      </w:pPr>
    </w:p>
    <w:p>
      <w:pPr>
        <w:ind w:left="660" w:hanging="3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$501.5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$45.1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$88.9 million</w:t>
      </w:r>
    </w:p>
    <w:p>
      <w:pPr>
        <w:spacing w:after="0" w:line="8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$91.4 million and basic and diluted earnings per share of common stock of $1.07 and $1.06, respectively</w:t>
      </w:r>
    </w:p>
    <w:p>
      <w:pPr>
        <w:spacing w:after="0" w:line="7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(loss) attributable to non-controlling interests (“EBITDA”) of $253.2 million (see reconciliation of this non-GAAP measure in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2022:</w:t>
      </w:r>
    </w:p>
    <w:p>
      <w:pPr>
        <w:spacing w:after="0" w:line="266"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of $6.2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$1.5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continues to focus its efforts on optimizing financial returns of our existing satellites while planning for new satellite capacity to be launched, leased or acquired. In addition, we are also pursuing wireline and wireless capacity to utilize in markets that include residential, community WiFi, backhaul, and other enterprise broadband and multi-transport services.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experienced a material adverse impact from the Russia-Ukraine conflict and the associated sanctions.</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The EchoStar XXIV satellite is expected to be launched in the first quarter of 2023. Further delays or impediments could have a material adverse impact on our business operations, future revenues, financial position and prospects,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our Corporate and Other segment in our segment reporting.</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3360" w:type="dxa"/>
            <w:vAlign w:val="bottom"/>
            <w:tcBorders>
              <w:bottom w:val="single" w:sz="8" w:color="auto"/>
            </w:tcBorders>
            <w:gridSpan w:val="3"/>
          </w:tcPr>
          <w:p>
            <w:pPr>
              <w:jc w:val="right"/>
              <w:ind w:right="1372"/>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9"/>
        </w:trPr>
        <w:tc>
          <w:tcPr>
            <w:tcW w:w="78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351,000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33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9"/>
        </w:trPr>
        <w:tc>
          <w:tcPr>
            <w:tcW w:w="78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19"/>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Our U.S. consumer subscriber base in certain areas continues to be capacity constrained and we are managing the available capacity to maintain service quality to our existing subscribers. Balancing of total subscribers relative to capacity utilization in the three months ended March 31, 2022 resulted in lower total subscribers. During the three months ended March 31, 2022, the lower net subscribers were due to both lower gross additions and higher churn as compared to the three months ended December 31, 2021.</w:t>
      </w:r>
    </w:p>
    <w:p>
      <w:pPr>
        <w:spacing w:after="0" w:line="21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Latin America consumer subscriber base in certain areas, similar to the U.S., continues to be capacity constrained. Continued high bandwidth demand in certain areas has resulted in the need to manage subscriber growth, and we are balancing capacity utilization with subscriber levels in the impacted areas which resulted in lower total subscribers. During the three months ended March 31, 2022, the lower net subscribers were due to both lower gross additions primarily driven by more selective customer screening and higher churn driven by adverse economic conditions in the region as compared to the three months ended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execute our strategy of maximizing financial returns by utilizing capacity for applications other than consumer subscribers,</w:t>
      </w:r>
    </w:p>
    <w:p>
      <w:pPr>
        <w:spacing w:after="0" w:line="1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such as community WiFi, and for other enterprise and government opportunities in Latin America. Continued success of this strategy will further reduce the available capacity for consumer subscribers.</w:t>
      </w:r>
    </w:p>
    <w:p>
      <w:pPr>
        <w:spacing w:after="0" w:line="21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of March 31, 2022, our Hughes segment had $1.3 billion of contracted revenue backlog, a decrease of 1.8%, as compared to December 31, 2021, primarily due to a decrease in contracts from our domestic customers. We define Hughes segment contracted revenue backlog as our expected future revenue under enterprise customer contracts that are non-cancelable, including lease revenue.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31, 2022, our ESS segment had $14.0 million of contracted revenue backlog, an increase of 35%, as compared to December 31, 2021, primarily due to an increase in satellite service contracts with existing customers. We define contracted revenue backlog for our ESS segment as contracted future satellite lease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explore the development and deployment of S-band technologies that we expect will reduce the cost of satellite communications for internet-of-things,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develop a hybrid mobile satellite service (“MSS”) and complementary ground component (“CGC”) network in the E.U., the U.K. and other European countries, including through the use of our EchoStar XXI satellite, which was placed into service in November 2017, and the EUTELSAT 10A payload. We have positioned ourselves to continue to develop the S-band spectrum globally by acquiring Sirion Global Pty Ltd., which we have renamed EchoStar Global Australia Pty Ltd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obtained milestone relief due to these force majeure events. In the second quarter of 2021, we launched our third nano-satellite. The nano-satellite was successfully commissioned and placed at the altitude prescribed in our license for the S-band frequency. We have completed the process of fulfilling the remaining requirements under the International Telecommunication Union (“ITU”) Radio Regulations of bringing the Australian filing into use. The nano-satellite will now be used to develop and test a wide range of potential S-band applications and services. We also hold licenses for S-band MSS and terrestrial services in Mexico.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and the third parties with whom we work face a constantly evolving landscape of cybersecurity threats in which hackers and other parties use complex assortments of techniques and methods to execute cyberattacks. Cybersecurity incidents have increased significantly in quantity and severity and are expected to continue to increase. In addition to our efforts to mitigate cyber-attacks, we are making investments to alleviate the potential impact to our products. As a result of these efforts, we could discover new vulnerabilities within our products and systems. We may not discover all such vulnerabilities due to the scale of activities on our platforms, or due to other factors, including but not limited to issues outside of our control. In addition, our IT systems and infrastructure are vulnerable to damage from a variety of sources, including telecommunications or network failures, malicious acts, human errors and natural disasters. Moreover, despite network security and backup measures, some of our servers are potentially vulnerable to physical or electronic break-ins, computer viruses and similar disruptive problems.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months ended March 31, 2022.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the Three Months Ended March 31, 2021</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consolidated results of operations for the three months ended March 31, 2022 compared to the three months ended March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March 31,</w:t>
            </w:r>
          </w:p>
        </w:tc>
        <w:tc>
          <w:tcPr>
            <w:tcW w:w="280" w:type="dxa"/>
            <w:vAlign w:val="bottom"/>
          </w:tcPr>
          <w:p>
            <w:pPr>
              <w:spacing w:after="0"/>
              <w:rPr>
                <w:sz w:val="20"/>
                <w:szCs w:val="20"/>
                <w:color w:val="auto"/>
              </w:rPr>
            </w:pPr>
          </w:p>
        </w:tc>
        <w:tc>
          <w:tcPr>
            <w:tcW w:w="1800" w:type="dxa"/>
            <w:vAlign w:val="bottom"/>
            <w:gridSpan w:val="3"/>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20"/>
              <w:spacing w:after="0" w:line="207"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0"/>
                <w:szCs w:val="20"/>
                <w:b w:val="1"/>
                <w:bCs w:val="1"/>
                <w:color w:val="auto"/>
                <w:vertAlign w:val="superscript"/>
              </w:rPr>
              <w:t>(1)</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8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418,811</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430,337</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82,723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52,245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501,534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482,582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18,952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141,129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132,789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8,340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69,114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45,151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23,963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83.5 %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118,170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114,119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7,617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7,545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120,436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129,286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456,466</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429,120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27,346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45,068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53,462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9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6,422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8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(14,973)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(34,667)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19,694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80,686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8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76,659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46,257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121,727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99,719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22,008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(32,782)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(22,147)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7"/>
                <w:szCs w:val="17"/>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88,945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77,572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11,373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2,488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380" w:type="dxa"/>
            <w:vAlign w:val="bottom"/>
            <w:vMerge w:val="restart"/>
          </w:tcPr>
          <w:p>
            <w:pPr>
              <w:jc w:val="right"/>
              <w:ind w:right="178"/>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91,433</w:t>
            </w:r>
          </w:p>
        </w:tc>
        <w:tc>
          <w:tcPr>
            <w:tcW w:w="120" w:type="dxa"/>
            <w:vAlign w:val="bottom"/>
          </w:tcPr>
          <w:p>
            <w:pPr>
              <w:spacing w:after="0"/>
              <w:rPr>
                <w:sz w:val="13"/>
                <w:szCs w:val="13"/>
                <w:color w:val="auto"/>
              </w:rPr>
            </w:pPr>
          </w:p>
        </w:tc>
        <w:tc>
          <w:tcPr>
            <w:tcW w:w="360" w:type="dxa"/>
            <w:vAlign w:val="bottom"/>
            <w:vMerge w:val="restart"/>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1"/>
              <w:spacing w:after="0"/>
              <w:rPr>
                <w:sz w:val="20"/>
                <w:szCs w:val="20"/>
                <w:color w:val="auto"/>
              </w:rPr>
            </w:pPr>
            <w:r>
              <w:rPr>
                <w:rFonts w:ascii="Arial" w:cs="Arial" w:eastAsia="Arial" w:hAnsi="Arial"/>
                <w:sz w:val="16"/>
                <w:szCs w:val="16"/>
                <w:color w:val="auto"/>
              </w:rPr>
              <w:t>78,519</w:t>
            </w:r>
          </w:p>
        </w:tc>
        <w:tc>
          <w:tcPr>
            <w:tcW w:w="100" w:type="dxa"/>
            <w:vAlign w:val="bottom"/>
          </w:tcPr>
          <w:p>
            <w:pPr>
              <w:spacing w:after="0"/>
              <w:rPr>
                <w:sz w:val="13"/>
                <w:szCs w:val="13"/>
                <w:color w:val="auto"/>
              </w:rPr>
            </w:pPr>
          </w:p>
        </w:tc>
        <w:tc>
          <w:tcPr>
            <w:tcW w:w="2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12,914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3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(2)</w:t>
            </w:r>
          </w:p>
        </w:tc>
        <w:tc>
          <w:tcPr>
            <w:tcW w:w="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253,202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258,670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1,406,000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1,553,000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 is not meaningful.</w:t>
      </w:r>
    </w:p>
    <w:p>
      <w:pPr>
        <w:ind w:left="320" w:hanging="314"/>
        <w:spacing w:after="0" w:line="237" w:lineRule="auto"/>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ind w:left="320" w:hanging="314"/>
        <w:spacing w:after="0" w:line="250" w:lineRule="auto"/>
        <w:tabs>
          <w:tab w:leader="none" w:pos="3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generally accepted accounting principles (“U.S.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March 31, 2022 and 2021.</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$418.8 million for the three months ended March 31, 2022,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$11.5 million, or 2.7%, as compared to 2021. The decrease was primarily attributable to our Hughes segment related to lower sales of broadband services to our consumer customers of $17.0 million due to lower broadband consumer customers, partially offset by higher sales of broadband services to our enterprise customers of $3.3 million and to our mobile satellite system and other customers of $1.5 million. These variances reflect the negative impact of exchange rate fluctuations of $0.9 million, primarily attributable to our enterprise customers.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$82.7 million for the three months ended March 31, 2022, an increase of $30.5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58.3%, as compared to 2021. The increase was primarily attributable to increases in hardware sales to our enterprise customers of $28.2 million mainly associated with a certain customer in North America and to international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$141.1 million for the three months ended March 31, 2022,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$8.3 million, or 6.3%, as compared to 2021. The increase was attributable to a non-recurring decrease in a certain international regulatory fee of $4.5 million in 2021 and increases in costs provided to our consumer and enterprise customers, mainly related to service delivery expenses.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$69.1 million for the three months ended March 31, 2022, an increase of $24.0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53.1%, as compared to 2021. The increase was primarily attributable to the corresponding increase in equipment revenue and change in product mix.</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$118.2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2022, an increase of $4.1 million, or 3.5%, as compared to 2021. The increase was primarily attributable to increases in bad debt expense of $3.9 million primarily due to the recovery of bad debt reserves in 2021.</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$120.4 million for the three months ended March 31,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$8.9 million, or 6.8%, as compared to 2021. The decrease was primarily attributable to (i) decreases in our satellite depreciation of $9.4 million, mainly related to our SPACEWAY 3 satellite which was fully depreciated at the end of the first quarter of 2021, (ii) decreases in amortization of intangibles of $1.5 million, and (iii) decreases in other property and equipment depreciation expense of $1.6 million. These decreases were partially offset by increases in amortization of our capitalized software of $3.1 million.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$6.4 million for the three months ended March 31, 2022, an increase of $0.5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8.0%, as compared to 2021, primarily attributable to increases in the yield on our marketable investment securities.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$15.0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2022, a decrease of $19.7 million, or 56.8%, as compared to 2021. The decrease was primarily attributable to a decrease of $17.8 million in interest expense and the amortization of deferred financing cost as a result of the repurchases and maturity of our 7 5/8% Senior Unsecured Notes due 2021 and an increase of $1.8 million in capitalized interest relating to the EchoStar XXIV satellite program.</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$80.7 million in gains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 increase of $2.1 million, as compared to 2021. The change was primarily attributable to increased gains on marketable investment securities and other equity securities of $3.3 million.</w:t>
      </w:r>
    </w:p>
    <w:p>
      <w:pPr>
        <w:spacing w:after="0" w:line="19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Equity in earnings (losses) of unconsolidated affiliates, net</w:t>
      </w:r>
      <w:r>
        <w:rPr>
          <w:rFonts w:ascii="Arial" w:cs="Arial" w:eastAsia="Arial" w:hAnsi="Arial"/>
          <w:sz w:val="17"/>
          <w:szCs w:val="17"/>
          <w:color w:val="auto"/>
        </w:rPr>
        <w:t>. Equity in earnings (losses) of unconsolidated affiliates, net totaled $1.7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losses for the three months ended March 31, 2022, as compared to $1.4 million in earnings for the three months ended March 31, 2021, a negative change of $3.1 million. The change was related to net decreased earnings from our investments in our equity method investees.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$6.4 million in gains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2022, as compared to $4.1 million in losses for the three months ended March 31, 2021, a positive change of $10.5 million. The change was due to the net impact of foreign exchange rate fluctuations of certain foreign currencies during the quarter.</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$(32.8) million for the three months ended March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$(22.1) million for the three months ended March 31, 2021. Our effective income tax rate was 26.9% and 22.2% for the three months ended March 31, 2022 and 2021, respectively. The variations in our effective tax rate from the U.S. federal statutory rate for the three months ended March 31, 2022 were primarily due to excluded foreign losses where the Company carries a full valuation allowance, and the impact of state and local taxes. The variations in our effective tax rate from the U.S. federal statutory rate for the three months ended March 31, 2021 were primarily due to excluded foreign losses where the Company carries a full valuation allowance and by the change in net unrealized gains that are capital in nature.</w:t>
      </w:r>
    </w:p>
    <w:p>
      <w:pPr>
        <w:spacing w:after="0" w:line="207"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March 31,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78,519</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19,694</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2,086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March 31,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is a non-GAAP financial measure and is described under Explanation of Key Metrics and Other Items below.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table reconciles EBITDA to Net income (loss), the most directly comparable U.S. GAAP measure in our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March</w:t>
            </w:r>
          </w:p>
        </w:tc>
        <w:tc>
          <w:tcPr>
            <w:tcW w:w="280" w:type="dxa"/>
            <w:vAlign w:val="bottom"/>
          </w:tcPr>
          <w:p>
            <w:pPr>
              <w:spacing w:after="0"/>
              <w:rPr>
                <w:sz w:val="18"/>
                <w:szCs w:val="18"/>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87"/>
              </w:rPr>
              <w:t>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88,945</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Income tax provision (benefit),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253,202</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220" w:hanging="214"/>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45"/>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March 31,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10,463</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25"/>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r>
      <w:tr>
        <w:trPr>
          <w:trHeight w:val="219"/>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March 31, 2022</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253,202</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three months ended March 31, 2022, as compared to the three months ended March 31,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Hughes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7"/>
              </w:rPr>
              <w:t>Corporate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494,106</w:t>
            </w:r>
          </w:p>
        </w:tc>
        <w:tc>
          <w:tcPr>
            <w:tcW w:w="5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501,534</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112,138</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191,170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253,202</w:t>
            </w:r>
          </w:p>
        </w:tc>
        <w:tc>
          <w:tcPr>
            <w:tcW w:w="0" w:type="dxa"/>
            <w:vAlign w:val="bottom"/>
          </w:tcPr>
          <w:p>
            <w:pPr>
              <w:spacing w:after="0"/>
              <w:rPr>
                <w:sz w:val="1"/>
                <w:szCs w:val="1"/>
                <w:color w:val="auto"/>
              </w:rPr>
            </w:pPr>
          </w:p>
        </w:tc>
      </w:tr>
      <w:tr>
        <w:trPr>
          <w:trHeight w:val="252"/>
        </w:trPr>
        <w:tc>
          <w:tcPr>
            <w:tcW w:w="4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5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25"/>
        </w:trPr>
        <w:tc>
          <w:tcPr>
            <w:tcW w:w="48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179,235</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258,670</w:t>
            </w:r>
          </w:p>
        </w:tc>
        <w:tc>
          <w:tcPr>
            <w:tcW w:w="0" w:type="dxa"/>
            <w:vAlign w:val="bottom"/>
          </w:tcPr>
          <w:p>
            <w:pPr>
              <w:spacing w:after="0"/>
              <w:rPr>
                <w:sz w:val="1"/>
                <w:szCs w:val="1"/>
                <w:color w:val="auto"/>
              </w:rPr>
            </w:pPr>
          </w:p>
        </w:tc>
      </w:tr>
      <w:tr>
        <w:trPr>
          <w:trHeight w:val="542"/>
        </w:trPr>
        <w:tc>
          <w:tcPr>
            <w:tcW w:w="480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9"/>
          </w:tcPr>
          <w:p>
            <w:pPr>
              <w:ind w:left="20"/>
              <w:spacing w:after="0"/>
              <w:rPr>
                <w:sz w:val="20"/>
                <w:szCs w:val="20"/>
                <w:color w:val="auto"/>
              </w:rPr>
            </w:pPr>
            <w:r>
              <w:rPr>
                <w:rFonts w:ascii="Arial" w:cs="Arial" w:eastAsia="Arial" w:hAnsi="Arial"/>
                <w:sz w:val="18"/>
                <w:szCs w:val="18"/>
                <w:b w:val="1"/>
                <w:bCs w:val="1"/>
                <w:color w:val="auto"/>
              </w:rPr>
              <w:t>For the three months ended March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vMerge w:val="restart"/>
          </w:tcPr>
          <w:p>
            <w:pPr>
              <w:jc w:val="right"/>
              <w:ind w:right="1132"/>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87"/>
              </w:rPr>
              <w:t>31,</w:t>
            </w: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494,106</w:t>
            </w:r>
          </w:p>
        </w:tc>
        <w:tc>
          <w:tcPr>
            <w:tcW w:w="5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(21,175)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revenue was $494.1 million for the three months ended March 31, 2022, an increase of $18.2 million, or 3.8%, as compared to 2021. Services and other revenue decreased primarily due to lower sales of broadband services to our consumer customers of $17.0 million due to lower broadband consumer customers, partially offset by higher sales of broadband services to our enterprise customers of $3.3 million and to our mobile satellite system and other customers of $1.5 million. Equipment revenue increased primarily due to increases in hardware sales to our enterprise customers of $28.2 million mainly associated with a certain customer in North America and to international customers. These variances reflect the negative impact of exchange rate fluctuations of $0.9 million.</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$61.0 million for the three months ended March 31, 2022, a decrease of $21.2 million, or 25.8%, as compared to 2021, primarily due to decreases in expenditures associated with our consumer business, partially offset by increased expenditures related to the construction of our satellite-related ground infrastructure in preparation of the launch of EchoStar XXIV.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240" w:type="dxa"/>
            <w:vAlign w:val="bottom"/>
            <w:gridSpan w:val="3"/>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60" w:type="dxa"/>
            <w:vAlign w:val="bottom"/>
            <w:gridSpan w:val="6"/>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40" w:type="dxa"/>
            <w:vAlign w:val="bottom"/>
            <w:tcBorders>
              <w:bottom w:val="single" w:sz="8" w:color="CCEEFF"/>
            </w:tcBorders>
            <w:gridSpan w:val="8"/>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7"/>
              </w:rPr>
              <w:t>For the three months ended March</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vMerge w:val="restart"/>
          </w:tcPr>
          <w:p>
            <w:pPr>
              <w:jc w:val="right"/>
              <w:ind w:right="1112"/>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87"/>
              </w:rPr>
              <w:t>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$4.5 million for the three months ended March 31, 2022, an increase of $0.4 million, or 9.4%, compared to 2021, primarily due to an increase in transponder services provided to third parties.</w:t>
      </w:r>
    </w:p>
    <w:p>
      <w:pPr>
        <w:spacing w:after="0" w:line="20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EBITDA was $2.7 million for the three months ended March 31, 2022, an increase of $0.8 million, or 40.2%, as compared to 2021, primarily due to the increase in overall ESS segment revenue and lower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7"/>
              </w:rPr>
              <w:t>For the three months ended March</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87"/>
              </w:rPr>
              <w:t>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$3.0 million for the three months ended March 31, 2022, an increase of $0.3 million, or 12.1%, as compared to 2021, primarily due to increased services and other revenue from DISH Network.</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expenditures were $51.1 million for the three months ended March 31, 2022, a decrease of $45.9 million, as compared to 2021, primarily due to decreases in expenditures related to the EchoStar XXIV satellite program.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45"/>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40" w:type="dxa"/>
            <w:vAlign w:val="bottom"/>
          </w:tcPr>
          <w:p>
            <w:pPr>
              <w:spacing w:after="0"/>
              <w:rPr>
                <w:sz w:val="19"/>
                <w:szCs w:val="19"/>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58,173</w:t>
            </w: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2,086</w:t>
            </w: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5"/>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r>
      <w:tr>
        <w:trPr>
          <w:trHeight w:val="244"/>
        </w:trPr>
        <w:tc>
          <w:tcPr>
            <w:tcW w:w="4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59,341</w:t>
            </w:r>
          </w:p>
        </w:tc>
      </w:tr>
      <w:tr>
        <w:trPr>
          <w:trHeight w:val="20"/>
        </w:trPr>
        <w:tc>
          <w:tcPr>
            <w:tcW w:w="4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March 31, 2022 our cash, cash equivalents and marketable investment securities totaled $1.5 billion, $0.6 billion of which we held as marketable investment securities, consisting of various debt and equity instruments including corporate bonds, corporate equity securities, government bonds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38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5"/>
        </w:trPr>
        <w:tc>
          <w:tcPr>
            <w:tcW w:w="6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Variance</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(457,869)</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131,820</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flows provided by (used for) operating activities decreased by $12.5 million primarily attributable to changes in net income (loss) of $11.4 million, depreciation and amortization of $(8.9) million, gains (losses) on investments, net of $(2.1) million, foreign currency translation losses (gains), net of $(10.5) million, deferred tax provision (benefit), net of $7.2 million, and other, net of $(14.1) million and changes in assets and liabilities, net of $2.6 million.</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investing activities decreased by $457.9 million primarily attributable to our marketable investment securities net activity, other investments net activity, a decrease in expenditures for property and equipment, and the India JV formation.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financing activities improved by $131.8 million primarily attributable to decreases in treasury share repurchases of $74.6 million and the repurchase and maturity of our 7 5/8% Senior Unsecured Notes due 2021 of $62.6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2022, our satellite-related commitments were $299.8 million. These primarily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51"/>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March 31, 2022</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2"/>
        </w:trPr>
        <w:tc>
          <w:tcPr>
            <w:tcW w:w="89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6,864</w:t>
            </w: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r>
      <w:tr>
        <w:trPr>
          <w:trHeight w:val="219"/>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52,625</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Al Yah Satellite Communications Company PrJSC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 significant amount of outstanding indebtedness. As of March 31, 2022, our total indebtedness was $1.5 billion. Refer to our Form 10-K for a discussion of the terms of our long-term debt. Our liquidity requirements will continue to be significant, primarily due to our remaining debt service requirements and the design and construction and launch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2022.</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November 2, 2021, our Board of Directors authorized us to repurchase up to $500.0 million of our Class A common stock commencing January 1, 2022 through and including December 31, 2022.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three months ended March 31, 2022, we repurchased 1,462,094 shares of our Class A common stock for $35.0 million under this program. The remaining authorization under this program was $465.0 million as of March 31,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 in our Form 10-K. There have been no significant changes in our critical accounting policies from those presented 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4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4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Inflation started to impact our operations in 2021 and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will depend primarily on competitive pressures or contractual terms.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worldwide interruptions and delays in the supply of components, materials and parts, although not materially impacting our operations during the first quarter of 2022, may impact our ability to timely provide equipment deliveries in the future. These interruptions and delays could also increase the cost of our equipment which we may not be able to pass onto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from our investments accounted for using the equity method.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and Net income (loss) attributable to non-controlling interests (“EBITDA”)</w:t>
      </w:r>
      <w:r>
        <w:rPr>
          <w:rFonts w:ascii="Arial" w:cs="Arial" w:eastAsia="Arial" w:hAnsi="Arial"/>
          <w:sz w:val="18"/>
          <w:szCs w:val="18"/>
          <w:color w:val="auto"/>
        </w:rPr>
        <w:t>. EBITDA is defined as Net income (loss) excluding Interest income and expense, net, Income tax benefit (provision),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March 31, 2022, our market risk has not changed materially from those presented in our Form 10-K.</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and Rule 15d-15(f) under the Securities Exchange Act of 1934, as amended) that occurred during the three months ended March 31, 2022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14. Contingencies</w:t>
      </w:r>
      <w:r>
        <w:rPr>
          <w:rFonts w:ascii="Arial" w:cs="Arial" w:eastAsia="Arial" w:hAnsi="Arial"/>
          <w:sz w:val="18"/>
          <w:szCs w:val="18"/>
          <w:color w:val="auto"/>
        </w:rPr>
        <w:t xml:space="preserve"> - Litigation in this Form 10-Q.</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2021 includes a detailed discussion of our risk factors.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2022. During the year ended December 31, 2021, we repurchased 10,941,872 shares of our 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repurchases of our Class A common stock during the three months ended March 31,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9"/>
              </w:rPr>
              <w:t>Value) of Shares (or</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3"/>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Publicly Disclosed</w:t>
            </w:r>
          </w:p>
        </w:tc>
        <w:tc>
          <w:tcPr>
            <w:tcW w:w="120" w:type="dxa"/>
            <w:vAlign w:val="bottom"/>
          </w:tcPr>
          <w:p>
            <w:pPr>
              <w:spacing w:after="0"/>
              <w:rPr>
                <w:sz w:val="11"/>
                <w:szCs w:val="11"/>
                <w:color w:val="auto"/>
              </w:rPr>
            </w:pPr>
          </w:p>
        </w:tc>
        <w:tc>
          <w:tcPr>
            <w:tcW w:w="15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2"/>
        </w:trPr>
        <w:tc>
          <w:tcPr>
            <w:tcW w:w="4760" w:type="dxa"/>
            <w:vAlign w:val="bottom"/>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 (or Unit)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4"/>
                <w:szCs w:val="14"/>
                <w:color w:val="auto"/>
              </w:rPr>
            </w:pPr>
          </w:p>
        </w:tc>
        <w:tc>
          <w:tcPr>
            <w:tcW w:w="1540" w:type="dxa"/>
            <w:vAlign w:val="bottom"/>
          </w:tcPr>
          <w:p>
            <w:pPr>
              <w:jc w:val="center"/>
              <w:ind w:right="41"/>
              <w:spacing w:after="0" w:line="172" w:lineRule="exact"/>
              <w:rPr>
                <w:sz w:val="20"/>
                <w:szCs w:val="20"/>
                <w:color w:val="auto"/>
              </w:rPr>
            </w:pPr>
            <w:r>
              <w:rPr>
                <w:rFonts w:ascii="Arial" w:cs="Arial" w:eastAsia="Arial" w:hAnsi="Arial"/>
                <w:sz w:val="14"/>
                <w:szCs w:val="14"/>
                <w:b w:val="1"/>
                <w:bCs w:val="1"/>
                <w:color w:val="auto"/>
                <w:w w:val="99"/>
              </w:rPr>
              <w:t xml:space="preserve">Plans or Program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18"/>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371,314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371,314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490,990</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1520" w:type="dxa"/>
            <w:vAlign w:val="bottom"/>
          </w:tcPr>
          <w:p>
            <w:pPr>
              <w:jc w:val="right"/>
              <w:spacing w:after="0"/>
              <w:rPr>
                <w:sz w:val="20"/>
                <w:szCs w:val="20"/>
                <w:color w:val="auto"/>
              </w:rPr>
            </w:pPr>
            <w:r>
              <w:rPr>
                <w:rFonts w:ascii="Arial" w:cs="Arial" w:eastAsia="Arial" w:hAnsi="Arial"/>
                <w:sz w:val="18"/>
                <w:szCs w:val="18"/>
                <w:color w:val="auto"/>
              </w:rPr>
              <w:t>435,529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Arial" w:cs="Arial" w:eastAsia="Arial" w:hAnsi="Arial"/>
                <w:sz w:val="18"/>
                <w:szCs w:val="18"/>
                <w:color w:val="auto"/>
              </w:rPr>
              <w:t>435,529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8"/>
                <w:szCs w:val="18"/>
                <w:color w:val="auto"/>
              </w:rPr>
              <w:t>480,786</w:t>
            </w: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655,251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464,954</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1,462,094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1,462,094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464,954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20" w:hanging="314"/>
        <w:spacing w:after="0" w:line="214" w:lineRule="auto"/>
        <w:tabs>
          <w:tab w:leader="none" w:pos="15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May 5, 2022, we issued a press release (the “Press Release”) announcing our financial results for the quarter ended March 31, 2022.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Exhibit No.</w:t>
            </w: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9"/>
        </w:trPr>
        <w:tc>
          <w:tcPr>
            <w:tcW w:w="1080" w:type="dxa"/>
            <w:vAlign w:val="bottom"/>
            <w:gridSpan w:val="3"/>
          </w:tcPr>
          <w:p>
            <w:pPr>
              <w:ind w:left="660"/>
              <w:spacing w:after="0" w:line="179"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vMerge w:val="restart"/>
          </w:tcPr>
          <w:p>
            <w:pPr>
              <w:spacing w:after="0"/>
              <w:rPr>
                <w:rFonts w:ascii="Arial" w:cs="Arial" w:eastAsia="Arial" w:hAnsi="Arial"/>
                <w:sz w:val="17"/>
                <w:szCs w:val="17"/>
                <w:color w:val="0000FF"/>
                <w:w w:val="70"/>
              </w:rPr>
            </w:pPr>
            <w:hyperlink r:id="rId83">
              <w:r>
                <w:rPr>
                  <w:rFonts w:ascii="Arial" w:cs="Arial" w:eastAsia="Arial" w:hAnsi="Arial"/>
                  <w:sz w:val="17"/>
                  <w:szCs w:val="17"/>
                  <w:color w:val="0000FF"/>
                  <w:w w:val="70"/>
                </w:rPr>
                <w:t>Form</w:t>
              </w:r>
            </w:hyperlink>
          </w:p>
        </w:tc>
        <w:tc>
          <w:tcPr>
            <w:tcW w:w="9080" w:type="dxa"/>
            <w:vAlign w:val="bottom"/>
            <w:gridSpan w:val="9"/>
          </w:tcPr>
          <w:p>
            <w:pPr>
              <w:spacing w:after="0" w:line="179"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Offer Letter to Hamid Akhavan (incorporated by reference to Exhibit 10.1 to EchoStar Corporation’s Current Report</w:t>
              </w:r>
            </w:hyperlink>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9060" w:type="dxa"/>
            <w:vAlign w:val="bottom"/>
            <w:tcBorders>
              <w:top w:val="single" w:sz="8" w:color="0000FF"/>
            </w:tcBorders>
            <w:gridSpan w:val="8"/>
          </w:tcPr>
          <w:p>
            <w:pPr>
              <w:ind w:left="160"/>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8-K filed February 22, 2022, Commission File No. 001-33807)**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bottom w:val="single" w:sz="8" w:color="0000FF"/>
            </w:tcBorders>
            <w:gridSpan w:val="4"/>
          </w:tcPr>
          <w:p>
            <w:pPr>
              <w:spacing w:after="0" w:line="205" w:lineRule="exact"/>
              <w:rPr>
                <w:rFonts w:ascii="Arial" w:cs="Arial" w:eastAsia="Arial" w:hAnsi="Arial"/>
                <w:sz w:val="18"/>
                <w:szCs w:val="18"/>
                <w:color w:val="0000FF"/>
                <w:w w:val="96"/>
              </w:rPr>
            </w:pPr>
            <w:hyperlink w:anchor="page5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2(H)</w:t>
              </w:r>
            </w:hyperlink>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80" w:type="dxa"/>
            <w:vAlign w:val="bottom"/>
            <w:tcBorders>
              <w:top w:val="single" w:sz="8" w:color="0000FF"/>
              <w:bottom w:val="single" w:sz="8" w:color="0000FF"/>
            </w:tcBorders>
            <w:gridSpan w:val="4"/>
          </w:tcPr>
          <w:p>
            <w:pPr>
              <w:spacing w:after="0" w:line="205" w:lineRule="exact"/>
              <w:rPr>
                <w:rFonts w:ascii="Arial" w:cs="Arial" w:eastAsia="Arial" w:hAnsi="Arial"/>
                <w:sz w:val="18"/>
                <w:szCs w:val="18"/>
                <w:color w:val="0000FF"/>
                <w:w w:val="97"/>
              </w:rPr>
            </w:pPr>
            <w:hyperlink w:anchor="page58">
              <w:r>
                <w:rPr>
                  <w:rFonts w:ascii="Arial" w:cs="Arial" w:eastAsia="Arial" w:hAnsi="Arial"/>
                  <w:sz w:val="18"/>
                  <w:szCs w:val="18"/>
                  <w:color w:val="0000FF"/>
                  <w:w w:val="97"/>
                </w:rPr>
                <w:t>Form of Stock Option Agreement for Hamid Akhavan**</w:t>
              </w:r>
            </w:hyperlink>
          </w:p>
        </w:tc>
        <w:tc>
          <w:tcPr>
            <w:tcW w:w="820" w:type="dxa"/>
            <w:vAlign w:val="bottom"/>
            <w:tcBorders>
              <w:top w:val="single" w:sz="8" w:color="0000FF"/>
            </w:tcBorders>
            <w:gridSpan w:val="2"/>
          </w:tcPr>
          <w:p>
            <w:pPr>
              <w:spacing w:after="0"/>
              <w:rPr>
                <w:sz w:val="17"/>
                <w:szCs w:val="17"/>
                <w:color w:val="auto"/>
              </w:rPr>
            </w:pPr>
          </w:p>
        </w:tc>
        <w:tc>
          <w:tcPr>
            <w:tcW w:w="3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bottom w:val="single" w:sz="8" w:color="0000FF"/>
            </w:tcBorders>
            <w:gridSpan w:val="4"/>
          </w:tcPr>
          <w:p>
            <w:pPr>
              <w:spacing w:after="0" w:line="205" w:lineRule="exact"/>
              <w:rPr>
                <w:rFonts w:ascii="Arial" w:cs="Arial" w:eastAsia="Arial" w:hAnsi="Arial"/>
                <w:sz w:val="18"/>
                <w:szCs w:val="18"/>
                <w:color w:val="0000FF"/>
                <w:w w:val="96"/>
              </w:rPr>
            </w:pPr>
            <w:hyperlink w:anchor="page8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3(H)</w:t>
              </w:r>
            </w:hyperlink>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bottom w:val="single" w:sz="8" w:color="0000FF"/>
            </w:tcBorders>
            <w:gridSpan w:val="5"/>
          </w:tcPr>
          <w:p>
            <w:pPr>
              <w:spacing w:after="0" w:line="205"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Form of Restricted Stock Unit Agreement for Hamid Akhavan**</w:t>
              </w:r>
            </w:hyperlink>
          </w:p>
        </w:tc>
        <w:tc>
          <w:tcPr>
            <w:tcW w:w="4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4"/>
          </w:tcPr>
          <w:p>
            <w:pPr>
              <w:spacing w:after="0" w:line="205" w:lineRule="exact"/>
              <w:rPr>
                <w:rFonts w:ascii="Arial" w:cs="Arial" w:eastAsia="Arial" w:hAnsi="Arial"/>
                <w:sz w:val="18"/>
                <w:szCs w:val="18"/>
                <w:color w:val="0000FF"/>
                <w:w w:val="96"/>
              </w:rPr>
            </w:pPr>
            <w:hyperlink w:anchor="page10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1(H)</w:t>
              </w:r>
            </w:hyperlink>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9"/>
          </w:tcPr>
          <w:p>
            <w:pPr>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Section 302 Certification of Chief Executive Officer.</w:t>
              </w:r>
            </w:hyperlink>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FF"/>
            </w:tcBorders>
            <w:gridSpan w:val="4"/>
          </w:tcPr>
          <w:p>
            <w:pPr>
              <w:spacing w:after="0" w:line="205" w:lineRule="exact"/>
              <w:rPr>
                <w:rFonts w:ascii="Arial" w:cs="Arial" w:eastAsia="Arial" w:hAnsi="Arial"/>
                <w:sz w:val="18"/>
                <w:szCs w:val="18"/>
                <w:color w:val="0000FF"/>
                <w:w w:val="96"/>
              </w:rPr>
            </w:pPr>
            <w:hyperlink w:anchor="page101">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2(H)</w:t>
              </w:r>
            </w:hyperlink>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top w:val="single" w:sz="8" w:color="0000FF"/>
            </w:tcBorders>
            <w:gridSpan w:val="3"/>
          </w:tcPr>
          <w:p>
            <w:pPr>
              <w:spacing w:after="0" w:line="205" w:lineRule="exact"/>
              <w:rPr>
                <w:rFonts w:ascii="Arial" w:cs="Arial" w:eastAsia="Arial" w:hAnsi="Arial"/>
                <w:sz w:val="18"/>
                <w:szCs w:val="18"/>
                <w:color w:val="0000FF"/>
                <w:w w:val="98"/>
              </w:rPr>
            </w:pPr>
            <w:hyperlink w:anchor="page101">
              <w:r>
                <w:rPr>
                  <w:rFonts w:ascii="Arial" w:cs="Arial" w:eastAsia="Arial" w:hAnsi="Arial"/>
                  <w:sz w:val="18"/>
                  <w:szCs w:val="18"/>
                  <w:color w:val="0000FF"/>
                  <w:w w:val="98"/>
                </w:rPr>
                <w:t>Section 302 Certification of Chief Financial Officer.</w:t>
              </w:r>
            </w:hyperlink>
          </w:p>
        </w:tc>
        <w:tc>
          <w:tcPr>
            <w:tcW w:w="5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FF"/>
            </w:tcBorders>
            <w:gridSpan w:val="3"/>
          </w:tcPr>
          <w:p>
            <w:pPr>
              <w:spacing w:after="0" w:line="205" w:lineRule="exact"/>
              <w:rPr>
                <w:rFonts w:ascii="Arial" w:cs="Arial" w:eastAsia="Arial" w:hAnsi="Arial"/>
                <w:sz w:val="18"/>
                <w:szCs w:val="18"/>
                <w:color w:val="0000FF"/>
              </w:rPr>
            </w:pPr>
            <w:hyperlink w:anchor="page102">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7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20" w:type="dxa"/>
            <w:vAlign w:val="bottom"/>
            <w:tcBorders>
              <w:bottom w:val="single" w:sz="8" w:color="0000FF"/>
            </w:tcBorders>
            <w:gridSpan w:val="7"/>
          </w:tcPr>
          <w:p>
            <w:pPr>
              <w:spacing w:after="0" w:line="205" w:lineRule="exact"/>
              <w:rPr>
                <w:rFonts w:ascii="Arial" w:cs="Arial" w:eastAsia="Arial" w:hAnsi="Arial"/>
                <w:sz w:val="18"/>
                <w:szCs w:val="18"/>
                <w:color w:val="0000FF"/>
                <w:w w:val="97"/>
              </w:rPr>
            </w:pPr>
            <w:hyperlink w:anchor="page102">
              <w:r>
                <w:rPr>
                  <w:rFonts w:ascii="Arial" w:cs="Arial" w:eastAsia="Arial" w:hAnsi="Arial"/>
                  <w:sz w:val="18"/>
                  <w:szCs w:val="18"/>
                  <w:color w:val="0000FF"/>
                  <w:w w:val="97"/>
                </w:rPr>
                <w:t>Section 906 Certifications of Chief Executive Officer and Chief Financial Officer.</w:t>
              </w:r>
            </w:hyperlink>
          </w:p>
        </w:tc>
        <w:tc>
          <w:tcPr>
            <w:tcW w:w="2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rFonts w:ascii="Arial" w:cs="Arial" w:eastAsia="Arial" w:hAnsi="Arial"/>
                <w:sz w:val="18"/>
                <w:szCs w:val="18"/>
                <w:color w:val="0000FF"/>
              </w:rPr>
            </w:pPr>
            <w:hyperlink w:anchor="page103">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9"/>
          </w:tcPr>
          <w:p>
            <w:pPr>
              <w:spacing w:after="0" w:line="205" w:lineRule="exact"/>
              <w:rPr>
                <w:rFonts w:ascii="Arial" w:cs="Arial" w:eastAsia="Arial" w:hAnsi="Arial"/>
                <w:sz w:val="18"/>
                <w:szCs w:val="18"/>
                <w:color w:val="0000FF"/>
              </w:rPr>
            </w:pPr>
            <w:hyperlink w:anchor="page103">
              <w:r>
                <w:rPr>
                  <w:rFonts w:ascii="Arial" w:cs="Arial" w:eastAsia="Arial" w:hAnsi="Arial"/>
                  <w:sz w:val="18"/>
                  <w:szCs w:val="18"/>
                  <w:color w:val="0000FF"/>
                </w:rPr>
                <w:t>Press release dated May 5, 2022 issued by EchoStar Corporation regarding financial results for the period end</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100" w:type="dxa"/>
            <w:vAlign w:val="bottom"/>
            <w:gridSpan w:val="7"/>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9"/>
          </w:tcPr>
          <w:p>
            <w:pPr>
              <w:spacing w:after="0" w:line="152" w:lineRule="exact"/>
              <w:rPr>
                <w:rFonts w:ascii="Arial" w:cs="Arial" w:eastAsia="Arial" w:hAnsi="Arial"/>
                <w:sz w:val="17"/>
                <w:szCs w:val="17"/>
                <w:color w:val="0000FF"/>
              </w:rPr>
            </w:pPr>
            <w:hyperlink w:anchor="page103">
              <w:r>
                <w:rPr>
                  <w:rFonts w:ascii="Arial" w:cs="Arial" w:eastAsia="Arial" w:hAnsi="Arial"/>
                  <w:sz w:val="17"/>
                  <w:szCs w:val="17"/>
                  <w:color w:val="0000FF"/>
                </w:rPr>
                <w:t>March 31, 2022.</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1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spacing w:after="0" w:line="20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80" w:type="dxa"/>
            <w:vAlign w:val="bottom"/>
            <w:gridSpan w:val="9"/>
          </w:tcPr>
          <w:p>
            <w:pPr>
              <w:spacing w:after="0" w:line="205" w:lineRule="exact"/>
              <w:rPr>
                <w:sz w:val="20"/>
                <w:szCs w:val="20"/>
                <w:color w:val="auto"/>
              </w:rPr>
            </w:pPr>
            <w:r>
              <w:rPr>
                <w:rFonts w:ascii="Arial" w:cs="Arial" w:eastAsia="Arial" w:hAnsi="Arial"/>
                <w:sz w:val="18"/>
                <w:szCs w:val="18"/>
                <w:color w:val="auto"/>
                <w:w w:val="98"/>
              </w:rPr>
              <w:t>XBRL Instance Document. The instance document does not appear in the Interactive Data File because its XBRL ta</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60" w:hanging="35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Filed herewith.</w:t>
      </w:r>
    </w:p>
    <w:p>
      <w:pPr>
        <w:ind w:left="300" w:hanging="294"/>
        <w:spacing w:after="0" w:line="237"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w:t>
      </w:r>
    </w:p>
    <w:p>
      <w:pPr>
        <w:ind w:left="220" w:hanging="214"/>
        <w:spacing w:after="0" w:line="237"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56"/>
        </w:trPr>
        <w:tc>
          <w:tcPr>
            <w:tcW w:w="3120" w:type="dxa"/>
            <w:vAlign w:val="bottom"/>
          </w:tcPr>
          <w:p>
            <w:pPr>
              <w:spacing w:after="0"/>
              <w:rPr>
                <w:sz w:val="20"/>
                <w:szCs w:val="20"/>
                <w:color w:val="auto"/>
              </w:rPr>
            </w:pPr>
            <w:r>
              <w:rPr>
                <w:rFonts w:ascii="Arial" w:cs="Arial" w:eastAsia="Arial" w:hAnsi="Arial"/>
                <w:sz w:val="18"/>
                <w:szCs w:val="18"/>
                <w:color w:val="auto"/>
              </w:rPr>
              <w:t>Date: May 5, 2022</w:t>
            </w:r>
          </w:p>
        </w:tc>
        <w:tc>
          <w:tcPr>
            <w:tcW w:w="2320" w:type="dxa"/>
            <w:vAlign w:val="bottom"/>
          </w:tcPr>
          <w:p>
            <w:pPr>
              <w:ind w:left="168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Hamid Akhavan</w:t>
            </w:r>
          </w:p>
        </w:tc>
      </w:tr>
      <w:tr>
        <w:trPr>
          <w:trHeight w:val="218"/>
        </w:trPr>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3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56"/>
        </w:trPr>
        <w:tc>
          <w:tcPr>
            <w:tcW w:w="3120" w:type="dxa"/>
            <w:vAlign w:val="bottom"/>
          </w:tcPr>
          <w:p>
            <w:pPr>
              <w:spacing w:after="0"/>
              <w:rPr>
                <w:sz w:val="20"/>
                <w:szCs w:val="20"/>
                <w:color w:val="auto"/>
              </w:rPr>
            </w:pPr>
            <w:r>
              <w:rPr>
                <w:rFonts w:ascii="Arial" w:cs="Arial" w:eastAsia="Arial" w:hAnsi="Arial"/>
                <w:sz w:val="18"/>
                <w:szCs w:val="18"/>
                <w:color w:val="auto"/>
              </w:rPr>
              <w:t>Date: May 5, 2022</w:t>
            </w:r>
          </w:p>
        </w:tc>
        <w:tc>
          <w:tcPr>
            <w:tcW w:w="2320" w:type="dxa"/>
            <w:vAlign w:val="bottom"/>
          </w:tcPr>
          <w:p>
            <w:pPr>
              <w:ind w:left="168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18"/>
        </w:trPr>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3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74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 Officer</w:t>
            </w:r>
          </w:p>
        </w:tc>
      </w:tr>
      <w:tr>
        <w:trPr>
          <w:trHeight w:val="207"/>
        </w:trPr>
        <w:tc>
          <w:tcPr>
            <w:tcW w:w="3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3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75"/>
        </w:trPr>
        <w:tc>
          <w:tcPr>
            <w:tcW w:w="3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40"/>
          </w:cols>
          <w:pgMar w:left="320" w:top="1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OFFICER STOCK OPTION AGREEMENT</w:t>
      </w:r>
    </w:p>
    <w:p>
      <w:pPr>
        <w:spacing w:after="0" w:line="185"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This Stock Option Agreement (the “Agreement”) is entered into effective as of [Grant Date] (the “Grant Date”), by and between EchoStar Corporation, a Nevada corporation (the “Company”), and Hamid Akhavan (“Grantee”).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w:t>
      </w:r>
    </w:p>
    <w:p>
      <w:pPr>
        <w:spacing w:after="0" w:line="206" w:lineRule="exact"/>
        <w:rPr>
          <w:sz w:val="20"/>
          <w:szCs w:val="20"/>
          <w:color w:val="auto"/>
        </w:rPr>
      </w:pPr>
    </w:p>
    <w:p>
      <w:pPr>
        <w:ind w:firstLine="636"/>
        <w:spacing w:after="0" w:line="291" w:lineRule="auto"/>
        <w:rPr>
          <w:sz w:val="20"/>
          <w:szCs w:val="20"/>
          <w:color w:val="auto"/>
        </w:rPr>
      </w:pPr>
      <w:r>
        <w:rPr>
          <w:rFonts w:ascii="Arial" w:cs="Arial" w:eastAsia="Arial" w:hAnsi="Arial"/>
          <w:sz w:val="17"/>
          <w:szCs w:val="17"/>
          <w:color w:val="auto"/>
        </w:rPr>
        <w:t>WHEREAS, the Company, pursuant to its 2017 Stock Incentive Plan (as amended from time to time, the “Plan”) desires to grant this stock option to Grantee, and Grantee desires to accept such stock option, each under the terms and conditions set forth in this Agreement; and</w:t>
      </w:r>
    </w:p>
    <w:p>
      <w:pPr>
        <w:spacing w:after="0" w:line="135"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WHEREAS, the Option (as defined below) is intended to be consideration in exchange for the covenants herein contained and not in exchange for any right with respect to continuance of employment with or service to the Company or any of its direct or indirect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06"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78"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Grant of Option</w:t>
      </w:r>
    </w:p>
    <w:p>
      <w:pPr>
        <w:spacing w:after="0" w:line="206"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8"/>
          <w:szCs w:val="18"/>
          <w:color w:val="auto"/>
        </w:rPr>
        <w:t>The Company hereby grants to Grantee, as of the Grant Date, the right and option (hereinafter called the “Option”) to purchase all or any part of an aggregate of [Number of Shares Granted] shares of the Class A common stock of the Company, par value $0.001 per share (the “Common Shares”), at the price of $[Grant Price] per share (the “Option Price”), on the terms and conditions set forth in this Agreement, which price is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an incentive stock option (an “ISO”) within the meaning of the Internal Revenue Code of 1986, as amended, and regulations thereunder (the “Code”) to the full extent permitted under the provisions of the Code; provided that any portion of the Option that is not eligible to be an ISO under the Code shall be a non-statutory stock option that does not qualify as an “incentive stock option” within the meaning of the Code. Grantee understands, acknowledges, agrees and hereby stipulates that to the extent that the aggregate fair market value (as determined by the Company in its sole and absolute discretion for any reason or no reason at any time and from time to time as of the Grant Date) of the Common Shares with respect to which all ISOs are exercisable for the first time by Grantee during any calendar year exceeds one-hundred thousand dollars ($100,000), in accordance with Section 422(d) of the Code, such options, including without limitation, all or a portion of the Option, shall be treated as options that do not qualify as ISOs.</w:t>
      </w:r>
    </w:p>
    <w:p>
      <w:pPr>
        <w:spacing w:after="0" w:line="177"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46"/>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Duration and Exercisability</w:t>
      </w:r>
    </w:p>
    <w:p>
      <w:pPr>
        <w:spacing w:after="0" w:line="271" w:lineRule="exact"/>
        <w:rPr>
          <w:rFonts w:ascii="Arial" w:cs="Arial" w:eastAsia="Arial" w:hAnsi="Arial"/>
          <w:sz w:val="19"/>
          <w:szCs w:val="19"/>
          <w:color w:val="auto"/>
        </w:rPr>
      </w:pPr>
    </w:p>
    <w:p>
      <w:pPr>
        <w:jc w:val="both"/>
        <w:ind w:right="100" w:firstLine="642"/>
        <w:spacing w:after="0" w:line="226" w:lineRule="auto"/>
        <w:tabs>
          <w:tab w:leader="none" w:pos="1262" w:val="left"/>
        </w:tabs>
        <w:numPr>
          <w:ilvl w:val="1"/>
          <w:numId w:val="16"/>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the Plan and Grantee being an employee of the Company or its direct or indirect subsidiaries, if any, on each of the following vesting dates (each, a “Vesting Date”), the Option shall vest on, and may be exercised by Grantee in accordance with, the following vesting schedule:</w:t>
      </w:r>
    </w:p>
    <w:p>
      <w:pPr>
        <w:spacing w:after="0" w:line="228" w:lineRule="exact"/>
        <w:rPr>
          <w:sz w:val="20"/>
          <w:szCs w:val="20"/>
          <w:color w:val="auto"/>
        </w:rPr>
      </w:pPr>
    </w:p>
    <w:tbl>
      <w:tblPr>
        <w:tblLayout w:type="fixed"/>
        <w:tblInd w:w="1010" w:type="dxa"/>
        <w:tblCellMar>
          <w:top w:w="0" w:type="dxa"/>
          <w:left w:w="0" w:type="dxa"/>
          <w:bottom w:w="0" w:type="dxa"/>
          <w:right w:w="0" w:type="dxa"/>
        </w:tblCellMar>
      </w:tblPr>
      <w:tr>
        <w:trPr>
          <w:trHeight w:val="199"/>
        </w:trPr>
        <w:tc>
          <w:tcPr>
            <w:tcW w:w="4500" w:type="dxa"/>
            <w:vAlign w:val="bottom"/>
            <w:tcBorders>
              <w:top w:val="single" w:sz="8" w:color="auto"/>
              <w:left w:val="single" w:sz="8" w:color="auto"/>
              <w:right w:val="single" w:sz="8" w:color="auto"/>
            </w:tcBorders>
            <w:vMerge w:val="restart"/>
            <w:shd w:val="clear" w:color="auto" w:fill="D9D9D9"/>
          </w:tcPr>
          <w:p>
            <w:pPr>
              <w:ind w:left="1360"/>
              <w:spacing w:after="0"/>
              <w:rPr>
                <w:sz w:val="20"/>
                <w:szCs w:val="20"/>
                <w:color w:val="auto"/>
              </w:rPr>
            </w:pPr>
            <w:r>
              <w:rPr>
                <w:rFonts w:ascii="Arial" w:cs="Arial" w:eastAsia="Arial" w:hAnsi="Arial"/>
                <w:sz w:val="19"/>
                <w:szCs w:val="19"/>
                <w:b w:val="1"/>
                <w:bCs w:val="1"/>
                <w:color w:val="auto"/>
              </w:rPr>
              <w:t>On each Vesting Date</w:t>
            </w:r>
          </w:p>
        </w:tc>
        <w:tc>
          <w:tcPr>
            <w:tcW w:w="3320" w:type="dxa"/>
            <w:vAlign w:val="bottom"/>
            <w:tcBorders>
              <w:top w:val="single" w:sz="8" w:color="auto"/>
              <w:right w:val="single" w:sz="8" w:color="auto"/>
            </w:tcBorders>
            <w:shd w:val="clear" w:color="auto" w:fill="D9D9D9"/>
          </w:tcPr>
          <w:p>
            <w:pPr>
              <w:jc w:val="center"/>
              <w:spacing w:after="0" w:line="199" w:lineRule="exact"/>
              <w:rPr>
                <w:sz w:val="20"/>
                <w:szCs w:val="20"/>
                <w:color w:val="auto"/>
              </w:rPr>
            </w:pPr>
            <w:r>
              <w:rPr>
                <w:rFonts w:ascii="Arial" w:cs="Arial" w:eastAsia="Arial" w:hAnsi="Arial"/>
                <w:sz w:val="19"/>
                <w:szCs w:val="19"/>
                <w:b w:val="1"/>
                <w:bCs w:val="1"/>
                <w:color w:val="auto"/>
                <w:w w:val="91"/>
              </w:rPr>
              <w:t>Option Vesting and Exercisable on</w:t>
            </w:r>
          </w:p>
        </w:tc>
        <w:tc>
          <w:tcPr>
            <w:tcW w:w="0" w:type="dxa"/>
            <w:vAlign w:val="bottom"/>
          </w:tcPr>
          <w:p>
            <w:pPr>
              <w:spacing w:after="0"/>
              <w:rPr>
                <w:sz w:val="1"/>
                <w:szCs w:val="1"/>
                <w:color w:val="auto"/>
              </w:rPr>
            </w:pPr>
          </w:p>
        </w:tc>
      </w:tr>
      <w:tr>
        <w:trPr>
          <w:trHeight w:val="151"/>
        </w:trPr>
        <w:tc>
          <w:tcPr>
            <w:tcW w:w="450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3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9"/>
                <w:szCs w:val="19"/>
                <w:b w:val="1"/>
                <w:bCs w:val="1"/>
                <w:color w:val="auto"/>
                <w:w w:val="89"/>
              </w:rPr>
              <w:t>Such Vesting Date</w:t>
            </w:r>
          </w:p>
        </w:tc>
        <w:tc>
          <w:tcPr>
            <w:tcW w:w="0" w:type="dxa"/>
            <w:vAlign w:val="bottom"/>
          </w:tcPr>
          <w:p>
            <w:pPr>
              <w:spacing w:after="0"/>
              <w:rPr>
                <w:sz w:val="1"/>
                <w:szCs w:val="1"/>
                <w:color w:val="auto"/>
              </w:rPr>
            </w:pPr>
          </w:p>
        </w:tc>
      </w:tr>
      <w:tr>
        <w:trPr>
          <w:trHeight w:val="88"/>
        </w:trPr>
        <w:tc>
          <w:tcPr>
            <w:tcW w:w="45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2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500" w:type="dxa"/>
            <w:vAlign w:val="bottom"/>
            <w:tcBorders>
              <w:left w:val="single" w:sz="8" w:color="auto"/>
              <w:bottom w:val="single" w:sz="8" w:color="auto"/>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00" w:type="dxa"/>
            <w:vAlign w:val="bottom"/>
            <w:tcBorders>
              <w:left w:val="single" w:sz="8" w:color="auto"/>
              <w:bottom w:val="single" w:sz="8" w:color="auto"/>
              <w:right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00" w:type="dxa"/>
            <w:vAlign w:val="bottom"/>
            <w:tcBorders>
              <w:left w:val="single" w:sz="8" w:color="auto"/>
              <w:bottom w:val="single" w:sz="8" w:color="auto"/>
              <w:right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Notwithstanding the foregoing, the above vesting schedule shall immediately cease or accelerate (in full or in part), as applicable, upon the occurrence of any of the events provided for in Sections 3(a)-(f), as applicable.</w:t>
      </w:r>
    </w:p>
    <w:p>
      <w:pPr>
        <w:spacing w:after="0" w:line="178" w:lineRule="exact"/>
        <w:rPr>
          <w:sz w:val="20"/>
          <w:szCs w:val="20"/>
          <w:color w:val="auto"/>
        </w:rPr>
      </w:pPr>
    </w:p>
    <w:p>
      <w:pPr>
        <w:jc w:val="both"/>
        <w:ind w:right="120" w:firstLine="642"/>
        <w:spacing w:after="0" w:line="221"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82" w:lineRule="exact"/>
        <w:rPr>
          <w:rFonts w:ascii="Arial" w:cs="Arial" w:eastAsia="Arial" w:hAnsi="Arial"/>
          <w:sz w:val="18"/>
          <w:szCs w:val="18"/>
          <w:color w:val="auto"/>
        </w:rPr>
      </w:pPr>
    </w:p>
    <w:p>
      <w:pPr>
        <w:ind w:right="120" w:firstLine="642"/>
        <w:spacing w:after="0" w:line="237" w:lineRule="auto"/>
        <w:tabs>
          <w:tab w:leader="none" w:pos="1262"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Notwithstanding any other provisions in this Agreement or the Plan, the Option shall expire and terminate, and shall cease to be exercisable, on [Date of Expiration] (the “Expiration Date”).</w:t>
      </w:r>
    </w:p>
    <w:p>
      <w:pPr>
        <w:spacing w:after="0" w:line="230" w:lineRule="exact"/>
        <w:rPr>
          <w:rFonts w:ascii="Arial" w:cs="Arial" w:eastAsia="Arial" w:hAnsi="Arial"/>
          <w:sz w:val="19"/>
          <w:szCs w:val="19"/>
          <w:color w:val="auto"/>
        </w:rPr>
      </w:pPr>
    </w:p>
    <w:p>
      <w:pPr>
        <w:jc w:val="both"/>
        <w:ind w:right="100" w:firstLine="642"/>
        <w:spacing w:after="0" w:line="219"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adjustment or exercise of the Option or any subsequent disposition of Common Shares. Additionally, the Company assumes no responsibility in the event that the Option or any portion thereof is ultimately determined to not be an ISO or the tax treatment therefore is ultimately determined to be other than the tax treatment afforded for ISOs, whether such other treatment is the result of changes in the tax laws, a disqualifying disposition by Grantee, or for any other reason. </w:t>
      </w:r>
      <w:r>
        <w:rPr>
          <w:rFonts w:ascii="Arial" w:cs="Arial" w:eastAsia="Arial" w:hAnsi="Arial"/>
          <w:sz w:val="18"/>
          <w:szCs w:val="18"/>
          <w:b w:val="1"/>
          <w:bCs w:val="1"/>
          <w:color w:val="auto"/>
        </w:rPr>
        <w:t>Grantee should consult with Grantee's personal tax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advisor regarding the tax ramifications, if any, which result from the grant, vesting, adjustment, forfeiture, termination, recoupment or exercise of the Option, and any subsequent disposition of Common Shares. </w:t>
      </w:r>
      <w:r>
        <w:rPr>
          <w:rFonts w:ascii="Arial" w:cs="Arial" w:eastAsia="Arial" w:hAnsi="Arial"/>
          <w:sz w:val="18"/>
          <w:szCs w:val="18"/>
          <w:color w:val="auto"/>
        </w:rPr>
        <w:t>If, in the Company's sole and absolute discretion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or no reason at any time and from time to time, it is necessary or appropriate to collect or withhold federal, state or local taxes in connection with the grant, vesting, forfeiture, termination, recoupment, adjustment or exercise of any portion of the Option and/or any subsequent disposition of Common Shares, the Company shall be entitled to require the payment of such amounts as a condition to exercise.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3(b) of this Agreement) hereby authorizes the Company, in its sole and absolute discretion for any reason or no reason at any time and from time to time (including without limitation, pursuant to the then-current procedures implemented by the Administrator,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00"/>
        <w:spacing w:after="0" w:line="220" w:lineRule="auto"/>
        <w:rPr>
          <w:sz w:val="20"/>
          <w:szCs w:val="20"/>
          <w:color w:val="auto"/>
        </w:rPr>
      </w:pPr>
      <w:r>
        <w:rPr>
          <w:rFonts w:ascii="Arial" w:cs="Arial" w:eastAsia="Arial" w:hAnsi="Arial"/>
          <w:sz w:val="19"/>
          <w:szCs w:val="19"/>
          <w:color w:val="auto"/>
        </w:rPr>
        <w:t>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adjustment or exercise of the Option and/or any subsequent disposition of Common Shares by one or a combination of the following:</w:t>
      </w:r>
    </w:p>
    <w:p>
      <w:pPr>
        <w:spacing w:after="0" w:line="219" w:lineRule="exact"/>
        <w:rPr>
          <w:sz w:val="20"/>
          <w:szCs w:val="20"/>
          <w:color w:val="auto"/>
        </w:rPr>
      </w:pPr>
    </w:p>
    <w:p>
      <w:pPr>
        <w:ind w:left="2000" w:hanging="634"/>
        <w:spacing w:after="0"/>
        <w:tabs>
          <w:tab w:leader="none" w:pos="2000" w:val="left"/>
        </w:tabs>
        <w:numPr>
          <w:ilvl w:val="2"/>
          <w:numId w:val="18"/>
        </w:numPr>
        <w:rPr>
          <w:rFonts w:ascii="Arial" w:cs="Arial" w:eastAsia="Arial" w:hAnsi="Arial"/>
          <w:sz w:val="19"/>
          <w:szCs w:val="19"/>
          <w:color w:val="auto"/>
        </w:rPr>
      </w:pPr>
      <w:r>
        <w:rPr>
          <w:rFonts w:ascii="Arial" w:cs="Arial" w:eastAsia="Arial" w:hAnsi="Arial"/>
          <w:sz w:val="19"/>
          <w:szCs w:val="19"/>
          <w:color w:val="auto"/>
        </w:rPr>
        <w:t>withholding from any wages or other cash or equity compensation payable to Grantee by the Company;</w:t>
      </w:r>
    </w:p>
    <w:p>
      <w:pPr>
        <w:spacing w:after="0" w:line="258" w:lineRule="exact"/>
        <w:rPr>
          <w:rFonts w:ascii="Arial" w:cs="Arial" w:eastAsia="Arial" w:hAnsi="Arial"/>
          <w:sz w:val="19"/>
          <w:szCs w:val="19"/>
          <w:color w:val="auto"/>
        </w:rPr>
      </w:pPr>
    </w:p>
    <w:p>
      <w:pPr>
        <w:ind w:left="2000" w:hanging="634"/>
        <w:spacing w:after="0"/>
        <w:tabs>
          <w:tab w:leader="none" w:pos="2000" w:val="left"/>
        </w:tabs>
        <w:numPr>
          <w:ilvl w:val="2"/>
          <w:numId w:val="18"/>
        </w:numPr>
        <w:rPr>
          <w:rFonts w:ascii="Arial" w:cs="Arial" w:eastAsia="Arial" w:hAnsi="Arial"/>
          <w:sz w:val="19"/>
          <w:szCs w:val="19"/>
          <w:color w:val="auto"/>
        </w:rPr>
      </w:pPr>
      <w:r>
        <w:rPr>
          <w:rFonts w:ascii="Arial" w:cs="Arial" w:eastAsia="Arial" w:hAnsi="Arial"/>
          <w:sz w:val="19"/>
          <w:szCs w:val="19"/>
          <w:color w:val="auto"/>
        </w:rPr>
        <w:t>withholding Common Shares that are otherwise issuable upon exercise of the Option;</w:t>
      </w:r>
    </w:p>
    <w:p>
      <w:pPr>
        <w:spacing w:after="0" w:line="258" w:lineRule="exact"/>
        <w:rPr>
          <w:rFonts w:ascii="Arial" w:cs="Arial" w:eastAsia="Arial" w:hAnsi="Arial"/>
          <w:sz w:val="19"/>
          <w:szCs w:val="19"/>
          <w:color w:val="auto"/>
        </w:rPr>
      </w:pPr>
    </w:p>
    <w:p>
      <w:pPr>
        <w:ind w:left="2000" w:right="100" w:hanging="634"/>
        <w:spacing w:after="0" w:line="372" w:lineRule="auto"/>
        <w:tabs>
          <w:tab w:leader="none" w:pos="1998" w:val="left"/>
        </w:tabs>
        <w:numPr>
          <w:ilvl w:val="2"/>
          <w:numId w:val="18"/>
        </w:numPr>
        <w:rPr>
          <w:rFonts w:ascii="Arial" w:cs="Arial" w:eastAsia="Arial" w:hAnsi="Arial"/>
          <w:sz w:val="17"/>
          <w:szCs w:val="17"/>
          <w:color w:val="auto"/>
        </w:rPr>
      </w:pPr>
      <w:r>
        <w:rPr>
          <w:rFonts w:ascii="Arial" w:cs="Arial" w:eastAsia="Arial" w:hAnsi="Arial"/>
          <w:sz w:val="17"/>
          <w:szCs w:val="17"/>
          <w:color w:val="auto"/>
        </w:rPr>
        <w:t>arranging for the sale of Common Shares that are otherwise issuable upon exercise of the Option, including, without limitation, selling Common Shares as part of a block trade with other grantees under the Plan or otherwise; and/or</w:t>
      </w:r>
    </w:p>
    <w:p>
      <w:pPr>
        <w:spacing w:after="0" w:line="149" w:lineRule="exact"/>
        <w:rPr>
          <w:rFonts w:ascii="Arial" w:cs="Arial" w:eastAsia="Arial" w:hAnsi="Arial"/>
          <w:sz w:val="17"/>
          <w:szCs w:val="17"/>
          <w:color w:val="auto"/>
        </w:rPr>
      </w:pPr>
    </w:p>
    <w:p>
      <w:pPr>
        <w:ind w:left="2000" w:right="120" w:hanging="634"/>
        <w:spacing w:after="0" w:line="293" w:lineRule="auto"/>
        <w:tabs>
          <w:tab w:leader="none" w:pos="1987" w:val="left"/>
        </w:tabs>
        <w:numPr>
          <w:ilvl w:val="2"/>
          <w:numId w:val="18"/>
        </w:numPr>
        <w:rPr>
          <w:rFonts w:ascii="Arial" w:cs="Arial" w:eastAsia="Arial" w:hAnsi="Arial"/>
          <w:sz w:val="19"/>
          <w:szCs w:val="19"/>
          <w:color w:val="auto"/>
        </w:rPr>
      </w:pPr>
      <w:r>
        <w:rPr>
          <w:rFonts w:ascii="Arial" w:cs="Arial" w:eastAsia="Arial" w:hAnsi="Arial"/>
          <w:sz w:val="19"/>
          <w:szCs w:val="19"/>
          <w:color w:val="auto"/>
        </w:rPr>
        <w:t>withholding from the proceeds of the sale of Common Shares issued upon exercise of the Option or other Common Shares issuable to the Grantee.</w:t>
      </w:r>
    </w:p>
    <w:p>
      <w:pPr>
        <w:spacing w:after="0" w:line="155" w:lineRule="exact"/>
        <w:rPr>
          <w:rFonts w:ascii="Arial" w:cs="Arial" w:eastAsia="Arial" w:hAnsi="Arial"/>
          <w:sz w:val="19"/>
          <w:szCs w:val="19"/>
          <w:color w:val="auto"/>
        </w:rPr>
      </w:pPr>
    </w:p>
    <w:p>
      <w:pPr>
        <w:jc w:val="both"/>
        <w:ind w:right="100" w:firstLine="642"/>
        <w:spacing w:after="0" w:line="225" w:lineRule="auto"/>
        <w:tabs>
          <w:tab w:leader="none" w:pos="126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accepting the terms and conditions of this Agreement and the Option and in considering the exercise of the Option, Grantee understands, acknowledges, agrees and hereby stipulates that 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191" w:lineRule="exact"/>
        <w:rPr>
          <w:rFonts w:ascii="Arial" w:cs="Arial" w:eastAsia="Arial" w:hAnsi="Arial"/>
          <w:sz w:val="18"/>
          <w:szCs w:val="18"/>
          <w:color w:val="auto"/>
        </w:rPr>
      </w:pPr>
    </w:p>
    <w:p>
      <w:pPr>
        <w:ind w:left="640" w:hanging="546"/>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Qualifying Termination; Violation of Covenants; Covenants Found Unenforceable; Death or Disability; Certain Unusual Events</w:t>
      </w:r>
    </w:p>
    <w:p>
      <w:pPr>
        <w:spacing w:after="0" w:line="205" w:lineRule="exact"/>
        <w:rPr>
          <w:rFonts w:ascii="Arial" w:cs="Arial" w:eastAsia="Arial" w:hAnsi="Arial"/>
          <w:sz w:val="19"/>
          <w:szCs w:val="19"/>
          <w:color w:val="auto"/>
        </w:rPr>
      </w:pPr>
    </w:p>
    <w:p>
      <w:pPr>
        <w:jc w:val="both"/>
        <w:ind w:right="100" w:firstLine="642"/>
        <w:spacing w:after="0" w:line="219" w:lineRule="auto"/>
        <w:tabs>
          <w:tab w:leader="none" w:pos="12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In the event that (i) Grantee’s employment with the Company and/or its direct or indirect subsidiaries, if any, is terminated by the Company or one of its subsidiaries for Cause,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the </w:t>
      </w:r>
      <w:r>
        <w:rPr>
          <w:rFonts w:ascii="Arial" w:cs="Arial" w:eastAsia="Arial" w:hAnsi="Arial"/>
          <w:sz w:val="18"/>
          <w:szCs w:val="18"/>
          <w:b w:val="1"/>
          <w:bCs w:val="1"/>
          <w:color w:val="auto"/>
        </w:rPr>
        <w:t>entire</w:t>
      </w:r>
      <w:r>
        <w:rPr>
          <w:rFonts w:ascii="Arial" w:cs="Arial" w:eastAsia="Arial" w:hAnsi="Arial"/>
          <w:sz w:val="18"/>
          <w:szCs w:val="18"/>
          <w:color w:val="auto"/>
        </w:rPr>
        <w:t xml:space="preserve"> Option (both vested and unvested) shall be deemed to have terminated and cannot be exercised and no Common Shares shall be issuable in connection therewith as of the date of the earliest to occur of: (A) Grantee’s termination for Cause;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Option by reason of this Section 3(a) shall be without prejudice to any right or remedy which the Company may have against the Grantee or other holder of the Option or any Common Shares issued or issuable upon exercise of the Option.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(b)</w:t>
      </w:r>
    </w:p>
    <w:p>
      <w:pPr>
        <w:spacing w:after="0" w:line="29" w:lineRule="exact"/>
        <w:rPr>
          <w:sz w:val="20"/>
          <w:szCs w:val="20"/>
          <w:color w:val="auto"/>
        </w:rPr>
      </w:pPr>
    </w:p>
    <w:p>
      <w:pPr>
        <w:jc w:val="both"/>
        <w:ind w:left="1360" w:right="100" w:hanging="634"/>
        <w:spacing w:after="0" w:line="218"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Grantee shall die during the course of conducting business for the Company or its direct or indirect subsidiaries, and not engaged in personal activity, or if Grantee’s employment with the Company and/or its direct or indirect subsidiaries, is terminated because Grantee has become disabled (within the meaning of Section 22(e)(3) of the Code and regulations thereunder) during the course of conducting business for the Company or its direct or indirect subsidiaries, and not engaged in personal activity, then the portions of the Option not previously vested shall vest and become exercisable in accordance with the table set forth in Section 3(d) of this Agreement, below, with the date of the “Qualifying Termination” being the date of such death or termination on account of disability described in the sentence above, and such Option may be exercised at any time within twelve months after the date of such death or termination on account of disability by Grantee or the personal representatives or administrators, executor or guardians of Grantee, as applicable, or by any person or persons to whom the Option is transferred by will or the applicable laws of descent and distribution, subject to the conditions that (i) any vested or exercisable portion of the Option not exercised within that twelve month period shall terminate and cannot be exercised following expiration of that twelve month period, and (ii) no portion of the Option shall be exercisable after the Expiration Date. The termination of the Option by reason of this Section 3(b) shall be without prejudice to any right or remedy which the Company may have against the Grantee or other holder of the Option or any Common Shares issued or issuable upon exercise of the Option.</w:t>
      </w:r>
    </w:p>
    <w:p>
      <w:pPr>
        <w:spacing w:after="0" w:line="189" w:lineRule="exact"/>
        <w:rPr>
          <w:rFonts w:ascii="Arial" w:cs="Arial" w:eastAsia="Arial" w:hAnsi="Arial"/>
          <w:sz w:val="18"/>
          <w:szCs w:val="18"/>
          <w:color w:val="auto"/>
        </w:rPr>
      </w:pPr>
    </w:p>
    <w:p>
      <w:pPr>
        <w:jc w:val="both"/>
        <w:ind w:left="1360" w:right="100" w:hanging="634"/>
        <w:spacing w:after="0" w:line="231" w:lineRule="auto"/>
        <w:tabs>
          <w:tab w:leader="none" w:pos="13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event that Grantee shall die while in the employ of the Company or its direct or indirect subsidiaries, if any, or within one month after cessation of employment for reasons provided in Section 3(c) of this Agreement, or if Grantee’s employment with the Company and/or its direct or indirect subsidiaries, if any, is terminated because Grantee has become disabled (within the meaning of Section 22(e)(3) of the Code and regulations thereunder) while in the employ of the Company or its direct or indirect subsidiaries, if any, and Grantee shall not have exercised the Option to the extent of the full number of vested Common Shares that Grantee was entitled to exercise under the Option as of the date of such death or termination on account of disability, as applicable, then such Option may be exercised at any time within twelve months after the date of such death or termination on account of disability, as applicable, by Grantee or the personal representatives or administrators, executor or guardians of Grantee, as applicable, or by any person or persons to whom the Option is transferred by will or the applicable laws of descent and distribution, </w:t>
      </w:r>
      <w:r>
        <w:rPr>
          <w:rFonts w:ascii="Arial" w:cs="Arial" w:eastAsia="Arial" w:hAnsi="Arial"/>
          <w:sz w:val="17"/>
          <w:szCs w:val="17"/>
          <w:b w:val="1"/>
          <w:bCs w:val="1"/>
          <w:color w:val="auto"/>
        </w:rPr>
        <w:t>but only</w:t>
      </w:r>
      <w:r>
        <w:rPr>
          <w:rFonts w:ascii="Arial" w:cs="Arial" w:eastAsia="Arial" w:hAnsi="Arial"/>
          <w:sz w:val="17"/>
          <w:szCs w:val="17"/>
          <w:color w:val="auto"/>
        </w:rPr>
        <w:t xml:space="preserve"> to the extent of the full number of vested Common Shares that Grantee was entitled to exercise under the Option on the date of such death or termination on account of disability, as applicable, subject to the conditions that (i) any vested or exercisable portion of the Option not exercised within that twelve month period shall terminate and cannot be exercised following expiration of that twelve month period, (ii) any portion of the Option not vested or otherwise not exercisable as of the date of such death or termination on account of disability, as applicable, shall be deemed to have terminated and cannot be exercised as or after such date, and (iii) no portion of the Option shall be exercisable (whether vested or unvested) after the Expiration Date. The termination of the Option by reason of this Section 3(c) shall be without prejudice to any right or remedy which the Company may have against the Grantee or other holder of the Option or any Common Shares issued or issuable upon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600"/>
          </w:cols>
          <w:pgMar w:left="960" w:top="10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642"/>
        <w:spacing w:after="0" w:line="209" w:lineRule="auto"/>
        <w:tabs>
          <w:tab w:leader="none" w:pos="1262"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that Grantee shall cease to be employed by the Company and/or its direct or indirect subsidiaries, if any, for any reason other than as a result of or in connection with the circumstances described in Sections 3(a) or 3(d) of this Agreement or Grantee’s death or disability (as described in Section 3(b) of this Agreement), Grantee shall have the right to exercise the Option at any time within one month after such cessation of employment,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vested Common Shares that Grantee was entitled to exercise under the Option on the date of such cessation of employment, subject to the conditions that (i) any vested or exercisable portion of the Option not exercised within that one month period shall terminate and cannot be exercised following expiration of that one month period, (ii) any portion of the Option not vested or otherwise not exercisable as of the date of such cessation of employment shall be deemed to have terminated and cannot be exercised as or after such date, and (iii) no portion of the Option shall be exercisable (whether vested or unvested) after the Expiration Date. The termination of the Option by reason of this Section 3(c) shall be without prejudice to any right or remedy which the Company may have against the Grantee or other holder of the Option or any Common Shares issued or issuable upon exercise of the Option.</w:t>
      </w:r>
    </w:p>
    <w:p>
      <w:pPr>
        <w:spacing w:after="0" w:line="239" w:lineRule="exact"/>
        <w:rPr>
          <w:rFonts w:ascii="Arial" w:cs="Arial" w:eastAsia="Arial" w:hAnsi="Arial"/>
          <w:sz w:val="19"/>
          <w:szCs w:val="19"/>
          <w:color w:val="auto"/>
        </w:rPr>
      </w:pPr>
    </w:p>
    <w:p>
      <w:pPr>
        <w:jc w:val="both"/>
        <w:ind w:right="100" w:firstLine="642"/>
        <w:spacing w:after="0" w:line="220" w:lineRule="auto"/>
        <w:tabs>
          <w:tab w:leader="none" w:pos="12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 the event that Grantee’s employment with the Company and/or its direct or indirect subsidiaries, if any, is terminated (i) by the Company or one of its subsidiaries without Cause (and not due to death or disability pursuant to Section 3(b) of this Agreement), or (ii) by Grantee due to his resignation for Constructive Termination (either such termination, a “Qualifying Termination”), in either case, prior to the Third Vesting Date, then:</w:t>
      </w:r>
    </w:p>
    <w:p>
      <w:pPr>
        <w:spacing w:after="0" w:line="232" w:lineRule="exact"/>
        <w:rPr>
          <w:rFonts w:ascii="Arial" w:cs="Arial" w:eastAsia="Arial" w:hAnsi="Arial"/>
          <w:sz w:val="19"/>
          <w:szCs w:val="19"/>
          <w:color w:val="auto"/>
        </w:rPr>
      </w:pPr>
    </w:p>
    <w:p>
      <w:pPr>
        <w:ind w:left="2000" w:right="100" w:hanging="634"/>
        <w:spacing w:after="0" w:line="237" w:lineRule="auto"/>
        <w:tabs>
          <w:tab w:leader="none" w:pos="1996"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portion of the Option that is scheduled to vest on the next scheduled Vesting Date pursuant to Section 2(a) of this Agreement shall vest in full upon the effective date of the Qualifying Termination, and</w:t>
      </w:r>
    </w:p>
    <w:p>
      <w:pPr>
        <w:spacing w:after="0" w:line="270" w:lineRule="exact"/>
        <w:rPr>
          <w:rFonts w:ascii="Arial" w:cs="Arial" w:eastAsia="Arial" w:hAnsi="Arial"/>
          <w:sz w:val="19"/>
          <w:szCs w:val="19"/>
          <w:color w:val="auto"/>
        </w:rPr>
      </w:pPr>
    </w:p>
    <w:p>
      <w:pPr>
        <w:jc w:val="both"/>
        <w:ind w:left="2000" w:right="100" w:hanging="634"/>
        <w:spacing w:after="0" w:line="226" w:lineRule="auto"/>
        <w:tabs>
          <w:tab w:leader="none" w:pos="19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the Qualifying Termination occurs prior to the Second Vesting Date, an additional portion of the Option will vest, reflecting vesting “credit” for any completed six-month period that has elapsed during the then-current twelve-month vesting period.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sake of clarity, if Grantee experiences a Qualifying Termination prior to the Third Vesting Date, the following number of</w:t>
      </w:r>
    </w:p>
    <w:p>
      <w:pPr>
        <w:spacing w:after="0"/>
        <w:rPr>
          <w:sz w:val="20"/>
          <w:szCs w:val="20"/>
          <w:color w:val="auto"/>
        </w:rPr>
      </w:pPr>
      <w:r>
        <w:rPr>
          <w:rFonts w:ascii="Arial" w:cs="Arial" w:eastAsia="Arial" w:hAnsi="Arial"/>
          <w:sz w:val="19"/>
          <w:szCs w:val="19"/>
          <w:color w:val="auto"/>
        </w:rPr>
        <w:t>Common Shares subject to the Option will become vested and exercisable as of the effective date of such Qualifying Termination:</w:t>
      </w:r>
    </w:p>
    <w:p>
      <w:pPr>
        <w:spacing w:after="0" w:line="226" w:lineRule="exact"/>
        <w:rPr>
          <w:sz w:val="20"/>
          <w:szCs w:val="20"/>
          <w:color w:val="auto"/>
        </w:rPr>
      </w:pPr>
    </w:p>
    <w:tbl>
      <w:tblPr>
        <w:tblLayout w:type="fixed"/>
        <w:tblInd w:w="630" w:type="dxa"/>
        <w:tblCellMar>
          <w:top w:w="0" w:type="dxa"/>
          <w:left w:w="0" w:type="dxa"/>
          <w:bottom w:w="0" w:type="dxa"/>
          <w:right w:w="0" w:type="dxa"/>
        </w:tblCellMar>
      </w:tblPr>
      <w:tr>
        <w:trPr>
          <w:trHeight w:val="199"/>
        </w:trPr>
        <w:tc>
          <w:tcPr>
            <w:tcW w:w="4100" w:type="dxa"/>
            <w:vAlign w:val="bottom"/>
            <w:tcBorders>
              <w:top w:val="single" w:sz="8" w:color="auto"/>
              <w:left w:val="single" w:sz="8" w:color="auto"/>
              <w:right w:val="single" w:sz="8" w:color="auto"/>
            </w:tcBorders>
            <w:vMerge w:val="restart"/>
            <w:shd w:val="clear" w:color="auto" w:fill="D9D9D9"/>
          </w:tcPr>
          <w:p>
            <w:pPr>
              <w:ind w:left="840"/>
              <w:spacing w:after="0"/>
              <w:rPr>
                <w:sz w:val="20"/>
                <w:szCs w:val="20"/>
                <w:color w:val="auto"/>
              </w:rPr>
            </w:pPr>
            <w:r>
              <w:rPr>
                <w:rFonts w:ascii="Arial" w:cs="Arial" w:eastAsia="Arial" w:hAnsi="Arial"/>
                <w:sz w:val="19"/>
                <w:szCs w:val="19"/>
                <w:b w:val="1"/>
                <w:bCs w:val="1"/>
                <w:color w:val="auto"/>
              </w:rPr>
              <w:t>Qualifying Termination Date</w:t>
            </w:r>
          </w:p>
        </w:tc>
        <w:tc>
          <w:tcPr>
            <w:tcW w:w="5000" w:type="dxa"/>
            <w:vAlign w:val="bottom"/>
            <w:tcBorders>
              <w:top w:val="single" w:sz="8" w:color="auto"/>
              <w:right w:val="single" w:sz="8" w:color="auto"/>
            </w:tcBorders>
            <w:shd w:val="clear" w:color="auto" w:fill="D9D9D9"/>
          </w:tcPr>
          <w:p>
            <w:pPr>
              <w:jc w:val="center"/>
              <w:spacing w:after="0" w:line="199" w:lineRule="exact"/>
              <w:rPr>
                <w:sz w:val="20"/>
                <w:szCs w:val="20"/>
                <w:color w:val="auto"/>
              </w:rPr>
            </w:pPr>
            <w:r>
              <w:rPr>
                <w:rFonts w:ascii="Arial" w:cs="Arial" w:eastAsia="Arial" w:hAnsi="Arial"/>
                <w:sz w:val="19"/>
                <w:szCs w:val="19"/>
                <w:b w:val="1"/>
                <w:bCs w:val="1"/>
                <w:color w:val="auto"/>
                <w:w w:val="92"/>
              </w:rPr>
              <w:t>Number of Common Shares subject to the Option that will</w:t>
            </w:r>
          </w:p>
        </w:tc>
        <w:tc>
          <w:tcPr>
            <w:tcW w:w="0" w:type="dxa"/>
            <w:vAlign w:val="bottom"/>
          </w:tcPr>
          <w:p>
            <w:pPr>
              <w:spacing w:after="0"/>
              <w:rPr>
                <w:sz w:val="1"/>
                <w:szCs w:val="1"/>
                <w:color w:val="auto"/>
              </w:rPr>
            </w:pPr>
          </w:p>
        </w:tc>
      </w:tr>
      <w:tr>
        <w:trPr>
          <w:trHeight w:val="151"/>
        </w:trPr>
        <w:tc>
          <w:tcPr>
            <w:tcW w:w="410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5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9"/>
                <w:szCs w:val="19"/>
                <w:b w:val="1"/>
                <w:bCs w:val="1"/>
                <w:color w:val="auto"/>
                <w:w w:val="88"/>
              </w:rPr>
              <w:t>vest and become exercisable</w:t>
            </w:r>
          </w:p>
        </w:tc>
        <w:tc>
          <w:tcPr>
            <w:tcW w:w="0" w:type="dxa"/>
            <w:vAlign w:val="bottom"/>
          </w:tcPr>
          <w:p>
            <w:pPr>
              <w:spacing w:after="0"/>
              <w:rPr>
                <w:sz w:val="1"/>
                <w:szCs w:val="1"/>
                <w:color w:val="auto"/>
              </w:rPr>
            </w:pPr>
          </w:p>
        </w:tc>
      </w:tr>
      <w:tr>
        <w:trPr>
          <w:trHeight w:val="88"/>
        </w:trPr>
        <w:tc>
          <w:tcPr>
            <w:tcW w:w="41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500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spacing w:after="0"/>
              <w:rPr>
                <w:sz w:val="17"/>
                <w:szCs w:val="17"/>
                <w:color w:val="auto"/>
              </w:rPr>
            </w:pPr>
          </w:p>
        </w:tc>
        <w:tc>
          <w:tcPr>
            <w:tcW w:w="5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both"/>
        <w:ind w:left="100" w:right="100" w:firstLine="636"/>
        <w:spacing w:after="0" w:line="215" w:lineRule="auto"/>
        <w:rPr>
          <w:sz w:val="20"/>
          <w:szCs w:val="20"/>
          <w:color w:val="auto"/>
        </w:rPr>
      </w:pPr>
      <w:r>
        <w:rPr>
          <w:rFonts w:ascii="Arial" w:cs="Arial" w:eastAsia="Arial" w:hAnsi="Arial"/>
          <w:sz w:val="19"/>
          <w:szCs w:val="19"/>
          <w:color w:val="auto"/>
        </w:rPr>
        <w:t>For the sake of further clarity, if Grantee experiences a Qualifying Termination on either the First Vesting Date or the Second Vesting Date, the applicable number of Common Stock set forth above will become vested and exercisable in addition to the portion of the Option that is scheduled to vest on such date pursuant to Section 2(a) of this Agreement. Any portion of the Option not vested or exercisable following Grantee’s Qualifying Termination (after giving effect to the accelerated vesting and exercisability in this Section 3(d)) shall be deemed to have terminated for no consideration effective as of the date of such Qualifying Termination, and cannot be exercised following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00" w:right="100" w:firstLine="636"/>
        <w:spacing w:after="0" w:line="211" w:lineRule="auto"/>
        <w:rPr>
          <w:sz w:val="20"/>
          <w:szCs w:val="20"/>
          <w:color w:val="auto"/>
        </w:rPr>
      </w:pPr>
      <w:r>
        <w:rPr>
          <w:rFonts w:ascii="Arial" w:cs="Arial" w:eastAsia="Arial" w:hAnsi="Arial"/>
          <w:sz w:val="19"/>
          <w:szCs w:val="19"/>
          <w:color w:val="auto"/>
        </w:rPr>
        <w:t>Grantee shall have the right to exercise all vested and unexercised portions of the Option after giving effect to the treatment described in this Section 3(d) within three months after the effective date of any Qualifying Termination (regardless of when it occurs), subject to the conditions that (i) any portion of the Option not exercised within such three month period shall terminate and cannot be exercised following expiration of that three month period, and (ii) no portion of the Option (whether vested or unvested) shall be exercisable after the Expiration Date. Grantee’s entitlement to the vesting and exercisability described in this Section 3(d) is contingent upon his execution and non-revocation of a release of claims in favor of the Company in a form to be provided by the Company in connection with his Qualifying Termination. The termination of the Option (if at all) by reason of this Section 3(d) shall be without prejudice to any right or remedy which the Company may have against the Grantee or other holder of the Option or any Common Shares issued or issuable upon exercise of the Option.</w:t>
      </w:r>
    </w:p>
    <w:p>
      <w:pPr>
        <w:spacing w:after="0" w:line="272" w:lineRule="exact"/>
        <w:rPr>
          <w:sz w:val="20"/>
          <w:szCs w:val="20"/>
          <w:color w:val="auto"/>
        </w:rPr>
      </w:pPr>
    </w:p>
    <w:p>
      <w:pPr>
        <w:jc w:val="both"/>
        <w:ind w:right="100" w:firstLine="642"/>
        <w:spacing w:after="0" w:line="220" w:lineRule="auto"/>
        <w:tabs>
          <w:tab w:leader="none" w:pos="1262"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the first to occur of (i) the Company’s Capital Stock no longer being publicly traded on the NASDAQ Stock Market or any other established securities market, and (ii) the consummation of a DISH Change in Control, the Option shall be treated as though Grantee had experienced a Qualifying Termination upon the date of such occurrence, subject to Grantee’s continuous employment with the Company or one of its subsidiaries as of such date.</w:t>
      </w:r>
    </w:p>
    <w:p>
      <w:pPr>
        <w:spacing w:after="0" w:line="285" w:lineRule="exact"/>
        <w:rPr>
          <w:rFonts w:ascii="Arial" w:cs="Arial" w:eastAsia="Arial" w:hAnsi="Arial"/>
          <w:sz w:val="19"/>
          <w:szCs w:val="19"/>
          <w:color w:val="auto"/>
        </w:rPr>
      </w:pPr>
    </w:p>
    <w:p>
      <w:pPr>
        <w:jc w:val="both"/>
        <w:ind w:right="100" w:firstLine="642"/>
        <w:spacing w:after="0" w:line="226" w:lineRule="auto"/>
        <w:tabs>
          <w:tab w:leader="none" w:pos="1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that, during the period of Grantee’s continuous employment with the Company and its subsidiaries, neither the Principal nor any Related Party has the authority to elect the majority of the members of the Board of Directors, then all portions of the Option not previously vested shall immediately vest and become exercisable on the date of such occurrence, and Grantee shall have the right to exercise all vested unexercised portions of the Option within three months after such occurrence, subject to the conditions that (i) any portion of the Option not exercised within such three month period shall terminate and cannot be exercised following expiration of that three month period, and (ii) no portion of the Option (whether vested or unvested) shall be exercisable after the Expiration Date.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the purpose of this Agreement, the capitalized terms shall have the following meanings:</w:t>
      </w:r>
    </w:p>
    <w:p>
      <w:pPr>
        <w:spacing w:after="0" w:line="206" w:lineRule="exact"/>
        <w:rPr>
          <w:sz w:val="20"/>
          <w:szCs w:val="20"/>
          <w:color w:val="auto"/>
        </w:rPr>
      </w:pPr>
    </w:p>
    <w:p>
      <w:pPr>
        <w:jc w:val="both"/>
        <w:ind w:right="20" w:firstLine="636"/>
        <w:spacing w:after="0" w:line="237" w:lineRule="auto"/>
        <w:rPr>
          <w:sz w:val="20"/>
          <w:szCs w:val="20"/>
          <w:color w:val="auto"/>
        </w:rPr>
      </w:pPr>
      <w:r>
        <w:rPr>
          <w:rFonts w:ascii="Arial" w:cs="Arial" w:eastAsia="Arial" w:hAnsi="Arial"/>
          <w:sz w:val="19"/>
          <w:szCs w:val="19"/>
          <w:color w:val="auto"/>
        </w:rPr>
        <w:t>"Capital Stock" means: any and all shares, interests, participations, rights or other equivalents, however designated, of corporate stock or partnership or membership interests, whether common or preferred.</w:t>
      </w:r>
    </w:p>
    <w:p>
      <w:pPr>
        <w:spacing w:after="0" w:line="178"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8"/>
          <w:szCs w:val="18"/>
          <w:color w:val="auto"/>
        </w:rPr>
        <w:t>"Cause" means: (i) the willful and continued failure of Grantee to substantially perform his duties consistent with past practices; (ii) any illegal conduct or gross misconduct which is materially injurious to the Company or its affiliates, including, without limitation, wrongful appropriation of the Company’s or its subsidiaries’ funds, or theft of the Company’s or its subsidiaries’ property; (iii) Grantee has been convicted of or pleaded guilty or nolo contendere to a felony or any crime involving moral turpitude or dishonesty; or (iv) Grantee has been convicted of or pleaded guilty or nolo contendere to a felony, crime or engaged in conduct which results in a prohibition on the Grantee from serving, for any period of time, as an officer or director of a publicly traded company by any federal, state or other regulatory governing body (including without limitation, an exchange or association such as NYSE or the NASDAQ Stock Market).</w:t>
      </w:r>
    </w:p>
    <w:p>
      <w:pPr>
        <w:spacing w:after="0" w:line="179"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"Constructive Termination" means: without Grantee’s prior consent, (i) a change in Grantee’s title to one that is subordinate to that of Chief Executive Officer; or (ii) a material reduction in Grantee’s responsibilities. A termination of employment by Grantee due to Constructive Termination shall be effectuated by giving the Company written notice of termination setting forth the conduct of the Company that constitutes a Constructive Termination within 60 days of the first day on which Grantee has knowledge of such conduct. Grantee shall further provide the Company with at least 60 days following the date upon which such notice is provided to cure such conduct. Failing such cure, a termination of employment by Grantee due to Constructive Termination shall be effective on the day following the expiration of the cure period. Notwithstanding the foregoing, if the Board of Directors reasonably believes that Grantee may have engaged in conduct that could constitute Cause, the Board of Directors may, in its sole and absolute discretion, suspend Grantee from performing Grantee’s duties, and in no event shall any such suspension constitute a Constructive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"DISH Change in Control" means: a transaction or a series of transactions the result of which is that DISH Network Corporation beneficially owns more than fifty percent (50%) of the total voting power of the voting Equity Interests of either (A) the Company or (B) the surviving entity in any such transaction(s) or a controlling affiliate of such surviving entity in such transaction(s).</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"Equity Interest" means: any Capital Stock and all warrants, options or other rights to acquire Capital Stock (but excluding any debt security that is convertible into, or exchangeable for, Capital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"Principal" means Charles W. Ergen.</w:t>
      </w:r>
    </w:p>
    <w:p>
      <w:pPr>
        <w:spacing w:after="0" w:line="206"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"Related Party" means, with respect to the Principal, (a) the spouse and each immediate family member of the Principal; (b) each trust, corporation, partnership or other entity of which the Principal and/or the Principal’s spouse and/or immediate family members beneficially holds an eighty percent (80%) or more controlling interest; and (c) all trusts, including grantor retained annuity trusts, established by the Principal for the benefit of his family.</w:t>
      </w:r>
    </w:p>
    <w:p>
      <w:pPr>
        <w:spacing w:after="0" w:line="232" w:lineRule="exact"/>
        <w:rPr>
          <w:sz w:val="20"/>
          <w:szCs w:val="20"/>
          <w:color w:val="auto"/>
        </w:rPr>
      </w:pPr>
    </w:p>
    <w:p>
      <w:pPr>
        <w:jc w:val="both"/>
        <w:ind w:right="120" w:firstLine="642"/>
        <w:spacing w:after="0" w:line="226" w:lineRule="auto"/>
        <w:tabs>
          <w:tab w:leader="none" w:pos="12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77" w:lineRule="exact"/>
        <w:rPr>
          <w:rFonts w:ascii="Arial" w:cs="Arial" w:eastAsia="Arial" w:hAnsi="Arial"/>
          <w:sz w:val="19"/>
          <w:szCs w:val="19"/>
          <w:color w:val="auto"/>
        </w:rPr>
      </w:pPr>
    </w:p>
    <w:p>
      <w:pPr>
        <w:ind w:left="640" w:hanging="546"/>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Manner of Exercise</w:t>
      </w:r>
    </w:p>
    <w:p>
      <w:pPr>
        <w:spacing w:after="0" w:line="271" w:lineRule="exact"/>
        <w:rPr>
          <w:rFonts w:ascii="Arial" w:cs="Arial" w:eastAsia="Arial" w:hAnsi="Arial"/>
          <w:sz w:val="19"/>
          <w:szCs w:val="19"/>
          <w:color w:val="auto"/>
        </w:rPr>
      </w:pPr>
    </w:p>
    <w:p>
      <w:pPr>
        <w:jc w:val="both"/>
        <w:ind w:right="100" w:firstLine="642"/>
        <w:spacing w:after="0" w:line="234" w:lineRule="auto"/>
        <w:tabs>
          <w:tab w:leader="none" w:pos="1262"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Option can be exercised only by Grantee or other proper party as described in Section 2(b), Section 3(b), Section 3(c), Section 3(d), Section 3(e), Section 3(f) and/or Section 4(c) of this Agreement, in whole Common Shares, upon meeting the applicable vesting requirements for the Option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 or in such other manner pursuant to the then-applicable procedures implemented by the Administrator.</w:t>
      </w:r>
    </w:p>
    <w:p>
      <w:pPr>
        <w:spacing w:after="0" w:line="182" w:lineRule="exact"/>
        <w:rPr>
          <w:rFonts w:ascii="Arial" w:cs="Arial" w:eastAsia="Arial" w:hAnsi="Arial"/>
          <w:sz w:val="17"/>
          <w:szCs w:val="17"/>
          <w:color w:val="auto"/>
        </w:rPr>
      </w:pPr>
    </w:p>
    <w:p>
      <w:pPr>
        <w:jc w:val="both"/>
        <w:ind w:right="100" w:firstLine="642"/>
        <w:spacing w:after="0" w:line="226" w:lineRule="auto"/>
        <w:tabs>
          <w:tab w:leader="none" w:pos="12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77" w:lineRule="exact"/>
        <w:rPr>
          <w:rFonts w:ascii="Arial" w:cs="Arial" w:eastAsia="Arial" w:hAnsi="Arial"/>
          <w:sz w:val="19"/>
          <w:szCs w:val="19"/>
          <w:color w:val="auto"/>
        </w:rPr>
      </w:pPr>
    </w:p>
    <w:p>
      <w:pPr>
        <w:jc w:val="both"/>
        <w:ind w:right="100" w:firstLine="642"/>
        <w:spacing w:after="0" w:line="224" w:lineRule="auto"/>
        <w:tabs>
          <w:tab w:leader="none" w:pos="12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3(b)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635"/>
        <w:spacing w:after="0" w:line="217" w:lineRule="auto"/>
        <w:rPr>
          <w:sz w:val="20"/>
          <w:szCs w:val="20"/>
          <w:color w:val="auto"/>
        </w:rPr>
      </w:pPr>
      <w:r>
        <w:rPr>
          <w:rFonts w:ascii="Arial" w:cs="Arial" w:eastAsia="Arial" w:hAnsi="Arial"/>
          <w:sz w:val="18"/>
          <w:szCs w:val="18"/>
          <w:color w:val="auto"/>
        </w:rPr>
        <w:t xml:space="preserve">Pursuant to the Expiration Exercise Procedures: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Grantee understands, acknowledges, agrees and hereby stipulates may be withheld at the highest then-current tax rate), penalties or interest related to the grant, vesting, forfeiture, termination, recoupment, adjustment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Grantee. Without limitation of the generality of Section 2(d) of this Agreement, in the event that the amounts withheld pursuant to the Expiration Exercise Procedures are insufficient to satisfy Grantee’s actual individual income tax, penalty and/or interest obligations, Grantee understands, acknowledges, agrees and hereby stipulates that Grantee,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 the issuance of less than one whole Common Share to Grantee pursuant to the Expiration Exercise Procedures shall not be automatically exercised pursuant to this Section 4(c). Grantee (on its own behalf and on behalf of each and every other proper party as described in Section 2(b) and/or Section 3(b) of this Agreement) hereby 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 approval of the Administrator, nor the consent of Grantee (or any other proper party as described in Section 2(b) and/or Section 3(b) of this Agreement) shall be required at the time of the automatic exercise of the Option pursuant to this Section 4(c). For the avoidance of doubt, Grantee may exercise any vested and exercisable portion of the Option prior to Market Close on the Expiration Exercise Date. </w:t>
      </w:r>
      <w:r>
        <w:rPr>
          <w:rFonts w:ascii="Arial" w:cs="Arial" w:eastAsia="Arial" w:hAnsi="Arial"/>
          <w:sz w:val="18"/>
          <w:szCs w:val="18"/>
          <w:b w:val="1"/>
          <w:bCs w:val="1"/>
          <w:color w:val="auto"/>
        </w:rPr>
        <w:t>Grantee understands, acknowledges, agrees and hereby stipulates that</w:t>
      </w:r>
      <w:r>
        <w:rPr>
          <w:rFonts w:ascii="Arial" w:cs="Arial" w:eastAsia="Arial" w:hAnsi="Arial"/>
          <w:sz w:val="18"/>
          <w:szCs w:val="18"/>
          <w:color w:val="auto"/>
        </w:rPr>
        <w:t xml:space="preserve"> </w:t>
      </w:r>
      <w:r>
        <w:rPr>
          <w:rFonts w:ascii="Arial" w:cs="Arial" w:eastAsia="Arial" w:hAnsi="Arial"/>
          <w:sz w:val="18"/>
          <w:szCs w:val="18"/>
          <w:b w:val="1"/>
          <w:bCs w:val="1"/>
          <w:color w:val="auto"/>
        </w:rPr>
        <w:t>the automatic exercise procedure pursuant to this Section 4(c) is provided solely as a convenience to Grantee as protection against Grantee’s inadvertent failure to exercise all or any portion of an “in-the-money” Option that is vested and exercisable before such Option expires under this Agreement. Because any exercise of all or any portion of the Option is solely Grantee’s responsibility, Grantee hereby waives and releases and agrees to indemnify and hold the Company harmless from and against any and all claims of any kind whatsoever against the Company and/or any other party (including without limitation, the Administrator and the Company’s Grantees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186" w:lineRule="exact"/>
        <w:rPr>
          <w:sz w:val="20"/>
          <w:szCs w:val="20"/>
          <w:color w:val="auto"/>
        </w:rPr>
      </w:pPr>
    </w:p>
    <w:p>
      <w:pPr>
        <w:jc w:val="both"/>
        <w:ind w:right="100" w:firstLine="642"/>
        <w:spacing w:after="0" w:line="215" w:lineRule="auto"/>
        <w:tabs>
          <w:tab w:leader="none" w:pos="12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00" w:firstLine="642"/>
        <w:spacing w:after="0" w:line="217" w:lineRule="auto"/>
        <w:tabs>
          <w:tab w:leader="none" w:pos="1262" w:val="left"/>
        </w:tabs>
        <w:numPr>
          <w:ilvl w:val="1"/>
          <w:numId w:val="27"/>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as to which the Option shall be exercised or the book entries, as applicable, may be registered only in the name of Grantee (or if Grantee so requests in the notice of exercise of the Option, jointly in the name of Grantee and with a member of Grantee's family, with the right of survivorship, or in the event of the death of Grantee, in the name of such survivor of Grantee as the person with the right to exercise the Option shall designate).</w:t>
      </w:r>
    </w:p>
    <w:p>
      <w:pPr>
        <w:spacing w:after="0" w:line="178" w:lineRule="exact"/>
        <w:rPr>
          <w:rFonts w:ascii="Arial" w:cs="Arial" w:eastAsia="Arial" w:hAnsi="Arial"/>
          <w:sz w:val="19"/>
          <w:szCs w:val="19"/>
          <w:color w:val="auto"/>
        </w:rPr>
      </w:pPr>
    </w:p>
    <w:p>
      <w:pPr>
        <w:ind w:left="640" w:hanging="634"/>
        <w:spacing w:after="0"/>
        <w:tabs>
          <w:tab w:leader="none" w:pos="64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Covenant Not to Compete; Non-Solicitation; Protection of Confidential Information and Trade Secrets</w:t>
      </w:r>
    </w:p>
    <w:p>
      <w:pPr>
        <w:spacing w:after="0" w:line="271" w:lineRule="exact"/>
        <w:rPr>
          <w:rFonts w:ascii="Arial" w:cs="Arial" w:eastAsia="Arial" w:hAnsi="Arial"/>
          <w:sz w:val="19"/>
          <w:szCs w:val="19"/>
          <w:color w:val="auto"/>
        </w:rPr>
      </w:pPr>
    </w:p>
    <w:p>
      <w:pPr>
        <w:jc w:val="both"/>
        <w:ind w:right="100" w:firstLine="642"/>
        <w:spacing w:after="0" w:line="212" w:lineRule="auto"/>
        <w:tabs>
          <w:tab w:leader="none" w:pos="1262" w:val="left"/>
        </w:tabs>
        <w:numPr>
          <w:ilvl w:val="1"/>
          <w:numId w:val="28"/>
        </w:numPr>
        <w:rPr>
          <w:rFonts w:ascii="Arial" w:cs="Arial" w:eastAsia="Arial" w:hAnsi="Arial"/>
          <w:sz w:val="19"/>
          <w:szCs w:val="19"/>
          <w:color w:val="auto"/>
        </w:rPr>
      </w:pPr>
      <w:r>
        <w:rPr>
          <w:rFonts w:ascii="Arial" w:cs="Arial" w:eastAsia="Arial" w:hAnsi="Arial"/>
          <w:sz w:val="19"/>
          <w:szCs w:val="19"/>
          <w:color w:val="auto"/>
        </w:rPr>
        <w:t>Grantee shall serve the Company and its direct and indirect subsidiaries (collectively, the “Company” for purposes of this Section 5), loyally and in good faith and use Grantee's best efforts to promote the Company's interests. Grantee hereby agrees not to compete with the Company, not to solicit employees of the Company, not to solicit customers of the Company, and agrees to protect from disclosure (for clarification purposes, such agreement to protect from disclosure shall include, without limitation, an agreement not to use) Confidential Information and Trade Secrets (as defined in Section 5(e) of this Agreement) (for clarification purposes, these restrictions shall include, without limitation, the Grantee becoming employed by, assisting or otherwise providing services or benefit to any applicable Competitor (as defined below) whereby Grantee may use and/or disclose Confidential Information and/or Trade Secrets), pursuant to the terms and conditions hereinafter set forth.</w:t>
      </w:r>
    </w:p>
    <w:p>
      <w:pPr>
        <w:spacing w:after="0" w:line="191" w:lineRule="exact"/>
        <w:rPr>
          <w:rFonts w:ascii="Arial" w:cs="Arial" w:eastAsia="Arial" w:hAnsi="Arial"/>
          <w:sz w:val="19"/>
          <w:szCs w:val="19"/>
          <w:color w:val="auto"/>
        </w:rPr>
      </w:pPr>
    </w:p>
    <w:p>
      <w:pPr>
        <w:ind w:left="1260" w:hanging="618"/>
        <w:spacing w:after="0"/>
        <w:tabs>
          <w:tab w:leader="none" w:pos="126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271" w:lineRule="exact"/>
        <w:rPr>
          <w:rFonts w:ascii="Arial" w:cs="Arial" w:eastAsia="Arial" w:hAnsi="Arial"/>
          <w:sz w:val="19"/>
          <w:szCs w:val="19"/>
          <w:color w:val="auto"/>
        </w:rPr>
      </w:pPr>
    </w:p>
    <w:p>
      <w:pPr>
        <w:jc w:val="both"/>
        <w:ind w:right="100" w:firstLine="1278"/>
        <w:spacing w:after="0" w:line="215" w:lineRule="auto"/>
        <w:tabs>
          <w:tab w:leader="none" w:pos="1906" w:val="left"/>
        </w:tabs>
        <w:numPr>
          <w:ilvl w:val="2"/>
          <w:numId w:val="28"/>
        </w:numPr>
        <w:rPr>
          <w:rFonts w:ascii="Arial" w:cs="Arial" w:eastAsia="Arial" w:hAnsi="Arial"/>
          <w:sz w:val="19"/>
          <w:szCs w:val="19"/>
          <w:color w:val="auto"/>
        </w:rPr>
      </w:pPr>
      <w:r>
        <w:rPr>
          <w:rFonts w:ascii="Arial" w:cs="Arial" w:eastAsia="Arial" w:hAnsi="Arial"/>
          <w:sz w:val="19"/>
          <w:szCs w:val="19"/>
          <w:i w:val="1"/>
          <w:iCs w:val="1"/>
          <w:color w:val="auto"/>
        </w:rPr>
        <w:t>Scope and Competitors</w:t>
      </w:r>
      <w:r>
        <w:rPr>
          <w:rFonts w:ascii="Arial" w:cs="Arial" w:eastAsia="Arial" w:hAnsi="Arial"/>
          <w:sz w:val="19"/>
          <w:szCs w:val="19"/>
          <w:color w:val="auto"/>
        </w:rPr>
        <w:t>. Grantee agrees that during the Non-Compete Period (as defined below), he shall not directly</w:t>
      </w:r>
      <w:r>
        <w:rPr>
          <w:rFonts w:ascii="Arial" w:cs="Arial" w:eastAsia="Arial" w:hAnsi="Arial"/>
          <w:sz w:val="19"/>
          <w:szCs w:val="19"/>
          <w:i w:val="1"/>
          <w:iCs w:val="1"/>
          <w:color w:val="auto"/>
        </w:rPr>
        <w:t xml:space="preserve"> </w:t>
      </w:r>
      <w:r>
        <w:rPr>
          <w:rFonts w:ascii="Arial" w:cs="Arial" w:eastAsia="Arial" w:hAnsi="Arial"/>
          <w:sz w:val="19"/>
          <w:szCs w:val="19"/>
          <w:color w:val="auto"/>
        </w:rPr>
        <w:t>or indirectly become employed by, assist or otherwise provide services or benefit in the United States and/or in any and all other jurisdictions and/or locations anywhere in the world to the business of any person or entity which, at the time of such employment, assistance or provision of services or benefit, is a “Competitor” (as described below) in any location in the United States and/or in any such other jurisdiction(s) and/or locations anywhere in the world, including, without limitation, as a director, trustee, principal, agent, employee, contractor or consultant of a Competitor.</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term “Competitor” includes any and all of the following:</w:t>
      </w:r>
    </w:p>
    <w:p>
      <w:pPr>
        <w:spacing w:after="0" w:line="206" w:lineRule="exact"/>
        <w:rPr>
          <w:sz w:val="20"/>
          <w:szCs w:val="20"/>
          <w:color w:val="auto"/>
        </w:rPr>
      </w:pPr>
    </w:p>
    <w:p>
      <w:pPr>
        <w:jc w:val="both"/>
        <w:ind w:left="2000" w:right="100" w:hanging="475"/>
        <w:spacing w:after="0" w:line="215" w:lineRule="auto"/>
        <w:tabs>
          <w:tab w:leader="none" w:pos="19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restricted persons and/or entities (inclusive of subsidiaries, affiliates, divisions, lines, ventures or other operations of such persons or entities, as applicable) enumerated below for the Company’s lines of business (i.e., the applicable combination of the Broadband Business Line and/or Satellite Services Business Line, each as described below, a “Company Business Line”, and referred to collectively in this Agreement as the “Company Business Lines”), to the extent that Grantee devotes a significant amount of his time and effort to such Company Business Line(s) (as described in Section 5(b)(ii) of this Agreement); and</w:t>
      </w:r>
    </w:p>
    <w:p>
      <w:pPr>
        <w:spacing w:after="0" w:line="177" w:lineRule="exact"/>
        <w:rPr>
          <w:rFonts w:ascii="Arial" w:cs="Arial" w:eastAsia="Arial" w:hAnsi="Arial"/>
          <w:sz w:val="19"/>
          <w:szCs w:val="19"/>
          <w:color w:val="auto"/>
        </w:rPr>
      </w:pPr>
    </w:p>
    <w:p>
      <w:pPr>
        <w:jc w:val="both"/>
        <w:ind w:left="2000" w:right="100" w:hanging="475"/>
        <w:spacing w:after="0" w:line="215" w:lineRule="auto"/>
        <w:tabs>
          <w:tab w:leader="none" w:pos="1993"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other persons and/or entities (inclusive of subsidiaries, affiliates, divisions, lines, ventures or other operations of such persons or entities, as applicable) that are not enumerated below for the Company Business Lines but whose primary business is competitive with one or more of the Company Business Lines or other business lines that the Company may enter or has entered into at any time and from time to time, to the extent that Grantee devotes a significant amount of his time and effort to such Company Business Line(s) and/or other business line(s) (as described in Section 5(b)(ii)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100" w:firstLine="1278"/>
        <w:spacing w:after="0" w:line="221" w:lineRule="auto"/>
        <w:tabs>
          <w:tab w:leader="none" w:pos="190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Relevant Competitors</w:t>
      </w:r>
      <w:r>
        <w:rPr>
          <w:rFonts w:ascii="Arial" w:cs="Arial" w:eastAsia="Arial" w:hAnsi="Arial"/>
          <w:sz w:val="18"/>
          <w:szCs w:val="18"/>
          <w:color w:val="auto"/>
        </w:rPr>
        <w:t>. Grantee understands, acknowledges, agrees and hereby stipulates that,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Business Line(s) to which Grantee devotes a significant amount of his time and effort as of the date of this Agreement, the restrictions set forth in this Section 5 shall apply to Grantee immediately and for the duration of the period in which Grantee is employed by the Company. Grantee further understands, acknowledges, agrees and hereby stipulates that in the event that during the course of his employment with the Company, Grantee begins to devote a significant amount of his time and effort to any other Company Business Line or any other business line that the Company may enter or has entered into at any time and from time to time, the restrictions set forth in this Section 5 shall apply to Grantee with respect to any and all such other Company Business Line(s) and other business line(s) immediately thereafter and for the duration of the period in which Grantee is employed by the Company. For the remainder of the Non-Compete Period (commencing on the date that Grantee ceases to be employed by the Company) the restrictions set forth in this Section 5 shall apply to Grantee with respect to each Company Business Line and each other business line that the Company may enter or has entered into at any time and from time to time to which Grantee devoted a significant amount of his time and effort at any time during the twelve month period immediately preceding the date on which Grantee ceases to be employed by the Company for any reason whatsoever.</w:t>
      </w:r>
    </w:p>
    <w:p>
      <w:pPr>
        <w:spacing w:after="0" w:line="171" w:lineRule="exact"/>
        <w:rPr>
          <w:sz w:val="20"/>
          <w:szCs w:val="20"/>
          <w:color w:val="auto"/>
        </w:rPr>
      </w:pPr>
    </w:p>
    <w:p>
      <w:pPr>
        <w:jc w:val="both"/>
        <w:ind w:left="740" w:right="100"/>
        <w:spacing w:after="0" w:line="235" w:lineRule="auto"/>
        <w:rPr>
          <w:sz w:val="20"/>
          <w:szCs w:val="20"/>
          <w:color w:val="auto"/>
        </w:rPr>
      </w:pPr>
      <w:r>
        <w:rPr>
          <w:rFonts w:ascii="Arial" w:cs="Arial" w:eastAsia="Arial" w:hAnsi="Arial"/>
          <w:sz w:val="17"/>
          <w:szCs w:val="17"/>
          <w:b w:val="1"/>
          <w:bCs w:val="1"/>
          <w:u w:val="single" w:color="auto"/>
          <w:color w:val="auto"/>
        </w:rPr>
        <w:t>Broadband Business Line</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Broadband Business Line” means the Company’s line of business that provides satellite broadband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 access to consumers and broadband network services and systems to enterprise markets and also provides managed services and networking systems solutions to customers for mobile satellite and wireless backhaul systems, including, without limitation, the business conducted by Hughes Network Systems, LLC and its direct and indirect subsidiaries. Without limiting the generality of the foregoing description or definition of Competitor above, the enumerated restricted persons and entities that apply to the Broadband Business Line includes any and all subsidiaries, affiliates, divisions, lines, ventures or other operations of the following persons and entities: (1) ViaSat, Inc.; (2) Gilat Satellite Networks Ltd.; (3) Newtec Cy N.V.; (4) iDirect Technologies; (5) any of the foregoing later known by a different name; (6) any person or entity which acquires, is acquired by, merges with, is spun off by, or otherwise combines with or separates from any of the foregoing or enters into an agreement to do so; (7) any person or entity directly or indirectly controlling, controlled by, or under common control with any of the foregoing, including without limitation any direct or indirect subsidiaries, affiliates, and ventures of any of the foregoing; and (8) any successor or assign of any of the foregoing.</w:t>
      </w:r>
    </w:p>
    <w:p>
      <w:pPr>
        <w:spacing w:after="0" w:line="187" w:lineRule="exact"/>
        <w:rPr>
          <w:sz w:val="20"/>
          <w:szCs w:val="20"/>
          <w:color w:val="auto"/>
        </w:rPr>
      </w:pPr>
    </w:p>
    <w:p>
      <w:pPr>
        <w:jc w:val="both"/>
        <w:ind w:left="740" w:right="100"/>
        <w:spacing w:after="0" w:line="222" w:lineRule="auto"/>
        <w:rPr>
          <w:sz w:val="20"/>
          <w:szCs w:val="20"/>
          <w:color w:val="auto"/>
        </w:rPr>
      </w:pPr>
      <w:r>
        <w:rPr>
          <w:rFonts w:ascii="Arial" w:cs="Arial" w:eastAsia="Arial" w:hAnsi="Arial"/>
          <w:sz w:val="18"/>
          <w:szCs w:val="18"/>
          <w:b w:val="1"/>
          <w:bCs w:val="1"/>
          <w:u w:val="single" w:color="auto"/>
          <w:color w:val="auto"/>
        </w:rPr>
        <w:t>Satellite Services Business Line</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Satellite Services Business Line” means the Company’s line of business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satellite services and leases satellite capacity, including, without limitation, the business conducted by EchoStar Satellite Services L.L.C and its direct and indirect subsidiaries. Without limiting the generality of the foregoing description or definition of Competitor above, the enumerated restricted persons and entities that apply to the Satellite Services Business Line includes any and all subsidiaries, affiliates, divisions, lines, ventures or other operations of the following persons and entities: (1) Intelsat S.A.; (2) SES S.A.; (3) Eutelsat S.A., (4) Inmarsat plc; (5) Telesat Canada; (6) Asia Satellite Telecommunications Company Limited; (7) direct-to-home (DTH) satellite business of AT&amp;T, Inc.; (8) any of the foregoing later known by a different name; (9) any person or entity which acquires, is acquired by, merges with, is spun off by, or otherwise combines with or separates from any of the foregoing or enters into an agreement to do so; (10) any person or entity directly or indirectly controlling, controlled by, or under common control with any of the foregoing, including without limitation any direct or indirect subsidiaries, affiliates, and ventures of any of the foregoing; and (11) any successor or assign of any of the foregoing.</w:t>
      </w:r>
    </w:p>
    <w:p>
      <w:pPr>
        <w:spacing w:after="0" w:line="179" w:lineRule="exact"/>
        <w:rPr>
          <w:sz w:val="20"/>
          <w:szCs w:val="20"/>
          <w:color w:val="auto"/>
        </w:rPr>
      </w:pPr>
    </w:p>
    <w:p>
      <w:pPr>
        <w:jc w:val="both"/>
        <w:ind w:right="100" w:firstLine="1278"/>
        <w:spacing w:after="0" w:line="238" w:lineRule="auto"/>
        <w:tabs>
          <w:tab w:leader="none" w:pos="190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Duration of Non-Compete</w:t>
      </w:r>
      <w:r>
        <w:rPr>
          <w:rFonts w:ascii="Arial" w:cs="Arial" w:eastAsia="Arial" w:hAnsi="Arial"/>
          <w:sz w:val="18"/>
          <w:szCs w:val="18"/>
          <w:color w:val="auto"/>
        </w:rPr>
        <w:t>. Unless extended pursuant to Section 5(g) of this Agreement, this covenant not to compete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apply during the term of his employment with the Company and/or its direct or indirect subsidiaries, if any, and for a period of one year after the date on which Grantee ceases to be employed by the Company for any reason whatsoever (the “Non-Compete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0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1278"/>
        <w:spacing w:after="0" w:line="237" w:lineRule="auto"/>
        <w:tabs>
          <w:tab w:leader="none" w:pos="1897" w:val="left"/>
        </w:tabs>
        <w:numPr>
          <w:ilvl w:val="2"/>
          <w:numId w:val="32"/>
        </w:numPr>
        <w:rPr>
          <w:rFonts w:ascii="Arial" w:cs="Arial" w:eastAsia="Arial" w:hAnsi="Arial"/>
          <w:sz w:val="17"/>
          <w:szCs w:val="17"/>
          <w:color w:val="auto"/>
        </w:rPr>
      </w:pPr>
      <w:r>
        <w:rPr>
          <w:rFonts w:ascii="Arial" w:cs="Arial" w:eastAsia="Arial" w:hAnsi="Arial"/>
          <w:sz w:val="17"/>
          <w:szCs w:val="17"/>
          <w:i w:val="1"/>
          <w:iCs w:val="1"/>
          <w:color w:val="auto"/>
        </w:rPr>
        <w:t>Passive Owner</w:t>
      </w:r>
      <w:r>
        <w:rPr>
          <w:rFonts w:ascii="Arial" w:cs="Arial" w:eastAsia="Arial" w:hAnsi="Arial"/>
          <w:sz w:val="17"/>
          <w:szCs w:val="17"/>
          <w:color w:val="auto"/>
        </w:rPr>
        <w:t>. The covenant not to compete restrictions contained in this Agreement shall not prohibit Grantee from</w:t>
      </w:r>
      <w:r>
        <w:rPr>
          <w:rFonts w:ascii="Arial" w:cs="Arial" w:eastAsia="Arial" w:hAnsi="Arial"/>
          <w:sz w:val="17"/>
          <w:szCs w:val="17"/>
          <w:i w:val="1"/>
          <w:iCs w:val="1"/>
          <w:color w:val="auto"/>
        </w:rPr>
        <w:t xml:space="preserve"> </w:t>
      </w:r>
      <w:r>
        <w:rPr>
          <w:rFonts w:ascii="Arial" w:cs="Arial" w:eastAsia="Arial" w:hAnsi="Arial"/>
          <w:sz w:val="17"/>
          <w:szCs w:val="17"/>
          <w:color w:val="auto"/>
        </w:rPr>
        <w:t>being a passive owner of not more than five percent (5%) of the outstanding stock of an entity that is publicly traded, so long as Grantee</w:t>
      </w:r>
    </w:p>
    <w:p>
      <w:pPr>
        <w:ind w:right="100" w:firstLine="6"/>
        <w:spacing w:after="0" w:line="228" w:lineRule="auto"/>
        <w:tabs>
          <w:tab w:leader="none" w:pos="332" w:val="left"/>
        </w:tabs>
        <w:numPr>
          <w:ilvl w:val="0"/>
          <w:numId w:val="33"/>
        </w:numPr>
        <w:rPr>
          <w:rFonts w:ascii="Arial" w:cs="Arial" w:eastAsia="Arial" w:hAnsi="Arial"/>
          <w:sz w:val="19"/>
          <w:szCs w:val="19"/>
          <w:color w:val="auto"/>
        </w:rPr>
      </w:pPr>
      <w:r>
        <w:rPr>
          <w:rFonts w:ascii="Arial" w:cs="Arial" w:eastAsia="Arial" w:hAnsi="Arial"/>
          <w:sz w:val="19"/>
          <w:szCs w:val="19"/>
          <w:color w:val="auto"/>
        </w:rPr>
        <w:t>has no active participation in the business or management of such entity, (B) is not a director or trustee of such entity, and (C) does not hold a similar position with such entity.</w:t>
      </w:r>
    </w:p>
    <w:p>
      <w:pPr>
        <w:spacing w:after="0" w:line="178" w:lineRule="exact"/>
        <w:rPr>
          <w:rFonts w:ascii="Arial" w:cs="Arial" w:eastAsia="Arial" w:hAnsi="Arial"/>
          <w:sz w:val="19"/>
          <w:szCs w:val="19"/>
          <w:color w:val="auto"/>
        </w:rPr>
      </w:pPr>
    </w:p>
    <w:p>
      <w:pPr>
        <w:ind w:left="1900" w:hanging="622"/>
        <w:spacing w:after="0"/>
        <w:tabs>
          <w:tab w:leader="none" w:pos="1900" w:val="left"/>
        </w:tabs>
        <w:numPr>
          <w:ilvl w:val="2"/>
          <w:numId w:val="33"/>
        </w:numPr>
        <w:rPr>
          <w:rFonts w:ascii="Arial" w:cs="Arial" w:eastAsia="Arial" w:hAnsi="Arial"/>
          <w:sz w:val="19"/>
          <w:szCs w:val="19"/>
          <w:color w:val="auto"/>
        </w:rPr>
      </w:pPr>
      <w:r>
        <w:rPr>
          <w:rFonts w:ascii="Arial" w:cs="Arial" w:eastAsia="Arial" w:hAnsi="Arial"/>
          <w:sz w:val="19"/>
          <w:szCs w:val="19"/>
          <w:i w:val="1"/>
          <w:iCs w:val="1"/>
          <w:color w:val="auto"/>
        </w:rPr>
        <w:t>Reasonableness</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jc w:val="both"/>
        <w:ind w:left="2000" w:right="100" w:hanging="475"/>
        <w:spacing w:after="0" w:line="220" w:lineRule="auto"/>
        <w:tabs>
          <w:tab w:leader="none" w:pos="1990" w:val="left"/>
        </w:tabs>
        <w:numPr>
          <w:ilvl w:val="3"/>
          <w:numId w:val="33"/>
        </w:numPr>
        <w:rPr>
          <w:rFonts w:ascii="Arial" w:cs="Arial" w:eastAsia="Arial" w:hAnsi="Arial"/>
          <w:sz w:val="18"/>
          <w:szCs w:val="18"/>
          <w:color w:val="auto"/>
        </w:rPr>
      </w:pPr>
      <w:r>
        <w:rPr>
          <w:rFonts w:ascii="Arial" w:cs="Arial" w:eastAsia="Arial" w:hAnsi="Arial"/>
          <w:sz w:val="18"/>
          <w:szCs w:val="18"/>
          <w:color w:val="auto"/>
        </w:rPr>
        <w:t>Since the Company’s Business Lines and other business lines that the Company may enter or has entered into are located and operated in the United States and in various other jurisdictions and locations throughout the world, the covenant not to compete shall apply to the entire United States and to any and all such other jurisdictions and/or locations throughout the world where the Company’s Business Lines and other business lines that the Company may enter or has entered into, as applicable, are located and/or operated from time to time throughout the world. Grantee understands, acknowledges, agrees and hereby stipulates that the covenant not to compete set forth in this Section 5 is: (A) fair and reasonable given the Company's current and future business plans; and (B) necessary to prevent the disclosure or use of trade secrets pursuant to or within the meaning of C.R.S. s. 8-2-113(2)(b), the Uniform Trade Secrets Act or any analogous state laws which may apply to Grantee. Grantee understands, acknowledges, agrees and hereby stipulates that Grantee is an executive or manager or professional staff to an executive or manager, within the meaning of C.R.S. s. 8-2-113(2)(d). Grantee understands, acknowledges, agrees and hereby stipulates that a breach of this covenant not to compete may cause the Company irreparable harm, which may not be compensated for by monetary damages alone.</w:t>
      </w:r>
    </w:p>
    <w:p>
      <w:pPr>
        <w:spacing w:after="0" w:line="183" w:lineRule="exact"/>
        <w:rPr>
          <w:rFonts w:ascii="Arial" w:cs="Arial" w:eastAsia="Arial" w:hAnsi="Arial"/>
          <w:sz w:val="18"/>
          <w:szCs w:val="18"/>
          <w:color w:val="auto"/>
        </w:rPr>
      </w:pPr>
    </w:p>
    <w:p>
      <w:pPr>
        <w:jc w:val="both"/>
        <w:ind w:left="2000" w:right="100" w:hanging="475"/>
        <w:spacing w:after="0" w:line="224" w:lineRule="auto"/>
        <w:tabs>
          <w:tab w:leader="none" w:pos="1993"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parties hereto further acknowledge and agree that the Company does business and will from time to time do business in, and has and from time to time will have clients located in, the United States and other various jurisdictions and locations throughout the world. Accordingly, with respect to Grantee’s undertakings pursuant to this Section 5, the specific geographical scope set forth in these provisions is necessary and reasonably tailored to protect the Company’s legitimate business interests. Grantee recognizes and acknowledges that the activities prohibited by this Section 5 are narrow and reasonable in relation to the types of employment for which Grantee is qualified to earn a livelihood, and further acknowledges that Grantee is capable of earning a livelihood, during the Non-Compete Period, without violating the terms or restrictions of this Section 5.</w:t>
      </w:r>
    </w:p>
    <w:p>
      <w:pPr>
        <w:spacing w:after="0" w:line="177" w:lineRule="exact"/>
        <w:rPr>
          <w:rFonts w:ascii="Arial" w:cs="Arial" w:eastAsia="Arial" w:hAnsi="Arial"/>
          <w:sz w:val="18"/>
          <w:szCs w:val="18"/>
          <w:color w:val="auto"/>
        </w:rPr>
      </w:pPr>
    </w:p>
    <w:p>
      <w:pPr>
        <w:ind w:right="100" w:firstLine="642"/>
        <w:spacing w:after="0" w:line="237" w:lineRule="auto"/>
        <w:tabs>
          <w:tab w:leader="none" w:pos="126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Unless extended pursuant to Section 5(g) of this Agreement, Grantee agrees that during the Non-Compete Period, Grantee shall not, directly or indirectly:</w:t>
      </w:r>
    </w:p>
    <w:p>
      <w:pPr>
        <w:spacing w:after="0" w:line="177" w:lineRule="exact"/>
        <w:rPr>
          <w:rFonts w:ascii="Arial" w:cs="Arial" w:eastAsia="Arial" w:hAnsi="Arial"/>
          <w:sz w:val="19"/>
          <w:szCs w:val="19"/>
          <w:color w:val="auto"/>
        </w:rPr>
      </w:pPr>
    </w:p>
    <w:p>
      <w:pPr>
        <w:ind w:right="100" w:firstLine="1278"/>
        <w:spacing w:after="0" w:line="237" w:lineRule="auto"/>
        <w:tabs>
          <w:tab w:leader="none" w:pos="1906" w:val="left"/>
        </w:tabs>
        <w:numPr>
          <w:ilvl w:val="2"/>
          <w:numId w:val="34"/>
        </w:numPr>
        <w:rPr>
          <w:rFonts w:ascii="Arial" w:cs="Arial" w:eastAsia="Arial" w:hAnsi="Arial"/>
          <w:sz w:val="19"/>
          <w:szCs w:val="19"/>
          <w:color w:val="auto"/>
        </w:rPr>
      </w:pPr>
      <w:r>
        <w:rPr>
          <w:rFonts w:ascii="Arial" w:cs="Arial" w:eastAsia="Arial" w:hAnsi="Arial"/>
          <w:sz w:val="19"/>
          <w:szCs w:val="19"/>
          <w:color w:val="auto"/>
        </w:rPr>
        <w:t>Recruit or solicit any employee of the Company to pursue or accept an employee, contractor, consultant or any other position with any other person, entity or third party;</w:t>
      </w:r>
    </w:p>
    <w:p>
      <w:pPr>
        <w:spacing w:after="0" w:line="177" w:lineRule="exact"/>
        <w:rPr>
          <w:rFonts w:ascii="Arial" w:cs="Arial" w:eastAsia="Arial" w:hAnsi="Arial"/>
          <w:sz w:val="19"/>
          <w:szCs w:val="19"/>
          <w:color w:val="auto"/>
        </w:rPr>
      </w:pPr>
    </w:p>
    <w:p>
      <w:pPr>
        <w:jc w:val="both"/>
        <w:ind w:right="100" w:firstLine="1278"/>
        <w:spacing w:after="0" w:line="226" w:lineRule="auto"/>
        <w:tabs>
          <w:tab w:leader="none" w:pos="1907" w:val="left"/>
        </w:tabs>
        <w:numPr>
          <w:ilvl w:val="2"/>
          <w:numId w:val="34"/>
        </w:numPr>
        <w:rPr>
          <w:rFonts w:ascii="Arial" w:cs="Arial" w:eastAsia="Arial" w:hAnsi="Arial"/>
          <w:sz w:val="19"/>
          <w:szCs w:val="19"/>
          <w:color w:val="auto"/>
        </w:rPr>
      </w:pPr>
      <w:r>
        <w:rPr>
          <w:rFonts w:ascii="Arial" w:cs="Arial" w:eastAsia="Arial" w:hAnsi="Arial"/>
          <w:sz w:val="19"/>
          <w:szCs w:val="19"/>
          <w:color w:val="auto"/>
        </w:rPr>
        <w:t>Induce or entice any employee of the Company to pursue or accept an employee, contractor, consultant or any other position with any other person, entity or third party; including without limitation by providing information regarding compensation, benefits or other terms and conditions of such position;</w:t>
      </w:r>
    </w:p>
    <w:p>
      <w:pPr>
        <w:spacing w:after="0" w:line="177" w:lineRule="exact"/>
        <w:rPr>
          <w:rFonts w:ascii="Arial" w:cs="Arial" w:eastAsia="Arial" w:hAnsi="Arial"/>
          <w:sz w:val="19"/>
          <w:szCs w:val="19"/>
          <w:color w:val="auto"/>
        </w:rPr>
      </w:pPr>
    </w:p>
    <w:p>
      <w:pPr>
        <w:ind w:right="100" w:firstLine="1278"/>
        <w:spacing w:after="0" w:line="237" w:lineRule="auto"/>
        <w:tabs>
          <w:tab w:leader="none" w:pos="1908" w:val="left"/>
        </w:tabs>
        <w:numPr>
          <w:ilvl w:val="2"/>
          <w:numId w:val="34"/>
        </w:numPr>
        <w:rPr>
          <w:rFonts w:ascii="Arial" w:cs="Arial" w:eastAsia="Arial" w:hAnsi="Arial"/>
          <w:sz w:val="19"/>
          <w:szCs w:val="19"/>
          <w:color w:val="auto"/>
        </w:rPr>
      </w:pPr>
      <w:r>
        <w:rPr>
          <w:rFonts w:ascii="Arial" w:cs="Arial" w:eastAsia="Arial" w:hAnsi="Arial"/>
          <w:sz w:val="19"/>
          <w:szCs w:val="19"/>
          <w:color w:val="auto"/>
        </w:rPr>
        <w:t>Encourage or advise any current or former employee of the Company to disregard and/or violate his or her non-compete, non-solicit, confidentiality or any other obligations to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0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firstLine="1278"/>
        <w:spacing w:after="0" w:line="237" w:lineRule="auto"/>
        <w:tabs>
          <w:tab w:leader="none" w:pos="1897" w:val="left"/>
        </w:tabs>
        <w:numPr>
          <w:ilvl w:val="1"/>
          <w:numId w:val="35"/>
        </w:numPr>
        <w:rPr>
          <w:rFonts w:ascii="Arial" w:cs="Arial" w:eastAsia="Arial" w:hAnsi="Arial"/>
          <w:sz w:val="19"/>
          <w:szCs w:val="19"/>
          <w:color w:val="auto"/>
        </w:rPr>
      </w:pPr>
      <w:r>
        <w:rPr>
          <w:rFonts w:ascii="Arial" w:cs="Arial" w:eastAsia="Arial" w:hAnsi="Arial"/>
          <w:sz w:val="19"/>
          <w:szCs w:val="19"/>
          <w:color w:val="auto"/>
        </w:rPr>
        <w:t>Communicate with any employee of the Company regarding any employment, contractor, consultant or other opportunity outside of the Company, including without limitation opportunities with a Competitor.</w:t>
      </w:r>
    </w:p>
    <w:p>
      <w:pPr>
        <w:spacing w:after="0" w:line="177" w:lineRule="exact"/>
        <w:rPr>
          <w:rFonts w:ascii="Arial" w:cs="Arial" w:eastAsia="Arial" w:hAnsi="Arial"/>
          <w:sz w:val="19"/>
          <w:szCs w:val="19"/>
          <w:color w:val="auto"/>
        </w:rPr>
      </w:pPr>
    </w:p>
    <w:p>
      <w:pPr>
        <w:jc w:val="both"/>
        <w:ind w:right="100" w:firstLine="633"/>
        <w:spacing w:after="0" w:line="236" w:lineRule="auto"/>
        <w:tabs>
          <w:tab w:leader="none" w:pos="126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Non-Solicitation of Customers</w:t>
      </w:r>
      <w:r>
        <w:rPr>
          <w:rFonts w:ascii="Arial" w:cs="Arial" w:eastAsia="Arial" w:hAnsi="Arial"/>
          <w:sz w:val="17"/>
          <w:szCs w:val="17"/>
          <w:color w:val="auto"/>
        </w:rPr>
        <w:t>. Unless extended pursuant to Section 5(g) of this Agreement, Grantee agrees that during the Non-Compete Period, Grantee shall not, directly or indirectly, solicit, contact or call upon, or attempt to solicit, contact or call upon any customer, prospective customer or customer referral source of the Company with whom Grantee had contact or about whom Grantee learned Confidential Information and Trade Secrets during the preceding two years of employment with the Company, for the purpose of providing any products or services substantially similar to those he provided while employed by the Company. For purposes of this paragraph, “contact” means direct or indirect interaction between Grantee and the customer, prospective customer or customer referral source that takes place to further the business relationship with, make sales to or perform services for the customer, prospective customer or customer referral source on behalf of the Company. As used in this subsection, a “customer referral source” is any person or entity with which the Company has entered into an agreement (or is seeking to enter into an agreement) to refer prospective customers to the Company.</w:t>
      </w:r>
    </w:p>
    <w:p>
      <w:pPr>
        <w:spacing w:after="0" w:line="284" w:lineRule="exact"/>
        <w:rPr>
          <w:rFonts w:ascii="Arial" w:cs="Arial" w:eastAsia="Arial" w:hAnsi="Arial"/>
          <w:sz w:val="17"/>
          <w:szCs w:val="17"/>
          <w:color w:val="auto"/>
        </w:rPr>
      </w:pPr>
    </w:p>
    <w:p>
      <w:pPr>
        <w:jc w:val="both"/>
        <w:ind w:right="100" w:firstLine="642"/>
        <w:spacing w:after="0" w:line="238" w:lineRule="auto"/>
        <w:tabs>
          <w:tab w:leader="none" w:pos="126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Non-Disclosure and Non-Use of Confidential Information and Trade Secrets</w:t>
      </w:r>
      <w:r>
        <w:rPr>
          <w:rFonts w:ascii="Arial" w:cs="Arial" w:eastAsia="Arial" w:hAnsi="Arial"/>
          <w:sz w:val="17"/>
          <w:szCs w:val="17"/>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 Information and Trade Secrets; and (ii) any and all computer equipment, home office equipment, automobile, or other business equipment belonging to the Company that Grantee may then possess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0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00"/>
        <w:spacing w:after="0" w:line="212" w:lineRule="auto"/>
        <w:rPr>
          <w:sz w:val="20"/>
          <w:szCs w:val="20"/>
          <w:color w:val="auto"/>
        </w:rPr>
      </w:pPr>
      <w:r>
        <w:rPr>
          <w:rFonts w:ascii="Arial" w:cs="Arial" w:eastAsia="Arial" w:hAnsi="Arial"/>
          <w:sz w:val="19"/>
          <w:szCs w:val="19"/>
          <w:color w:val="auto"/>
        </w:rPr>
        <w:t>have under his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232" w:lineRule="exact"/>
        <w:rPr>
          <w:sz w:val="20"/>
          <w:szCs w:val="20"/>
          <w:color w:val="auto"/>
        </w:rPr>
      </w:pPr>
    </w:p>
    <w:p>
      <w:pPr>
        <w:jc w:val="both"/>
        <w:ind w:right="100" w:firstLine="642"/>
        <w:spacing w:after="0" w:line="229" w:lineRule="auto"/>
        <w:tabs>
          <w:tab w:leader="none" w:pos="126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18" w:lineRule="exact"/>
        <w:rPr>
          <w:rFonts w:ascii="Arial" w:cs="Arial" w:eastAsia="Arial" w:hAnsi="Arial"/>
          <w:sz w:val="18"/>
          <w:szCs w:val="18"/>
          <w:color w:val="auto"/>
        </w:rPr>
      </w:pPr>
    </w:p>
    <w:p>
      <w:pPr>
        <w:jc w:val="both"/>
        <w:ind w:right="100" w:firstLine="642"/>
        <w:spacing w:after="0" w:line="22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288" w:lineRule="exact"/>
        <w:rPr>
          <w:rFonts w:ascii="Arial" w:cs="Arial" w:eastAsia="Arial" w:hAnsi="Arial"/>
          <w:sz w:val="18"/>
          <w:szCs w:val="18"/>
          <w:color w:val="auto"/>
        </w:rPr>
      </w:pPr>
    </w:p>
    <w:p>
      <w:pPr>
        <w:jc w:val="both"/>
        <w:ind w:right="100" w:firstLine="642"/>
        <w:spacing w:after="0" w:line="211" w:lineRule="auto"/>
        <w:tabs>
          <w:tab w:leader="none" w:pos="12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32" w:lineRule="exact"/>
        <w:rPr>
          <w:rFonts w:ascii="Arial" w:cs="Arial" w:eastAsia="Arial" w:hAnsi="Arial"/>
          <w:sz w:val="19"/>
          <w:szCs w:val="19"/>
          <w:color w:val="auto"/>
        </w:rPr>
      </w:pPr>
    </w:p>
    <w:p>
      <w:pPr>
        <w:jc w:val="both"/>
        <w:ind w:right="100" w:firstLine="642"/>
        <w:spacing w:after="0" w:line="234" w:lineRule="auto"/>
        <w:tabs>
          <w:tab w:leader="none" w:pos="127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Notwithstanding anything in this Agreement or the Plan to the contrary, Grantee’s rights, payments and benefits with respect to the Option (whether vested or unvested) shall be subject to deduction, reduction,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Option (whether vested or unvested) shall be subject to deduction, reduction, cancellation, recovery, recoupment, forfeiture and/or “clawback” if: (i) Grantee ceases or has ceased to be employed by the Company or its direct or indirect subsidiaries, if any, due to such employment being terminated for Cause;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0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hanging="634"/>
        <w:spacing w:after="0"/>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Dispute Resolution; Arbitration</w:t>
      </w:r>
    </w:p>
    <w:p>
      <w:pPr>
        <w:spacing w:after="0" w:line="258" w:lineRule="exact"/>
        <w:rPr>
          <w:rFonts w:ascii="Arial" w:cs="Arial" w:eastAsia="Arial" w:hAnsi="Arial"/>
          <w:sz w:val="19"/>
          <w:szCs w:val="19"/>
          <w:color w:val="auto"/>
        </w:rPr>
      </w:pPr>
    </w:p>
    <w:p>
      <w:pPr>
        <w:jc w:val="both"/>
        <w:ind w:right="100" w:firstLine="642"/>
        <w:spacing w:after="0" w:line="222" w:lineRule="auto"/>
        <w:tabs>
          <w:tab w:leader="none" w:pos="12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Grantee and the Company mutually agree that any claim, controversy and/or dispute between them, arising out of, relating to, or in connection with: (i) Grantee’s application for employment, employment and/or termination of employment (collectively, “Employment-Related Disputes”); and/or (ii) this Agreement (including, without limitation, an actual, threatened or attempted violation of any of the covenants set forth in Section 5 of this Agreement) (“Options Disputes”) ((i) or (ii) each, a “Claim” and (i) and (ii) collectively, “Claims”), whenever and wherever brought shall be resolved by binding arbitration administered by the American Arbitration Association (“AAA”). Grantee agrees that this agreement to arbitrate is governed by the Federal Arbitration Act, 9 U.S.C. §§ 1 et seq., evidences a transaction involving commerce, and is fully enforceable. 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284" w:lineRule="exact"/>
        <w:rPr>
          <w:rFonts w:ascii="Arial" w:cs="Arial" w:eastAsia="Arial" w:hAnsi="Arial"/>
          <w:sz w:val="18"/>
          <w:szCs w:val="18"/>
          <w:color w:val="auto"/>
        </w:rPr>
      </w:pPr>
    </w:p>
    <w:p>
      <w:pPr>
        <w:ind w:left="1260" w:hanging="618"/>
        <w:spacing w:after="0"/>
        <w:tabs>
          <w:tab w:leader="none" w:pos="12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For Employment-Related Disputes:</w:t>
      </w:r>
    </w:p>
    <w:p>
      <w:pPr>
        <w:spacing w:after="0" w:line="205" w:lineRule="exact"/>
        <w:rPr>
          <w:rFonts w:ascii="Arial" w:cs="Arial" w:eastAsia="Arial" w:hAnsi="Arial"/>
          <w:sz w:val="19"/>
          <w:szCs w:val="19"/>
          <w:color w:val="auto"/>
        </w:rPr>
      </w:pPr>
    </w:p>
    <w:p>
      <w:pPr>
        <w:jc w:val="both"/>
        <w:ind w:left="1920" w:hanging="722"/>
        <w:spacing w:after="0" w:line="221" w:lineRule="auto"/>
        <w:tabs>
          <w:tab w:leader="none" w:pos="191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written demand for arbitration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Employment Law Arbitrators’ (as defined below) fees and any fee for administering the arbitration unless otherwise ordered by the Employment Law Arbitrators;</w:t>
      </w:r>
    </w:p>
    <w:p>
      <w:pPr>
        <w:spacing w:after="0" w:line="177" w:lineRule="exact"/>
        <w:rPr>
          <w:rFonts w:ascii="Arial" w:cs="Arial" w:eastAsia="Arial" w:hAnsi="Arial"/>
          <w:sz w:val="18"/>
          <w:szCs w:val="18"/>
          <w:color w:val="auto"/>
        </w:rPr>
      </w:pPr>
    </w:p>
    <w:p>
      <w:pPr>
        <w:jc w:val="both"/>
        <w:ind w:left="1920" w:hanging="642"/>
        <w:spacing w:after="0" w:line="220" w:lineRule="auto"/>
        <w:tabs>
          <w:tab w:leader="none" w:pos="1917" w:val="left"/>
        </w:tabs>
        <w:numPr>
          <w:ilvl w:val="3"/>
          <w:numId w:val="38"/>
        </w:numPr>
        <w:rPr>
          <w:rFonts w:ascii="Arial" w:cs="Arial" w:eastAsia="Arial" w:hAnsi="Arial"/>
          <w:sz w:val="19"/>
          <w:szCs w:val="19"/>
          <w:color w:val="auto"/>
        </w:rPr>
      </w:pPr>
      <w:r>
        <w:rPr>
          <w:rFonts w:ascii="Arial" w:cs="Arial" w:eastAsia="Arial" w:hAnsi="Arial"/>
          <w:sz w:val="19"/>
          <w:szCs w:val="19"/>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179" w:lineRule="exact"/>
        <w:rPr>
          <w:rFonts w:ascii="Arial" w:cs="Arial" w:eastAsia="Arial" w:hAnsi="Arial"/>
          <w:sz w:val="19"/>
          <w:szCs w:val="19"/>
          <w:color w:val="auto"/>
        </w:rPr>
      </w:pPr>
    </w:p>
    <w:p>
      <w:pPr>
        <w:jc w:val="both"/>
        <w:ind w:left="1920" w:hanging="642"/>
        <w:spacing w:after="0" w:line="224" w:lineRule="auto"/>
        <w:tabs>
          <w:tab w:leader="none" w:pos="1918" w:val="left"/>
        </w:tabs>
        <w:numPr>
          <w:ilvl w:val="3"/>
          <w:numId w:val="38"/>
        </w:numPr>
        <w:rPr>
          <w:rFonts w:ascii="Arial" w:cs="Arial" w:eastAsia="Arial" w:hAnsi="Arial"/>
          <w:sz w:val="18"/>
          <w:szCs w:val="18"/>
          <w:color w:val="auto"/>
        </w:rPr>
      </w:pPr>
      <w:r>
        <w:rPr>
          <w:rFonts w:ascii="Arial" w:cs="Arial" w:eastAsia="Arial" w:hAnsi="Arial"/>
          <w:sz w:val="18"/>
          <w:szCs w:val="18"/>
          <w:color w:val="auto"/>
        </w:rPr>
        <w:t xml:space="preserve">three arbitrators from the AAA with expertise in employment disputes ("Employment Law Arbitrators") shall be selected, and shall conduct the arbitration, pursuant to the then-current AAA's Employment Arbitration Rules and Procedures ("AAA Employment Rules"), without incorporation of AAA's Supplementary Rules for Class Arbitration, which the parties hereby expressly disclaim. The AAA Employment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Employment Arbitration Rules" using an internet search engine such as www.google.com, or by requesting a copy from the human resources department of the Company. Within fourteen (14) days after the receipt of the Request for Arbitration, each party shall select one arbitrator from the AAA with expertise in employment law to act as arbitrator and such arbitrators shall select the third arbitrator within 10 days of their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0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00"/>
        <w:spacing w:after="0" w:line="225" w:lineRule="auto"/>
        <w:rPr>
          <w:sz w:val="20"/>
          <w:szCs w:val="20"/>
          <w:color w:val="auto"/>
        </w:rPr>
      </w:pPr>
      <w:r>
        <w:rPr>
          <w:rFonts w:ascii="Arial" w:cs="Arial" w:eastAsia="Arial" w:hAnsi="Arial"/>
          <w:sz w:val="18"/>
          <w:szCs w:val="18"/>
          <w:color w:val="auto"/>
        </w:rPr>
        <w:t>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Employment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Employment Rules state, the arbitration proceedings shall be held in the City and County of Denver, Colorado;</w:t>
      </w:r>
    </w:p>
    <w:p>
      <w:pPr>
        <w:spacing w:after="0" w:line="179" w:lineRule="exact"/>
        <w:rPr>
          <w:sz w:val="20"/>
          <w:szCs w:val="20"/>
          <w:color w:val="auto"/>
        </w:rPr>
      </w:pPr>
    </w:p>
    <w:p>
      <w:pPr>
        <w:jc w:val="both"/>
        <w:ind w:left="800" w:hanging="642"/>
        <w:spacing w:after="0" w:line="234" w:lineRule="auto"/>
        <w:tabs>
          <w:tab w:leader="none" w:pos="7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parties shall have the right to conduct discovery </w:t>
      </w:r>
      <w:r>
        <w:rPr>
          <w:rFonts w:ascii="Arial" w:cs="Arial" w:eastAsia="Arial" w:hAnsi="Arial"/>
          <w:sz w:val="17"/>
          <w:szCs w:val="17"/>
          <w:color w:val="252629"/>
        </w:rPr>
        <w:t>relevant and material to the outcome of the arbitration</w:t>
      </w:r>
      <w:r>
        <w:rPr>
          <w:rFonts w:ascii="Arial" w:cs="Arial" w:eastAsia="Arial" w:hAnsi="Arial"/>
          <w:sz w:val="17"/>
          <w:szCs w:val="17"/>
          <w:color w:val="auto"/>
        </w:rPr>
        <w:t xml:space="preserve"> and to present witnesses and evidence as needed to present their claims and defenses, and the Employment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Employment Law Arbitrators may award any remedy available under applicable law, but remedies shall be limited to those that would be available to a party in his/her/its individual capacity for all Claims presented to the Employment Law Arbitrators. The Employment Law Arbitrators’ decision shall be final and binding, and judgment upon the Employment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7" w:lineRule="exact"/>
        <w:rPr>
          <w:rFonts w:ascii="Arial" w:cs="Arial" w:eastAsia="Arial" w:hAnsi="Arial"/>
          <w:sz w:val="17"/>
          <w:szCs w:val="17"/>
          <w:color w:val="auto"/>
        </w:rPr>
      </w:pPr>
    </w:p>
    <w:p>
      <w:pPr>
        <w:jc w:val="both"/>
        <w:ind w:left="800" w:hanging="642"/>
        <w:spacing w:after="0" w:line="226" w:lineRule="auto"/>
        <w:tabs>
          <w:tab w:leader="none" w:pos="7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Employment Law Arbitrators shall have the authority to hear and decide dispositive motions under the legal standards set forth in Rules 12 and 56 of the Colorado Rules of Civil Procedure, regardless of whether a Claim arises under federal or state law. The Employment Law Arbitrators shall resolve all disputes regarding the timeliness or propriety of the Request for Arbitration and apply the statute of limitations that would have applied if a Claim had been brought in a court of competent jurisdiction. The Employment Law Arbitrators shall dismiss, without limitation, any Claim that, in the absence of this Agreement, could not be brought under applicable law;</w:t>
      </w:r>
    </w:p>
    <w:p>
      <w:pPr>
        <w:spacing w:after="0" w:line="182" w:lineRule="exact"/>
        <w:rPr>
          <w:rFonts w:ascii="Arial" w:cs="Arial" w:eastAsia="Arial" w:hAnsi="Arial"/>
          <w:sz w:val="18"/>
          <w:szCs w:val="18"/>
          <w:color w:val="auto"/>
        </w:rPr>
      </w:pPr>
    </w:p>
    <w:p>
      <w:pPr>
        <w:jc w:val="both"/>
        <w:ind w:left="800" w:hanging="642"/>
        <w:spacing w:after="0" w:line="215" w:lineRule="auto"/>
        <w:tabs>
          <w:tab w:leader="none" w:pos="78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Employment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Employment Rules state, any dispute as to the interpretation, applicability, enforceability or formation of the Class Action Waiver and the Representative Action Waiver may only be determined by a court of competent jurisdiction and not by the Employment Law Arbitrators; and</w:t>
      </w:r>
    </w:p>
    <w:p>
      <w:pPr>
        <w:spacing w:after="0" w:line="177" w:lineRule="exact"/>
        <w:rPr>
          <w:rFonts w:ascii="Arial" w:cs="Arial" w:eastAsia="Arial" w:hAnsi="Arial"/>
          <w:sz w:val="19"/>
          <w:szCs w:val="19"/>
          <w:color w:val="auto"/>
        </w:rPr>
      </w:pPr>
    </w:p>
    <w:p>
      <w:pPr>
        <w:jc w:val="both"/>
        <w:ind w:left="800" w:hanging="642"/>
        <w:spacing w:after="0" w:line="213" w:lineRule="auto"/>
        <w:tabs>
          <w:tab w:leader="none" w:pos="788"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Employment Law Arbitrators’ award or decision; or (D) if applicable law provides to the contrary. In the event that either party initiates a court proceeding to enforce, correct, modify, or vacate the Employment Law Arbitrators’ award or decision, or any other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20"/>
          </w:cols>
          <w:pgMar w:left="1440" w:top="10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80"/>
        <w:spacing w:after="0" w:line="248" w:lineRule="auto"/>
        <w:rPr>
          <w:sz w:val="20"/>
          <w:szCs w:val="20"/>
          <w:color w:val="auto"/>
        </w:rPr>
      </w:pPr>
      <w:r>
        <w:rPr>
          <w:rFonts w:ascii="Arial" w:cs="Arial" w:eastAsia="Arial" w:hAnsi="Arial"/>
          <w:sz w:val="17"/>
          <w:szCs w:val="17"/>
          <w:color w:val="auto"/>
        </w:rPr>
        <w:t>that would require disclosing the Employment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26" w:lineRule="exact"/>
        <w:rPr>
          <w:sz w:val="20"/>
          <w:szCs w:val="20"/>
          <w:color w:val="auto"/>
        </w:rPr>
      </w:pPr>
    </w:p>
    <w:p>
      <w:pPr>
        <w:ind w:left="620" w:hanging="618"/>
        <w:spacing w:after="0"/>
        <w:tabs>
          <w:tab w:leader="none" w:pos="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For Options Disputes:</w:t>
      </w:r>
    </w:p>
    <w:p>
      <w:pPr>
        <w:spacing w:after="0" w:line="205" w:lineRule="exact"/>
        <w:rPr>
          <w:rFonts w:ascii="Arial" w:cs="Arial" w:eastAsia="Arial" w:hAnsi="Arial"/>
          <w:sz w:val="19"/>
          <w:szCs w:val="19"/>
          <w:color w:val="auto"/>
        </w:rPr>
      </w:pPr>
    </w:p>
    <w:p>
      <w:pPr>
        <w:jc w:val="both"/>
        <w:ind w:left="1280" w:hanging="642"/>
        <w:spacing w:after="0" w:line="221" w:lineRule="auto"/>
        <w:tabs>
          <w:tab w:leader="none" w:pos="12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Commercial Law Arbitrators’ (as defined below) fees and any fee for administering the arbitration unless otherwise ordered by the Commercial Law Arbitrators;</w:t>
      </w:r>
    </w:p>
    <w:p>
      <w:pPr>
        <w:spacing w:after="0" w:line="177" w:lineRule="exact"/>
        <w:rPr>
          <w:rFonts w:ascii="Arial" w:cs="Arial" w:eastAsia="Arial" w:hAnsi="Arial"/>
          <w:sz w:val="18"/>
          <w:szCs w:val="18"/>
          <w:color w:val="auto"/>
        </w:rPr>
      </w:pPr>
    </w:p>
    <w:p>
      <w:pPr>
        <w:jc w:val="both"/>
        <w:ind w:left="1280" w:hanging="642"/>
        <w:spacing w:after="0" w:line="220" w:lineRule="auto"/>
        <w:tabs>
          <w:tab w:leader="none" w:pos="1277"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179" w:lineRule="exact"/>
        <w:rPr>
          <w:rFonts w:ascii="Arial" w:cs="Arial" w:eastAsia="Arial" w:hAnsi="Arial"/>
          <w:sz w:val="19"/>
          <w:szCs w:val="19"/>
          <w:color w:val="auto"/>
        </w:rPr>
      </w:pPr>
    </w:p>
    <w:p>
      <w:pPr>
        <w:jc w:val="both"/>
        <w:ind w:left="1280" w:hanging="642"/>
        <w:spacing w:after="0" w:line="219" w:lineRule="auto"/>
        <w:tabs>
          <w:tab w:leader="none" w:pos="12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three arbitrators from the AAA with expertise in commercial law ("Commercial Law Arbitrators") shall be selected, and shall conduct the arbitration, pursuant to the then-current AAA Commercial Dispute Resolution Procedures (the “AAA Commercial Rules”), without incorporation of the AAA Employment Rules and the AAA's Supplementary Rules for Class Arbitration, both of which the parties hereby expressly disclaim. The AAA Commercial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Commercial Dispute Resolution Procedures" using an internet search engine such as www.google.com, or by requesting a copy from the human resources department of the Company. Within fourteen (14) days after the receipt of the Request for Arbitration, each party shall select one arbitrator from the AAA with expertise in commercial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Commercial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Commercial Rules state, the arbitration proceedings shall be held in the City and County of Denver,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600"/>
          </w:cols>
          <w:pgMar w:left="960" w:top="10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00" w:hanging="642"/>
        <w:spacing w:after="0" w:line="234"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parties shall have the right to conduct discovery </w:t>
      </w:r>
      <w:r>
        <w:rPr>
          <w:rFonts w:ascii="Arial" w:cs="Arial" w:eastAsia="Arial" w:hAnsi="Arial"/>
          <w:sz w:val="17"/>
          <w:szCs w:val="17"/>
          <w:color w:val="252629"/>
        </w:rPr>
        <w:t>relevant and material to the outcome of the arbitration</w:t>
      </w:r>
      <w:r>
        <w:rPr>
          <w:rFonts w:ascii="Arial" w:cs="Arial" w:eastAsia="Arial" w:hAnsi="Arial"/>
          <w:sz w:val="17"/>
          <w:szCs w:val="17"/>
          <w:color w:val="auto"/>
        </w:rPr>
        <w:t xml:space="preserve"> and to present witnesses and evidence as needed to present their claims and defenses, and the Commercial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Commercial Law Arbitrators may award any remedy available under applicable law, but remedies shall be limited to those that would be available to a party in his/her/its individual capacity for all Claims presented to the Commercial Law Arbitrators. The Commercial Law Arbitrators’ decision shall be final and binding, and judgment upon the Commercial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7" w:lineRule="exact"/>
        <w:rPr>
          <w:rFonts w:ascii="Arial" w:cs="Arial" w:eastAsia="Arial" w:hAnsi="Arial"/>
          <w:sz w:val="17"/>
          <w:szCs w:val="17"/>
          <w:color w:val="auto"/>
        </w:rPr>
      </w:pPr>
    </w:p>
    <w:p>
      <w:pPr>
        <w:jc w:val="both"/>
        <w:ind w:left="800" w:hanging="642"/>
        <w:spacing w:after="0" w:line="215" w:lineRule="auto"/>
        <w:tabs>
          <w:tab w:leader="none" w:pos="787"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Commercial Law Arbitrators shall have the authority to hear and decide dispositive motions under the legal standards set forth in Rules 12 and 56 of the Colorado Rules of Civil Procedure, regardless of whether a Claim arises under federal or state law. The Commercial Law Arbitrators shall resolve all disputes regarding the timeliness or propriety of the Request for Arbitration and apply the statute of limitations that would have applied if a Claim had been brought in a court of competent jurisdiction. The Commercial Law Arbitrators shall dismiss, without limitation, any Claim that, in the absence of this Agreement, could not be brought under applicable law;</w:t>
      </w:r>
    </w:p>
    <w:p>
      <w:pPr>
        <w:spacing w:after="0" w:line="177" w:lineRule="exact"/>
        <w:rPr>
          <w:rFonts w:ascii="Arial" w:cs="Arial" w:eastAsia="Arial" w:hAnsi="Arial"/>
          <w:sz w:val="19"/>
          <w:szCs w:val="19"/>
          <w:color w:val="auto"/>
        </w:rPr>
      </w:pPr>
    </w:p>
    <w:p>
      <w:pPr>
        <w:jc w:val="both"/>
        <w:ind w:left="800" w:hanging="642"/>
        <w:spacing w:after="0" w:line="215" w:lineRule="auto"/>
        <w:tabs>
          <w:tab w:leader="none" w:pos="7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Commercial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Commercial Rules state, any dispute as to the interpretation, applicability, enforceability or formation of the Class Action Waiver and the Representative Action Waiver may only be determined by a court of competent jurisdiction and not by the Commercial Law Arbitrators; and</w:t>
      </w:r>
    </w:p>
    <w:p>
      <w:pPr>
        <w:spacing w:after="0" w:line="177" w:lineRule="exact"/>
        <w:rPr>
          <w:rFonts w:ascii="Arial" w:cs="Arial" w:eastAsia="Arial" w:hAnsi="Arial"/>
          <w:sz w:val="19"/>
          <w:szCs w:val="19"/>
          <w:color w:val="auto"/>
        </w:rPr>
      </w:pPr>
    </w:p>
    <w:p>
      <w:pPr>
        <w:jc w:val="both"/>
        <w:ind w:left="800" w:hanging="642"/>
        <w:spacing w:after="0" w:line="235" w:lineRule="auto"/>
        <w:tabs>
          <w:tab w:leader="none" w:pos="78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Commercial Law Arbitrators’ award or decision; or (D) if applicable law provides to the contrary. In the event that either party initiates a court proceeding to enforce, correct, modify, or vacate the Commercial Law Arbitrators’ award or decision, or any other proceeding that would require disclosing the Commercial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120"/>
          </w:cols>
          <w:pgMar w:left="1440" w:top="1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00" w:firstLine="642"/>
        <w:spacing w:after="0" w:line="217" w:lineRule="auto"/>
        <w:tabs>
          <w:tab w:leader="none" w:pos="12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Notwithstanding the foregoing, this agreement to arbitrate all Employment-Related Disputes and/or Options Disputes shall not apply to Grantee claims for statutory unemployment compensation benefits, statutory worker’s compensation benefits, state disability insurance benefits (not including retaliation claims based upon seeking such benefits), charges filed with the National Labor Relations Board alleging violations of the National Labor Relations Act, and claims for benefits from a Company-sponsored “employee benefit plan,” as that term is defined in 29 U.S.C. §1002(3).</w:t>
      </w:r>
    </w:p>
    <w:p>
      <w:pPr>
        <w:spacing w:after="0" w:line="231" w:lineRule="exact"/>
        <w:rPr>
          <w:rFonts w:ascii="Arial" w:cs="Arial" w:eastAsia="Arial" w:hAnsi="Arial"/>
          <w:sz w:val="19"/>
          <w:szCs w:val="19"/>
          <w:color w:val="auto"/>
        </w:rPr>
      </w:pPr>
    </w:p>
    <w:p>
      <w:pPr>
        <w:jc w:val="both"/>
        <w:ind w:right="100" w:firstLine="642"/>
        <w:spacing w:after="0" w:line="210" w:lineRule="auto"/>
        <w:tabs>
          <w:tab w:leader="none" w:pos="126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the maximum extent allowed by applicable law, (i) Grantee and the Company agree to bring any Claim in arbitration on an individual basis only, and not as a class or collective action, (ii) Grantee and the Company waive any right for a Claim to be brought, heard, or decided as a class or collective action, and (iii) the applicable arbitrator under this Section 6 shall have no power, jurisdiction or authority to preside over a class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any right for a Claim to be brought, heard or decided as a Private Attorney General Representative Action on behalf of other grantees ("Representative Action"), and the applicable arbitrator under this Section 6 shall have no power or authority to preside over a Representative Action ("Representative Action Waiver"). The Representative Action Waiver, however, does not apply to a Claim that Grantee brings in arbitration as a private attorney general solely on his/her own behalf.</w:t>
      </w:r>
    </w:p>
    <w:p>
      <w:pPr>
        <w:spacing w:after="0" w:line="221" w:lineRule="exact"/>
        <w:rPr>
          <w:rFonts w:ascii="Arial" w:cs="Arial" w:eastAsia="Arial" w:hAnsi="Arial"/>
          <w:sz w:val="19"/>
          <w:szCs w:val="19"/>
          <w:color w:val="auto"/>
        </w:rPr>
      </w:pPr>
    </w:p>
    <w:p>
      <w:pPr>
        <w:jc w:val="both"/>
        <w:ind w:right="100" w:firstLine="642"/>
        <w:spacing w:after="0" w:line="221" w:lineRule="auto"/>
        <w:tabs>
          <w:tab w:leader="none" w:pos="12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each of Grantee and the Company shall have the right to seek temporary restraining orders, preliminary and/or permanent injunctions or other like emergency relief from a court where such relief is required to permit the dispute to proceed to arbitration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 provided that, once a court of competent jurisdiction orders or denies temporary or preliminary relief, the Claims shall then be resolved by arbitration pursuant to this Agreement. The parties mutually agree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Grantee irrevocably waives, to the fullest extent permitted by law, any and all objections which he may now or hereafter have to the venue of any such proceeding brought in any such court, including, without limitation, any claim that such proceeding has been brought in an inconvenient forum.</w:t>
      </w:r>
    </w:p>
    <w:p>
      <w:pPr>
        <w:spacing w:after="0" w:line="235" w:lineRule="exact"/>
        <w:rPr>
          <w:rFonts w:ascii="Arial" w:cs="Arial" w:eastAsia="Arial" w:hAnsi="Arial"/>
          <w:sz w:val="18"/>
          <w:szCs w:val="18"/>
          <w:color w:val="auto"/>
        </w:rPr>
      </w:pPr>
    </w:p>
    <w:p>
      <w:pPr>
        <w:jc w:val="both"/>
        <w:ind w:right="100" w:firstLine="642"/>
        <w:spacing w:after="0" w:line="215" w:lineRule="auto"/>
        <w:tabs>
          <w:tab w:leader="none" w:pos="12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Further, nothing in this Section 6 prohibits Grantee from making a report or filing an administrative charge with a federal, state or local administrative agency such as the National Labor Relations Board, the Equal Employment Opportunity Commission, the Securities and Exchange Commission or the Department of Labor. This Section 6 also does not prevent federal administrative agencies from adjudicating claims and awarding remedies based on those claims, even if the claims would otherwise be covered by this Section 6. Nothing in this Section 6 prevents or excuses a party from satisfying any conditions precedent and/or exhausting administrative remedies under applicable law before bringing a Claim in arbitration.</w:t>
      </w:r>
    </w:p>
    <w:p>
      <w:pPr>
        <w:spacing w:after="0" w:line="230" w:lineRule="exact"/>
        <w:rPr>
          <w:rFonts w:ascii="Arial" w:cs="Arial" w:eastAsia="Arial" w:hAnsi="Arial"/>
          <w:sz w:val="19"/>
          <w:szCs w:val="19"/>
          <w:color w:val="auto"/>
        </w:rPr>
      </w:pPr>
    </w:p>
    <w:p>
      <w:pPr>
        <w:jc w:val="both"/>
        <w:ind w:right="100" w:firstLine="642"/>
        <w:spacing w:after="0" w:line="237" w:lineRule="auto"/>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the applicable arbitrators rule otherwise (under the same standards that would apply in a court of competent jurisdiction), each party to any arbitration or court proceeding contemplated by this Section 6 shall be responsible for its own attorneys' fees and costs; provided, however, that unless otherwise required by applicable law or this Agreement, the prevailing party in any arbitration or court proceeding contemplated by this Section 6 shall be entitled to reimbursement of its or his reasonable attorneys’ fees, costs, and expenses. Nothing in this Agreement shall require Grantee to reimburse the Company for its reasonable attorneys' fees, costs, and expenses, incurred when the Company prevails in defense of any statutory claim of unlawful discrimination, unless said claim brought by Grantee is frivolous, unreasonable or without foundation, or Grantee continues to prosecute a claim after the claim became frivolous, unreasonable or without foundation. In the event either party hereto files a judicial or administrative action asserting claims subject to this arbitration provision,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0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00"/>
        <w:spacing w:after="0" w:line="226" w:lineRule="auto"/>
        <w:rPr>
          <w:sz w:val="20"/>
          <w:szCs w:val="20"/>
          <w:color w:val="auto"/>
        </w:rPr>
      </w:pPr>
      <w:r>
        <w:rPr>
          <w:rFonts w:ascii="Arial" w:cs="Arial" w:eastAsia="Arial" w:hAnsi="Arial"/>
          <w:sz w:val="19"/>
          <w:szCs w:val="19"/>
          <w:color w:val="auto"/>
        </w:rPr>
        <w:t>the other party successfully stays such action and/or compels arbitration of the claims made in such an action, the party filing the administrative or judicial action shall pay the other party’s reasonable attorneys’ fees, costs, and expenses incurred in obtaining a stay and/or compelling arbitration.</w:t>
      </w:r>
    </w:p>
    <w:p>
      <w:pPr>
        <w:spacing w:after="0" w:line="231" w:lineRule="exact"/>
        <w:rPr>
          <w:sz w:val="20"/>
          <w:szCs w:val="20"/>
          <w:color w:val="auto"/>
        </w:rPr>
      </w:pPr>
    </w:p>
    <w:p>
      <w:pPr>
        <w:jc w:val="both"/>
        <w:ind w:right="100" w:firstLine="642"/>
        <w:spacing w:after="0" w:line="238" w:lineRule="auto"/>
        <w:tabs>
          <w:tab w:leader="none" w:pos="127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This Section 6 supersedes and renders void any prior agreement(s) to arbitrate between Grantee and the Company with respect to any and all Claims under this Agreement and any other agreement(s) between the Company and/or any of its direct and indirect subsidiaries, on the one hand, and Grantee, on the other hand. 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Options Disputes for the specific Option granted under this Agreement. In the event of any conflict or inconsistency between any AAA rules and/or procedures and the terms and conditions of this Agreement, the terms and conditions of this Agreement shall control.</w:t>
      </w:r>
    </w:p>
    <w:p>
      <w:pPr>
        <w:spacing w:after="0" w:line="219" w:lineRule="exact"/>
        <w:rPr>
          <w:rFonts w:ascii="Arial" w:cs="Arial" w:eastAsia="Arial" w:hAnsi="Arial"/>
          <w:sz w:val="17"/>
          <w:szCs w:val="17"/>
          <w:color w:val="auto"/>
        </w:rPr>
      </w:pPr>
    </w:p>
    <w:p>
      <w:pPr>
        <w:jc w:val="both"/>
        <w:ind w:right="100" w:firstLine="642"/>
        <w:spacing w:after="0" w:line="213" w:lineRule="auto"/>
        <w:tabs>
          <w:tab w:leader="none" w:pos="1270" w:val="left"/>
        </w:tabs>
        <w:numPr>
          <w:ilvl w:val="1"/>
          <w:numId w:val="43"/>
        </w:numPr>
        <w:rPr>
          <w:rFonts w:ascii="Arial" w:cs="Arial" w:eastAsia="Arial" w:hAnsi="Arial"/>
          <w:sz w:val="19"/>
          <w:szCs w:val="19"/>
          <w:color w:val="auto"/>
        </w:rPr>
      </w:pPr>
      <w:r>
        <w:rPr>
          <w:rFonts w:ascii="Arial" w:cs="Arial" w:eastAsia="Arial" w:hAnsi="Arial"/>
          <w:sz w:val="19"/>
          <w:szCs w:val="19"/>
          <w:color w:val="auto"/>
        </w:rPr>
        <w:t>Other than potential rights to a trial, a jury trial, and common law claims for punitive and/or exemplary damages, nothing in this agreement to arbitrate limits any statutory remedy to which Grantee or the Company may be entitled under law. The parties acknowledge that this agreement to arbitrate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32" w:lineRule="exact"/>
        <w:rPr>
          <w:rFonts w:ascii="Arial" w:cs="Arial" w:eastAsia="Arial" w:hAnsi="Arial"/>
          <w:sz w:val="19"/>
          <w:szCs w:val="19"/>
          <w:color w:val="auto"/>
        </w:rPr>
      </w:pPr>
    </w:p>
    <w:p>
      <w:pPr>
        <w:jc w:val="both"/>
        <w:ind w:right="100" w:firstLine="642"/>
        <w:spacing w:after="0" w:line="213" w:lineRule="auto"/>
        <w:tabs>
          <w:tab w:leader="none" w:pos="12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GRANTEE AND THE COMPANY MUTUALLY AND VOLUNTARILY AGREE TO ARBITRATE ALL CLAIMS COVERED BY THIS AGREEMENT AS SET FORTH IN THIS SECTION 6. THE RIGHTS TO A TRIAL BY JURY, TO COMMON LAW CLAIMS FOR PUNITIVE AND/OR EXEMPLARY DAMAGES, AND TO ENGAGE AND/OR PARTICIPATE IN A CLASS, COLLECTIVE OR REPRESENTATIVE ACTION ARE OF VALUE AND EXPRESSLY WAIVED PURSUANT TO THIS SECTION 6. NOTHING IN THIS SECTION 6 INFRINGES ON GRANTEE’S RIGHT TO FILE A CHARGE WITH ANY GOVERNMENT AGENCY, AND GRANTEE’S RIGHT TO SEEK ANY REMEDY AND/OR PERSONAL RECOVERY IS ONLY RESTRICTED AS SPECIFICALLY SET FORTH IN THIS SECTION 6.</w:t>
      </w:r>
    </w:p>
    <w:p>
      <w:pPr>
        <w:spacing w:after="0" w:line="192" w:lineRule="exact"/>
        <w:rPr>
          <w:rFonts w:ascii="Arial" w:cs="Arial" w:eastAsia="Arial" w:hAnsi="Arial"/>
          <w:sz w:val="19"/>
          <w:szCs w:val="19"/>
          <w:color w:val="auto"/>
        </w:rPr>
      </w:pPr>
    </w:p>
    <w:p>
      <w:pPr>
        <w:ind w:left="640" w:hanging="634"/>
        <w:spacing w:after="0"/>
        <w:tabs>
          <w:tab w:leader="none" w:pos="64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71" w:lineRule="exact"/>
        <w:rPr>
          <w:rFonts w:ascii="Arial" w:cs="Arial" w:eastAsia="Arial" w:hAnsi="Arial"/>
          <w:sz w:val="19"/>
          <w:szCs w:val="19"/>
          <w:color w:val="auto"/>
        </w:rPr>
      </w:pPr>
    </w:p>
    <w:p>
      <w:pPr>
        <w:jc w:val="both"/>
        <w:ind w:right="100" w:firstLine="642"/>
        <w:spacing w:after="0" w:line="220" w:lineRule="auto"/>
        <w:tabs>
          <w:tab w:leader="none" w:pos="126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Option Subject to the Plan</w:t>
      </w:r>
      <w:r>
        <w:rPr>
          <w:rFonts w:ascii="Arial" w:cs="Arial" w:eastAsia="Arial" w:hAnsi="Arial"/>
          <w:sz w:val="19"/>
          <w:szCs w:val="19"/>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79" w:lineRule="exact"/>
        <w:rPr>
          <w:rFonts w:ascii="Arial" w:cs="Arial" w:eastAsia="Arial" w:hAnsi="Arial"/>
          <w:sz w:val="19"/>
          <w:szCs w:val="19"/>
          <w:color w:val="auto"/>
        </w:rPr>
      </w:pPr>
    </w:p>
    <w:p>
      <w:pPr>
        <w:jc w:val="both"/>
        <w:ind w:right="100" w:firstLine="642"/>
        <w:spacing w:after="0" w:line="226"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Option will not have any right to dividends or any other rights of a shareholder with respect to Common Shares subject to the Option until such Common Shares shall have been issued to Grantee upon valid exercise of the Option in accordance with this Agreement and the Plan (as evidenced by the records of the transfer agent of the Company).</w:t>
      </w:r>
    </w:p>
    <w:p>
      <w:pPr>
        <w:spacing w:after="0" w:line="182" w:lineRule="exact"/>
        <w:rPr>
          <w:rFonts w:ascii="Arial" w:cs="Arial" w:eastAsia="Arial" w:hAnsi="Arial"/>
          <w:sz w:val="18"/>
          <w:szCs w:val="18"/>
          <w:color w:val="auto"/>
        </w:rPr>
      </w:pPr>
    </w:p>
    <w:p>
      <w:pPr>
        <w:jc w:val="both"/>
        <w:ind w:right="100" w:firstLine="642"/>
        <w:spacing w:after="0" w:line="259" w:lineRule="auto"/>
        <w:tabs>
          <w:tab w:leader="none" w:pos="1262"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w:t>
      </w:r>
      <w:r>
        <w:rPr>
          <w:rFonts w:ascii="Arial" w:cs="Arial" w:eastAsia="Arial" w:hAnsi="Arial"/>
          <w:sz w:val="17"/>
          <w:szCs w:val="17"/>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spacing w:after="0" w:line="217" w:lineRule="auto"/>
        <w:rPr>
          <w:sz w:val="20"/>
          <w:szCs w:val="20"/>
          <w:color w:val="auto"/>
        </w:rPr>
      </w:pPr>
      <w:r>
        <w:rPr>
          <w:rFonts w:ascii="Arial" w:cs="Arial" w:eastAsia="Arial" w:hAnsi="Arial"/>
          <w:sz w:val="19"/>
          <w:szCs w:val="19"/>
          <w:color w:val="auto"/>
        </w:rPr>
        <w:t>of the Committee for any reason or no reason at any time and from time to time, to all or any portion of the Option that shall have not yet vested or been exercised and not yet been terminated or expired, in order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78" w:lineRule="exact"/>
        <w:rPr>
          <w:sz w:val="20"/>
          <w:szCs w:val="20"/>
          <w:color w:val="auto"/>
        </w:rPr>
      </w:pPr>
    </w:p>
    <w:p>
      <w:pPr>
        <w:ind w:right="120" w:firstLine="642"/>
        <w:spacing w:after="0" w:line="237" w:lineRule="auto"/>
        <w:tabs>
          <w:tab w:leader="none" w:pos="12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Assigns and Successors</w:t>
      </w:r>
      <w:r>
        <w:rPr>
          <w:rFonts w:ascii="Arial" w:cs="Arial" w:eastAsia="Arial" w:hAnsi="Arial"/>
          <w:sz w:val="19"/>
          <w:szCs w:val="19"/>
          <w:color w:val="auto"/>
        </w:rPr>
        <w:t>. This Agreement shall inure to the benefit of the Company’s assigns and successors and its and their direct and indirect subsidiaries.</w:t>
      </w:r>
    </w:p>
    <w:p>
      <w:pPr>
        <w:spacing w:after="0" w:line="244" w:lineRule="exact"/>
        <w:rPr>
          <w:rFonts w:ascii="Arial" w:cs="Arial" w:eastAsia="Arial" w:hAnsi="Arial"/>
          <w:sz w:val="19"/>
          <w:szCs w:val="19"/>
          <w:color w:val="auto"/>
        </w:rPr>
      </w:pPr>
    </w:p>
    <w:p>
      <w:pPr>
        <w:jc w:val="both"/>
        <w:ind w:right="100" w:firstLine="642"/>
        <w:spacing w:after="0" w:line="217" w:lineRule="auto"/>
        <w:tabs>
          <w:tab w:leader="none" w:pos="126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Grantee’s or any holder’s of the Option right to exercise the Option and shall not issue or deliver the Common Shares underlying the Option unless it is satisfied in its judgment that the issuance and sale of Common Shares will not violate any of the provisions of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exercise of the Option under the Securities Act and list the Common Shares on any securities exchange. In the absence thereof, Grantee understands that neither the Option nor the Common Shares issuable upon the exercise thereof will be registered under the Securities Act, or tradeable on any securities exchange, and Grantee represents that the Option is being acquired, and that such Common Shares that will be acquired pursuant to exercise of the Option, if any, will 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208" w:lineRule="exact"/>
        <w:rPr>
          <w:rFonts w:ascii="Arial" w:cs="Arial" w:eastAsia="Arial" w:hAnsi="Arial"/>
          <w:sz w:val="18"/>
          <w:szCs w:val="18"/>
          <w:color w:val="auto"/>
        </w:rPr>
      </w:pPr>
    </w:p>
    <w:p>
      <w:pPr>
        <w:jc w:val="both"/>
        <w:ind w:right="100" w:firstLine="642"/>
        <w:spacing w:after="0" w:line="223" w:lineRule="auto"/>
        <w:tabs>
          <w:tab w:leader="none" w:pos="126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 of Disposal of Common Shares; Withholding</w:t>
      </w:r>
      <w:r>
        <w:rPr>
          <w:rFonts w:ascii="Arial" w:cs="Arial" w:eastAsia="Arial" w:hAnsi="Arial"/>
          <w:sz w:val="18"/>
          <w:szCs w:val="18"/>
          <w:color w:val="auto"/>
        </w:rPr>
        <w:t>. To the extent the Option is an ISO, if Grantee shall dispose of any of the Common Shares of the Company acquired by Grantee pursuant to the exercise of such portion of the Option that is an ISO within two years from the Grant Date or within one year after the transfer of any such shares to Grantee upon exercise of such portion of the Option, then, in order to provide the Company with the opportunity to claim the benefit of any income tax deduction (if any) which may be available to it under the circumstances, Grantee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20" w:firstLine="642"/>
        <w:spacing w:after="0" w:line="226" w:lineRule="auto"/>
        <w:tabs>
          <w:tab w:leader="none" w:pos="12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Confidential Treatment of Option</w:t>
      </w:r>
      <w:r>
        <w:rPr>
          <w:rFonts w:ascii="Arial" w:cs="Arial" w:eastAsia="Arial" w:hAnsi="Arial"/>
          <w:sz w:val="19"/>
          <w:szCs w:val="19"/>
          <w:color w:val="auto"/>
        </w:rPr>
        <w:t>. Grantee agrees to treat with confidentiality the existence, terms and conditions of this Agreement and the Option except to the extent specifically disclosed by the Company pursuant to applicable law, and agrees that failure to do so may result in immediate termination of the Option.</w:t>
      </w:r>
    </w:p>
    <w:p>
      <w:pPr>
        <w:spacing w:after="0" w:line="244" w:lineRule="exact"/>
        <w:rPr>
          <w:rFonts w:ascii="Arial" w:cs="Arial" w:eastAsia="Arial" w:hAnsi="Arial"/>
          <w:sz w:val="19"/>
          <w:szCs w:val="19"/>
          <w:color w:val="auto"/>
        </w:rPr>
      </w:pPr>
    </w:p>
    <w:p>
      <w:pPr>
        <w:jc w:val="both"/>
        <w:ind w:right="100" w:firstLine="642"/>
        <w:spacing w:after="0" w:line="220" w:lineRule="auto"/>
        <w:tabs>
          <w:tab w:leader="none" w:pos="12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Obligations Unaffected</w:t>
      </w:r>
      <w:r>
        <w:rPr>
          <w:rFonts w:ascii="Arial" w:cs="Arial" w:eastAsia="Arial" w:hAnsi="Arial"/>
          <w:sz w:val="19"/>
          <w:szCs w:val="19"/>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179" w:lineRule="exact"/>
        <w:rPr>
          <w:rFonts w:ascii="Arial" w:cs="Arial" w:eastAsia="Arial" w:hAnsi="Arial"/>
          <w:sz w:val="19"/>
          <w:szCs w:val="19"/>
          <w:color w:val="auto"/>
        </w:rPr>
      </w:pPr>
    </w:p>
    <w:p>
      <w:pPr>
        <w:jc w:val="both"/>
        <w:ind w:right="100" w:firstLine="642"/>
        <w:spacing w:after="0" w:line="217" w:lineRule="auto"/>
        <w:tabs>
          <w:tab w:leader="none" w:pos="127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178" w:lineRule="exact"/>
        <w:rPr>
          <w:rFonts w:ascii="Arial" w:cs="Arial" w:eastAsia="Arial" w:hAnsi="Arial"/>
          <w:sz w:val="19"/>
          <w:szCs w:val="19"/>
          <w:color w:val="auto"/>
        </w:rPr>
      </w:pPr>
    </w:p>
    <w:p>
      <w:pPr>
        <w:jc w:val="both"/>
        <w:ind w:right="100" w:firstLine="642"/>
        <w:spacing w:after="0" w:line="212" w:lineRule="auto"/>
        <w:tabs>
          <w:tab w:leader="none" w:pos="127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Complete Agreement; No Waiver</w:t>
      </w:r>
      <w:r>
        <w:rPr>
          <w:rFonts w:ascii="Arial" w:cs="Arial" w:eastAsia="Arial" w:hAnsi="Arial"/>
          <w:sz w:val="19"/>
          <w:szCs w:val="19"/>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including, but not limited to, the provisions of that certain Offer Letter by and between Grantee and the Company, dated February 17, 2022 relating to the “Sign-On Options” (as defined therein).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8" w:lineRule="exact"/>
        <w:rPr>
          <w:rFonts w:ascii="Arial" w:cs="Arial" w:eastAsia="Arial" w:hAnsi="Arial"/>
          <w:sz w:val="19"/>
          <w:szCs w:val="19"/>
          <w:color w:val="auto"/>
        </w:rPr>
      </w:pPr>
    </w:p>
    <w:p>
      <w:pPr>
        <w:jc w:val="both"/>
        <w:ind w:right="100" w:firstLine="642"/>
        <w:spacing w:after="0" w:line="22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w:t>
      </w:r>
      <w:r>
        <w:rPr>
          <w:rFonts w:ascii="Arial" w:cs="Arial" w:eastAsia="Arial" w:hAnsi="Arial"/>
          <w:sz w:val="18"/>
          <w:szCs w:val="18"/>
          <w:color w:val="auto"/>
          <w:strike w:val="1"/>
        </w:rPr>
        <w:t>,</w:t>
      </w:r>
      <w:r>
        <w:rPr>
          <w:rFonts w:ascii="Arial" w:cs="Arial" w:eastAsia="Arial" w:hAnsi="Arial"/>
          <w:sz w:val="18"/>
          <w:szCs w:val="18"/>
          <w:color w:val="auto"/>
        </w:rPr>
        <w:t xml:space="preserve"> then the entire Option (both vested and unvested) shall be deemed to have terminated and the Option (both vested and unvested) shall not be exercisable and no Common Shares shall be issuable in connection therewith as of the date of such finding.</w:t>
      </w:r>
    </w:p>
    <w:p>
      <w:pPr>
        <w:spacing w:after="0" w:line="195" w:lineRule="exact"/>
        <w:rPr>
          <w:rFonts w:ascii="Arial" w:cs="Arial" w:eastAsia="Arial" w:hAnsi="Arial"/>
          <w:sz w:val="18"/>
          <w:szCs w:val="18"/>
          <w:color w:val="auto"/>
        </w:rPr>
      </w:pPr>
    </w:p>
    <w:p>
      <w:pPr>
        <w:jc w:val="both"/>
        <w:ind w:right="100" w:firstLine="642"/>
        <w:spacing w:after="0" w:line="217" w:lineRule="auto"/>
        <w:tabs>
          <w:tab w:leader="none" w:pos="127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Summary Information</w:t>
      </w:r>
      <w:r>
        <w:rPr>
          <w:rFonts w:ascii="Arial" w:cs="Arial" w:eastAsia="Arial" w:hAnsi="Arial"/>
          <w:sz w:val="19"/>
          <w:szCs w:val="19"/>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0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hanging="618"/>
        <w:spacing w:after="0"/>
        <w:tabs>
          <w:tab w:leader="none" w:pos="12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Grantee Acknowledgements</w:t>
      </w:r>
    </w:p>
    <w:p>
      <w:pPr>
        <w:spacing w:after="0" w:line="271" w:lineRule="exact"/>
        <w:rPr>
          <w:rFonts w:ascii="Arial" w:cs="Arial" w:eastAsia="Arial" w:hAnsi="Arial"/>
          <w:sz w:val="19"/>
          <w:szCs w:val="19"/>
          <w:color w:val="auto"/>
        </w:rPr>
      </w:pPr>
    </w:p>
    <w:p>
      <w:pPr>
        <w:ind w:left="740" w:right="100" w:firstLine="626"/>
        <w:spacing w:after="0" w:line="237" w:lineRule="auto"/>
        <w:tabs>
          <w:tab w:leader="none" w:pos="1917" w:val="left"/>
        </w:tabs>
        <w:numPr>
          <w:ilvl w:val="1"/>
          <w:numId w:val="47"/>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is executing this Agreement voluntarily and without any duress or undue influence by the Company or anyone else.</w:t>
      </w:r>
    </w:p>
    <w:p>
      <w:pPr>
        <w:spacing w:after="0" w:line="177" w:lineRule="exact"/>
        <w:rPr>
          <w:rFonts w:ascii="Arial" w:cs="Arial" w:eastAsia="Arial" w:hAnsi="Arial"/>
          <w:sz w:val="19"/>
          <w:szCs w:val="19"/>
          <w:color w:val="auto"/>
        </w:rPr>
      </w:pPr>
    </w:p>
    <w:p>
      <w:pPr>
        <w:ind w:left="740" w:right="100" w:firstLine="626"/>
        <w:spacing w:after="0" w:line="237" w:lineRule="auto"/>
        <w:tabs>
          <w:tab w:leader="none" w:pos="1918" w:val="left"/>
        </w:tabs>
        <w:numPr>
          <w:ilvl w:val="1"/>
          <w:numId w:val="47"/>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has carefully read, considered and understands all of the provisions of this Agreement, the Plan and the Company’s policies reflected in this Agreement.</w:t>
      </w:r>
    </w:p>
    <w:p>
      <w:pPr>
        <w:spacing w:after="0" w:line="244" w:lineRule="exact"/>
        <w:rPr>
          <w:rFonts w:ascii="Arial" w:cs="Arial" w:eastAsia="Arial" w:hAnsi="Arial"/>
          <w:sz w:val="19"/>
          <w:szCs w:val="19"/>
          <w:color w:val="auto"/>
        </w:rPr>
      </w:pPr>
    </w:p>
    <w:p>
      <w:pPr>
        <w:jc w:val="both"/>
        <w:ind w:left="740" w:right="100" w:firstLine="626"/>
        <w:spacing w:after="0" w:line="220" w:lineRule="auto"/>
        <w:tabs>
          <w:tab w:leader="none" w:pos="1919" w:val="left"/>
        </w:tabs>
        <w:numPr>
          <w:ilvl w:val="1"/>
          <w:numId w:val="47"/>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has asked any questions needed for him to understand the terms, consequences and binding effect of this Agreement and the Plan and Grantee fully understands them, including, without limitation, that he is waiving the right to a trial, a trial by jury, and common law claims for punitive and/or exemplary damages.</w:t>
      </w:r>
    </w:p>
    <w:p>
      <w:pPr>
        <w:spacing w:after="0" w:line="179" w:lineRule="exact"/>
        <w:rPr>
          <w:rFonts w:ascii="Arial" w:cs="Arial" w:eastAsia="Arial" w:hAnsi="Arial"/>
          <w:sz w:val="19"/>
          <w:szCs w:val="19"/>
          <w:color w:val="auto"/>
        </w:rPr>
      </w:pPr>
    </w:p>
    <w:p>
      <w:pPr>
        <w:ind w:left="740" w:right="100" w:firstLine="626"/>
        <w:spacing w:after="0" w:line="237" w:lineRule="auto"/>
        <w:tabs>
          <w:tab w:leader="none" w:pos="1921" w:val="left"/>
        </w:tabs>
        <w:numPr>
          <w:ilvl w:val="1"/>
          <w:numId w:val="47"/>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was provided an opportunity to seek the advice of an attorney and/or tax professional of his choice before accepting this Agreement.</w:t>
      </w:r>
    </w:p>
    <w:p>
      <w:pPr>
        <w:spacing w:after="0" w:line="177" w:lineRule="exact"/>
        <w:rPr>
          <w:rFonts w:ascii="Arial" w:cs="Arial" w:eastAsia="Arial" w:hAnsi="Arial"/>
          <w:sz w:val="19"/>
          <w:szCs w:val="19"/>
          <w:color w:val="auto"/>
        </w:rPr>
      </w:pPr>
    </w:p>
    <w:p>
      <w:pPr>
        <w:jc w:val="both"/>
        <w:ind w:left="740" w:right="100" w:firstLine="626"/>
        <w:spacing w:after="0" w:line="226" w:lineRule="auto"/>
        <w:tabs>
          <w:tab w:leader="none" w:pos="19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the obligations and restrictions set forth in this Agreement are consistent with Grantee’s right to sell his labor, the public's interest in unimpeded trade, are fair and reasonable, and are no broader than are reasonably required to protect the Company’s interests.</w:t>
      </w:r>
    </w:p>
    <w:p>
      <w:pPr>
        <w:spacing w:after="0" w:line="191" w:lineRule="exact"/>
        <w:rPr>
          <w:rFonts w:ascii="Arial" w:cs="Arial" w:eastAsia="Arial" w:hAnsi="Arial"/>
          <w:sz w:val="19"/>
          <w:szCs w:val="19"/>
          <w:color w:val="auto"/>
        </w:rPr>
      </w:pPr>
    </w:p>
    <w:p>
      <w:pPr>
        <w:jc w:val="both"/>
        <w:ind w:left="740" w:right="100" w:firstLine="626"/>
        <w:spacing w:after="0" w:line="232" w:lineRule="auto"/>
        <w:tabs>
          <w:tab w:leader="none" w:pos="19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non-compete and/or non-solicitation obligations set forth above. Accordingly, Grantee agrees that if 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186" w:lineRule="exact"/>
        <w:rPr>
          <w:rFonts w:ascii="Arial" w:cs="Arial" w:eastAsia="Arial" w:hAnsi="Arial"/>
          <w:sz w:val="17"/>
          <w:szCs w:val="17"/>
          <w:color w:val="auto"/>
        </w:rPr>
      </w:pPr>
    </w:p>
    <w:p>
      <w:pPr>
        <w:jc w:val="both"/>
        <w:ind w:right="100" w:firstLine="642"/>
        <w:spacing w:after="0" w:line="217" w:lineRule="auto"/>
        <w:tabs>
          <w:tab w:leader="none" w:pos="12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exercise the Option shall be addressed to Grantee or such other person(s) at Grantee's address on file with the Company, or to such other address as Grantee or such person(s) may notify the Company or its administrator for the Option in writing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0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43"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GRANTEE: Hamid Akhavan</w:t>
      </w:r>
    </w:p>
    <w:p>
      <w:pPr>
        <w:ind w:left="3820"/>
        <w:spacing w:after="0"/>
        <w:rPr>
          <w:sz w:val="20"/>
          <w:szCs w:val="20"/>
          <w:color w:val="auto"/>
        </w:rPr>
      </w:pPr>
      <w:r>
        <w:rPr>
          <w:rFonts w:ascii="Arial" w:cs="Arial" w:eastAsia="Arial" w:hAnsi="Arial"/>
          <w:sz w:val="19"/>
          <w:szCs w:val="19"/>
          <w:color w:val="auto"/>
        </w:rPr>
        <w:t>Accepted on [Acceptance Date]</w:t>
      </w:r>
    </w:p>
    <w:p>
      <w:pPr>
        <w:sectPr>
          <w:pgSz w:w="11900" w:h="16838" w:orient="portrait"/>
          <w:cols w:equalWidth="0" w:num="1">
            <w:col w:w="11240"/>
          </w:cols>
          <w:pgMar w:left="320" w:top="10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jc w:val="center"/>
        <w:spacing w:after="0"/>
        <w:rPr>
          <w:sz w:val="20"/>
          <w:szCs w:val="20"/>
          <w:color w:val="auto"/>
        </w:rPr>
      </w:pPr>
      <w:r>
        <w:rPr>
          <w:rFonts w:ascii="Arial" w:cs="Arial" w:eastAsia="Arial" w:hAnsi="Arial"/>
          <w:sz w:val="19"/>
          <w:szCs w:val="19"/>
          <w:b w:val="1"/>
          <w:bCs w:val="1"/>
          <w:color w:val="auto"/>
        </w:rPr>
        <w:t>EXECUTIVE OFFICER RESTRICTED STOCK UNIT AGREEMENT</w:t>
      </w:r>
    </w:p>
    <w:p>
      <w:pPr>
        <w:spacing w:after="0" w:line="19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This Restricted Stock Unit Agreement (the “Agreement”) is entered into effective as of [Grant Date] (the “Grant Date”), by and between EchoStar Corporation, a Nevada corporation (the “Company”), and Hamid Akhavan (“Grantee”).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w:t>
      </w:r>
    </w:p>
    <w:p>
      <w:pPr>
        <w:spacing w:after="0" w:line="206"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WHEREAS, the Company, pursuant to its 2017 Stock Incentive Plan (as amended from time to time, the “Plan”) desires to grant restricted stock units to Grantee, and Grantee desires to accept such restricted stock units, each under the terms and conditions set forth in this Agreement; and</w:t>
      </w:r>
    </w:p>
    <w:p>
      <w:pPr>
        <w:spacing w:after="0" w:line="178"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WHEREAS, the Units (as defined below) are intended to be consideration in exchange for the covenants herein contained and not in exchange for any right with respect to continuance of employment with or service to the Company or any of its direct or indirect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0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78"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p>
    <w:p>
      <w:pPr>
        <w:spacing w:after="0" w:line="206"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The Company hereby grants to Grantee, as of the Grant Date, [Number of RSUs Granted] restricted stock units (hereinafter called the “Units”), each representing the right to receive one share of the Class A common stock of the Company, par value $0.001 per share (the “Common Shares”), upon vesting of that Unit on the terms and conditions set forth in this Agreement.</w:t>
      </w:r>
    </w:p>
    <w:p>
      <w:pPr>
        <w:spacing w:after="0" w:line="185"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b w:val="1"/>
          <w:bCs w:val="1"/>
          <w:color w:val="auto"/>
        </w:rPr>
        <w:t>Notwithstanding anything in the Plan to the contrary, this Agreement and the Units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180" w:lineRule="exact"/>
        <w:rPr>
          <w:sz w:val="20"/>
          <w:szCs w:val="20"/>
          <w:color w:val="auto"/>
        </w:rPr>
      </w:pPr>
    </w:p>
    <w:p>
      <w:pPr>
        <w:ind w:left="640" w:hanging="634"/>
        <w:spacing w:after="0"/>
        <w:tabs>
          <w:tab w:leader="none" w:pos="64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Duration and Vesting</w:t>
      </w:r>
    </w:p>
    <w:p>
      <w:pPr>
        <w:spacing w:after="0" w:line="205" w:lineRule="exact"/>
        <w:rPr>
          <w:rFonts w:ascii="Arial" w:cs="Arial" w:eastAsia="Arial" w:hAnsi="Arial"/>
          <w:sz w:val="19"/>
          <w:szCs w:val="19"/>
          <w:color w:val="auto"/>
        </w:rPr>
      </w:pPr>
    </w:p>
    <w:p>
      <w:pPr>
        <w:jc w:val="both"/>
        <w:ind w:firstLine="642"/>
        <w:spacing w:after="0" w:line="226" w:lineRule="auto"/>
        <w:tabs>
          <w:tab w:leader="none" w:pos="1262" w:val="left"/>
        </w:tabs>
        <w:numPr>
          <w:ilvl w:val="1"/>
          <w:numId w:val="49"/>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the Plan and Grantee being an employee of the Company or its direct or indirect subsidiaries, if any, on each of the following vesting dates (each, a “Vesting Date”), the Units shall vest in accordance with the following vesting schedule:</w:t>
      </w:r>
    </w:p>
    <w:p>
      <w:pPr>
        <w:spacing w:after="0" w:line="214" w:lineRule="exact"/>
        <w:rPr>
          <w:sz w:val="20"/>
          <w:szCs w:val="20"/>
          <w:color w:val="auto"/>
        </w:rPr>
      </w:pPr>
    </w:p>
    <w:tbl>
      <w:tblPr>
        <w:tblLayout w:type="fixed"/>
        <w:tblInd w:w="650" w:type="dxa"/>
        <w:tblCellMar>
          <w:top w:w="0" w:type="dxa"/>
          <w:left w:w="0" w:type="dxa"/>
          <w:bottom w:w="0" w:type="dxa"/>
          <w:right w:w="0" w:type="dxa"/>
        </w:tblCellMar>
      </w:tblPr>
      <w:tr>
        <w:trPr>
          <w:trHeight w:val="252"/>
        </w:trPr>
        <w:tc>
          <w:tcPr>
            <w:tcW w:w="5140" w:type="dxa"/>
            <w:vAlign w:val="bottom"/>
            <w:tcBorders>
              <w:top w:val="single" w:sz="8" w:color="auto"/>
              <w:left w:val="single" w:sz="8" w:color="auto"/>
              <w:bottom w:val="single" w:sz="8" w:color="auto"/>
              <w:right w:val="single" w:sz="8" w:color="auto"/>
            </w:tcBorders>
            <w:shd w:val="clear" w:color="auto" w:fill="D9D9D9"/>
          </w:tcPr>
          <w:p>
            <w:pPr>
              <w:ind w:left="940"/>
              <w:spacing w:after="0"/>
              <w:rPr>
                <w:sz w:val="20"/>
                <w:szCs w:val="20"/>
                <w:color w:val="auto"/>
              </w:rPr>
            </w:pPr>
            <w:r>
              <w:rPr>
                <w:rFonts w:ascii="Arial" w:cs="Arial" w:eastAsia="Arial" w:hAnsi="Arial"/>
                <w:sz w:val="19"/>
                <w:szCs w:val="19"/>
                <w:b w:val="1"/>
                <w:bCs w:val="1"/>
                <w:color w:val="auto"/>
              </w:rPr>
              <w:t>On each of the Following Vesting Dates</w:t>
            </w:r>
          </w:p>
        </w:tc>
        <w:tc>
          <w:tcPr>
            <w:tcW w:w="3460" w:type="dxa"/>
            <w:vAlign w:val="bottom"/>
            <w:tcBorders>
              <w:top w:val="single" w:sz="8" w:color="auto"/>
              <w:bottom w:val="single" w:sz="8" w:color="auto"/>
              <w:right w:val="single" w:sz="8" w:color="auto"/>
            </w:tcBorders>
            <w:shd w:val="clear" w:color="auto" w:fill="D9D9D9"/>
          </w:tcPr>
          <w:p>
            <w:pPr>
              <w:ind w:left="600"/>
              <w:spacing w:after="0"/>
              <w:rPr>
                <w:sz w:val="20"/>
                <w:szCs w:val="20"/>
                <w:color w:val="auto"/>
              </w:rPr>
            </w:pPr>
            <w:r>
              <w:rPr>
                <w:rFonts w:ascii="Arial" w:cs="Arial" w:eastAsia="Arial" w:hAnsi="Arial"/>
                <w:sz w:val="19"/>
                <w:szCs w:val="19"/>
                <w:b w:val="1"/>
                <w:bCs w:val="1"/>
                <w:color w:val="auto"/>
              </w:rPr>
              <w:t>Units Vesting on Such Date</w:t>
            </w:r>
          </w:p>
        </w:tc>
      </w:tr>
      <w:tr>
        <w:trPr>
          <w:trHeight w:val="192"/>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r>
      <w:tr>
        <w:trPr>
          <w:trHeight w:val="192"/>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3460" w:type="dxa"/>
            <w:vAlign w:val="bottom"/>
            <w:tcBorders>
              <w:bottom w:val="single" w:sz="8" w:color="auto"/>
              <w:right w:val="single" w:sz="8" w:color="auto"/>
            </w:tcBorders>
          </w:tcPr>
          <w:p>
            <w:pPr>
              <w:spacing w:after="0"/>
              <w:rPr>
                <w:sz w:val="16"/>
                <w:szCs w:val="16"/>
                <w:color w:val="auto"/>
              </w:rPr>
            </w:pPr>
          </w:p>
        </w:tc>
      </w:tr>
      <w:tr>
        <w:trPr>
          <w:trHeight w:val="205"/>
        </w:trPr>
        <w:tc>
          <w:tcPr>
            <w:tcW w:w="5140" w:type="dxa"/>
            <w:vAlign w:val="bottom"/>
            <w:tcBorders>
              <w:left w:val="single" w:sz="8" w:color="auto"/>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bl>
    <w:p>
      <w:pPr>
        <w:spacing w:after="0" w:line="295"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b w:val="1"/>
          <w:bCs w:val="1"/>
          <w:color w:val="auto"/>
        </w:rPr>
        <w:t>No Common Shares shall be issued in exchange for any Unit until that Unit has vested and until Grantee has paid all applicable withholding taxes for such Unit.</w:t>
      </w:r>
    </w:p>
    <w:p>
      <w:pPr>
        <w:spacing w:after="0" w:line="177"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Notwithstanding the foregoing, the above vesting schedule shall immediately cease or accelerate (in full or in part), as applicable, upon the occurrence of any of the events provided for in Sections 3(a)-(f),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21" w:lineRule="auto"/>
        <w:tabs>
          <w:tab w:leader="none" w:pos="10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Common Shares issuable upon vesting of the Units shall be issued only to Grantee or, if permissible under applicable law, by Grantee’s guardian or legal representative, (ii) the Units shall not be assignable or transferable by Grantee, other than by will or the laws of descent and distribution or pursuant to a qualified domestic relations order as defined by the Internal Revenue Service Code of 1986, as amended, and regulations thereunder (the “Code”), Title I of the Employee Retirement Income Security Act, or the rules promulgated thereunder, and (iii) the Units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Units or any attempt to make any such levy of execution, attachment or other encumbrance will cause the Units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77" w:lineRule="exact"/>
        <w:rPr>
          <w:rFonts w:ascii="Arial" w:cs="Arial" w:eastAsia="Arial" w:hAnsi="Arial"/>
          <w:sz w:val="18"/>
          <w:szCs w:val="18"/>
          <w:color w:val="auto"/>
        </w:rPr>
      </w:pPr>
    </w:p>
    <w:p>
      <w:pPr>
        <w:ind w:firstLine="642"/>
        <w:spacing w:after="0" w:line="237" w:lineRule="auto"/>
        <w:tabs>
          <w:tab w:leader="none" w:pos="1119"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Notwithstanding any other provisions in this Agreement or the Plan, the Units shall expire and terminate on, and no Common Shares shall be issued in exchange for any Units on or after, [Date of Expiration] (the “Expiration Date”).</w:t>
      </w:r>
    </w:p>
    <w:p>
      <w:pPr>
        <w:spacing w:after="0" w:line="177" w:lineRule="exact"/>
        <w:rPr>
          <w:rFonts w:ascii="Arial" w:cs="Arial" w:eastAsia="Arial" w:hAnsi="Arial"/>
          <w:sz w:val="19"/>
          <w:szCs w:val="19"/>
          <w:color w:val="auto"/>
        </w:rPr>
      </w:pPr>
    </w:p>
    <w:p>
      <w:pPr>
        <w:jc w:val="both"/>
        <w:ind w:firstLine="642"/>
        <w:spacing w:after="0" w:line="219"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or adjustment of any Unit, or the issuance of Common Shares in exchange for any Unit or the subsequent disposition of any Common Shares issued in exchange for any Unit. </w:t>
      </w:r>
      <w:r>
        <w:rPr>
          <w:rFonts w:ascii="Arial" w:cs="Arial" w:eastAsia="Arial" w:hAnsi="Arial"/>
          <w:sz w:val="18"/>
          <w:szCs w:val="18"/>
          <w:b w:val="1"/>
          <w:bCs w:val="1"/>
          <w:color w:val="auto"/>
        </w:rPr>
        <w:t>Grantee should consult with Grantee’s personal tax advisor regarding the tax</w:t>
      </w:r>
      <w:r>
        <w:rPr>
          <w:rFonts w:ascii="Arial" w:cs="Arial" w:eastAsia="Arial" w:hAnsi="Arial"/>
          <w:sz w:val="18"/>
          <w:szCs w:val="18"/>
          <w:color w:val="auto"/>
        </w:rPr>
        <w:t xml:space="preserve"> </w:t>
      </w:r>
      <w:r>
        <w:rPr>
          <w:rFonts w:ascii="Arial" w:cs="Arial" w:eastAsia="Arial" w:hAnsi="Arial"/>
          <w:sz w:val="18"/>
          <w:szCs w:val="18"/>
          <w:b w:val="1"/>
          <w:bCs w:val="1"/>
          <w:color w:val="auto"/>
        </w:rPr>
        <w:t>ramifications, if any, which result from the grant, vesting</w:t>
      </w:r>
      <w:r>
        <w:rPr>
          <w:rFonts w:ascii="Arial" w:cs="Arial" w:eastAsia="Arial" w:hAnsi="Arial"/>
          <w:sz w:val="18"/>
          <w:szCs w:val="18"/>
          <w:color w:val="auto"/>
        </w:rPr>
        <w:t>,</w:t>
      </w:r>
      <w:r>
        <w:rPr>
          <w:rFonts w:ascii="Arial" w:cs="Arial" w:eastAsia="Arial" w:hAnsi="Arial"/>
          <w:sz w:val="18"/>
          <w:szCs w:val="18"/>
          <w:b w:val="1"/>
          <w:bCs w:val="1"/>
          <w:color w:val="auto"/>
        </w:rPr>
        <w:t xml:space="preserve"> forfeiture, termination, recoupment or adjustment of any Unit or the issuance of Common Shares in exchange for any Unit or any subsequent disposition of any such Common Shares. </w:t>
      </w:r>
      <w:r>
        <w:rPr>
          <w:rFonts w:ascii="Arial" w:cs="Arial" w:eastAsia="Arial" w:hAnsi="Arial"/>
          <w:sz w:val="18"/>
          <w:szCs w:val="18"/>
          <w:color w:val="auto"/>
        </w:rPr>
        <w:t>If,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sole and absolute discretion for any reason or no reason at any time and from time to time, it is necessary or appropriate to collect or withhold federal, state or local taxes in connection with the grant, vesting, forfeiture, termination, recoupment or adjustment of any portion of the Units or the issuance of Common Shares in exchange for any Unit or any subsequent disposition of Common Shares, the Company shall be entitled to require the payment of such amounts as a condition to vesting.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3(b)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or adjustment of any Unit or the issuance of Common Shares in exchange for any Unit or any subsequent disposition of Common Shares by one or a combination of the following:</w:t>
      </w:r>
    </w:p>
    <w:p>
      <w:pPr>
        <w:spacing w:after="0" w:line="181" w:lineRule="exact"/>
        <w:rPr>
          <w:rFonts w:ascii="Arial" w:cs="Arial" w:eastAsia="Arial" w:hAnsi="Arial"/>
          <w:sz w:val="18"/>
          <w:szCs w:val="18"/>
          <w:color w:val="auto"/>
        </w:rPr>
      </w:pPr>
    </w:p>
    <w:p>
      <w:pPr>
        <w:ind w:left="1920" w:hanging="642"/>
        <w:spacing w:after="0"/>
        <w:tabs>
          <w:tab w:leader="none" w:pos="19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withholding from any wages or other cash or equity compensation payable to Grantee by the Company;</w:t>
      </w:r>
    </w:p>
    <w:p>
      <w:pPr>
        <w:spacing w:after="0" w:line="205" w:lineRule="exact"/>
        <w:rPr>
          <w:rFonts w:ascii="Arial" w:cs="Arial" w:eastAsia="Arial" w:hAnsi="Arial"/>
          <w:sz w:val="19"/>
          <w:szCs w:val="19"/>
          <w:color w:val="auto"/>
        </w:rPr>
      </w:pPr>
    </w:p>
    <w:p>
      <w:pPr>
        <w:ind w:left="1920" w:hanging="642"/>
        <w:spacing w:after="0"/>
        <w:tabs>
          <w:tab w:leader="none" w:pos="19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withholding Common Shares that are otherwise issuable upon vesting of the Units;</w:t>
      </w:r>
    </w:p>
    <w:p>
      <w:pPr>
        <w:spacing w:after="0" w:line="205" w:lineRule="exact"/>
        <w:rPr>
          <w:rFonts w:ascii="Arial" w:cs="Arial" w:eastAsia="Arial" w:hAnsi="Arial"/>
          <w:sz w:val="19"/>
          <w:szCs w:val="19"/>
          <w:color w:val="auto"/>
        </w:rPr>
      </w:pPr>
    </w:p>
    <w:p>
      <w:pPr>
        <w:ind w:left="1920" w:hanging="642"/>
        <w:spacing w:after="0" w:line="261" w:lineRule="auto"/>
        <w:tabs>
          <w:tab w:leader="none" w:pos="1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arranging for the sale of Common Shares that are otherwise issuable upon vesting of the Units, including, without limitation, selling Common Shares as part of a block trade with other grantees under the Plan or otherwise; and/or</w:t>
      </w:r>
    </w:p>
    <w:p>
      <w:pPr>
        <w:spacing w:after="0" w:line="159" w:lineRule="exact"/>
        <w:rPr>
          <w:rFonts w:ascii="Arial" w:cs="Arial" w:eastAsia="Arial" w:hAnsi="Arial"/>
          <w:sz w:val="18"/>
          <w:szCs w:val="18"/>
          <w:color w:val="auto"/>
        </w:rPr>
      </w:pPr>
    </w:p>
    <w:p>
      <w:pPr>
        <w:ind w:left="1920" w:hanging="642"/>
        <w:spacing w:after="0" w:line="237" w:lineRule="auto"/>
        <w:tabs>
          <w:tab w:leader="none" w:pos="1909" w:val="left"/>
        </w:tabs>
        <w:numPr>
          <w:ilvl w:val="1"/>
          <w:numId w:val="50"/>
        </w:numPr>
        <w:rPr>
          <w:rFonts w:ascii="Arial" w:cs="Arial" w:eastAsia="Arial" w:hAnsi="Arial"/>
          <w:sz w:val="19"/>
          <w:szCs w:val="19"/>
          <w:color w:val="auto"/>
        </w:rPr>
      </w:pPr>
      <w:r>
        <w:rPr>
          <w:rFonts w:ascii="Arial" w:cs="Arial" w:eastAsia="Arial" w:hAnsi="Arial"/>
          <w:sz w:val="19"/>
          <w:szCs w:val="19"/>
          <w:color w:val="auto"/>
        </w:rPr>
        <w:t>withholding from the proceeds of the sale of Common Shares issued upon vesting of the Units or other Common Shares issuable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13" w:lineRule="auto"/>
        <w:tabs>
          <w:tab w:leader="none" w:pos="1079"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 considering the acceptance of the Units, Grantee understands, acknowledges, agrees and hereby stipulates that he has used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issuance of the Units and/or issuance of Common Shares in exchange for any Unit.</w:t>
      </w:r>
    </w:p>
    <w:p>
      <w:pPr>
        <w:spacing w:after="0" w:line="179" w:lineRule="exact"/>
        <w:rPr>
          <w:rFonts w:ascii="Arial" w:cs="Arial" w:eastAsia="Arial" w:hAnsi="Arial"/>
          <w:sz w:val="19"/>
          <w:szCs w:val="19"/>
          <w:color w:val="auto"/>
        </w:rPr>
      </w:pPr>
    </w:p>
    <w:p>
      <w:pPr>
        <w:ind w:left="640" w:hanging="634"/>
        <w:spacing w:after="0"/>
        <w:tabs>
          <w:tab w:leader="none" w:pos="6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Qualifying Termination; Violation of Covenants; Covenants Found Unenforceable; Death or Disability; Certain Unusual Events</w:t>
      </w:r>
    </w:p>
    <w:p>
      <w:pPr>
        <w:spacing w:after="0" w:line="205" w:lineRule="exact"/>
        <w:rPr>
          <w:rFonts w:ascii="Arial" w:cs="Arial" w:eastAsia="Arial" w:hAnsi="Arial"/>
          <w:sz w:val="19"/>
          <w:szCs w:val="19"/>
          <w:color w:val="auto"/>
        </w:rPr>
      </w:pPr>
    </w:p>
    <w:p>
      <w:pPr>
        <w:jc w:val="both"/>
        <w:ind w:firstLine="642"/>
        <w:spacing w:after="0" w:line="232" w:lineRule="auto"/>
        <w:tabs>
          <w:tab w:leader="none" w:pos="1262"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 the event that (i) Grantee’s employment with the Company and/or its direct or indirect subsidiaries, if any, is terminated by the Company or one of its subsidiaries for Cause,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all of the Units (both vested and unvested) shall be deemed to have terminated and no Common Shares shall be issuable in connection therewith, as of the date of the earliest to occur of: (A) Grantee’s termination for Cause;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Units by reason of this Section 3(a) shall be without prejudice to any right or remedy which the Company may have against the Grantee or other holder of the Units or any Common Shares issued or issuable in exchange for the Units.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183" w:lineRule="exact"/>
        <w:rPr>
          <w:rFonts w:ascii="Arial" w:cs="Arial" w:eastAsia="Arial" w:hAnsi="Arial"/>
          <w:sz w:val="17"/>
          <w:szCs w:val="17"/>
          <w:color w:val="auto"/>
        </w:rPr>
      </w:pPr>
    </w:p>
    <w:p>
      <w:pPr>
        <w:jc w:val="both"/>
        <w:ind w:firstLine="642"/>
        <w:spacing w:after="0" w:line="221" w:lineRule="auto"/>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 the event that Grantee shall die during the course of conducting business for the Company or its direct or indirect subsidiaries, and not engaged in personal activity, or if Grantee’s employment with the Company and/or its direct or indirect subsidiaries, is terminated because Grantee has become disabled (within the meaning of Section 22(e)(3) of the Code and regulations thereunder) during the course of conducting business for the Company or its direct or indirect subsidiaries, and not engaged in personal activity, then the portions of the Units not previously vested shall vest in accordance with the table set forth in Section 3(d) of this Agreement, below, with the date of the “Qualifying Termination” being the date of such death or termination on account of disability described in the sentence above. Common Shares shall be issued in exchange for all such vesting Units on such date to Grantee or the personal representatives or administrators, executor or guardians of Grantee, as applicable, or by any person or persons to whom the Units are transferred by will or the applicable laws of descent and distribution, subject to the condition that no portion of the Units (whether vested or unvested) shall vest after the Expiration Date. The termination of the Units by reason of this Section 3(b) shall be without prejudice to any right or remedy which the Company may have against the Grantee or other holder of the Units or any Common Shares issued or issuable upon vesting of the Units.</w:t>
      </w:r>
    </w:p>
    <w:p>
      <w:pPr>
        <w:spacing w:after="0" w:line="182" w:lineRule="exact"/>
        <w:rPr>
          <w:rFonts w:ascii="Arial" w:cs="Arial" w:eastAsia="Arial" w:hAnsi="Arial"/>
          <w:sz w:val="18"/>
          <w:szCs w:val="18"/>
          <w:color w:val="auto"/>
        </w:rPr>
      </w:pPr>
    </w:p>
    <w:p>
      <w:pPr>
        <w:jc w:val="both"/>
        <w:ind w:firstLine="642"/>
        <w:spacing w:after="0" w:line="212" w:lineRule="auto"/>
        <w:tabs>
          <w:tab w:leader="none" w:pos="1262"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In the event that Grantee shall cease to be employed by the Company and/or its direct or indirect subsidiaries, if any, for any reason other than as a result of or in connection with the circumstances described in Sections 3(a) or 3(d) of this Agreement or Grantee’s death or disability (as described in Section 3(b) of this Agreement), and Grantee shall have at such time vested Units for which Common Shares have not yet been issued, Grantee shall have the right to have such Common Shares issued in exchange for such vested Units on the date of such cessation of employment,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Common Shares issuable in exchange for such vested Units on the date of such cessation of employment, subject to the conditions that (i) any portion of the Units not vested as of the date of such cessation of employment shall be deemed to have terminated as of such date, (ii) no Common Shares shall be issued in exchange for any unvested Units as of or following the date of such</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cessation of employment, and (iii) no portion of the Units (whether vested or unvested) shall vest after the Expiration Date. The termination of the Units by reason of this Section 3(c) shall be without prejudice to any right or remedy which the Company may have against the Grantee or other holder of the Units or any Common Shares issued or issuable in exchange for the Units.</w:t>
      </w:r>
    </w:p>
    <w:p>
      <w:pPr>
        <w:spacing w:after="0" w:line="178" w:lineRule="exact"/>
        <w:rPr>
          <w:sz w:val="20"/>
          <w:szCs w:val="20"/>
          <w:color w:val="auto"/>
        </w:rPr>
      </w:pPr>
    </w:p>
    <w:p>
      <w:pPr>
        <w:jc w:val="both"/>
        <w:ind w:firstLine="642"/>
        <w:spacing w:after="0" w:line="220" w:lineRule="auto"/>
        <w:tabs>
          <w:tab w:leader="none" w:pos="12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event that Grantee’s employment with the Company and/or its direct or indirect subsidiaries, if any, is terminated (i) by the Company or one of its subsidiaries without Cause (and not due to death or disability pursuant to Section 3(b) of this Agreement), or (ii) by Grantee due to his resignation for Constructive Termination (either such termination, a “Qualifying Termination”), in either case, prior to the Third Vesting Date, then:</w:t>
      </w:r>
    </w:p>
    <w:p>
      <w:pPr>
        <w:spacing w:after="0" w:line="179" w:lineRule="exact"/>
        <w:rPr>
          <w:rFonts w:ascii="Arial" w:cs="Arial" w:eastAsia="Arial" w:hAnsi="Arial"/>
          <w:sz w:val="19"/>
          <w:szCs w:val="19"/>
          <w:color w:val="auto"/>
        </w:rPr>
      </w:pPr>
    </w:p>
    <w:p>
      <w:pPr>
        <w:jc w:val="both"/>
        <w:ind w:left="1600" w:hanging="640"/>
        <w:spacing w:after="0" w:line="226" w:lineRule="auto"/>
        <w:tabs>
          <w:tab w:leader="none" w:pos="159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number of Units scheduled to vest on the next scheduled Vesting Date pursuant to Section 2(a) of this Agreement shall vest in full upon the effective date of the Qualifying Termination, and Common Shares shall be issued in exchange for all such vesting Units on such date, and</w:t>
      </w:r>
    </w:p>
    <w:p>
      <w:pPr>
        <w:spacing w:after="0" w:line="177" w:lineRule="exact"/>
        <w:rPr>
          <w:rFonts w:ascii="Arial" w:cs="Arial" w:eastAsia="Arial" w:hAnsi="Arial"/>
          <w:sz w:val="19"/>
          <w:szCs w:val="19"/>
          <w:color w:val="auto"/>
        </w:rPr>
      </w:pPr>
    </w:p>
    <w:p>
      <w:pPr>
        <w:jc w:val="both"/>
        <w:ind w:left="1600" w:hanging="640"/>
        <w:spacing w:after="0" w:line="226" w:lineRule="auto"/>
        <w:tabs>
          <w:tab w:leader="none" w:pos="1599" w:val="left"/>
        </w:tabs>
        <w:numPr>
          <w:ilvl w:val="1"/>
          <w:numId w:val="53"/>
        </w:numPr>
        <w:rPr>
          <w:rFonts w:ascii="Arial" w:cs="Arial" w:eastAsia="Arial" w:hAnsi="Arial"/>
          <w:sz w:val="19"/>
          <w:szCs w:val="19"/>
          <w:color w:val="auto"/>
        </w:rPr>
      </w:pPr>
      <w:r>
        <w:rPr>
          <w:rFonts w:ascii="Arial" w:cs="Arial" w:eastAsia="Arial" w:hAnsi="Arial"/>
          <w:sz w:val="19"/>
          <w:szCs w:val="19"/>
          <w:color w:val="auto"/>
        </w:rPr>
        <w:t>if the Qualifying Termination occurs prior to the Second Vesting Date, an additional number of Units will vest, and Common Shares shall be issued in exchange for all such vesting Units on such date, reflecting vesting “credit” for any completed six-month period that has elapsed during the then-current twelve-month vesting period.</w:t>
      </w:r>
    </w:p>
    <w:p>
      <w:pPr>
        <w:spacing w:after="0" w:line="231" w:lineRule="exact"/>
        <w:rPr>
          <w:sz w:val="20"/>
          <w:szCs w:val="20"/>
          <w:color w:val="auto"/>
        </w:rPr>
      </w:pPr>
    </w:p>
    <w:p>
      <w:pPr>
        <w:jc w:val="both"/>
        <w:ind w:right="100" w:firstLine="715"/>
        <w:spacing w:after="0" w:line="226" w:lineRule="auto"/>
        <w:rPr>
          <w:sz w:val="20"/>
          <w:szCs w:val="20"/>
          <w:color w:val="auto"/>
        </w:rPr>
      </w:pPr>
      <w:r>
        <w:rPr>
          <w:rFonts w:ascii="Arial" w:cs="Arial" w:eastAsia="Arial" w:hAnsi="Arial"/>
          <w:sz w:val="19"/>
          <w:szCs w:val="19"/>
          <w:color w:val="auto"/>
        </w:rPr>
        <w:t>For the sake of clarity, if Grantee experiences a Qualifying Termination prior to the Third Vesting Date, the following number of Units will vest (and Common Shares shall be issued in exchange for all such vesting Units) as of the effective date of such Qualifying Termination:</w:t>
      </w:r>
    </w:p>
    <w:p>
      <w:pPr>
        <w:spacing w:after="0" w:line="214" w:lineRule="exact"/>
        <w:rPr>
          <w:sz w:val="20"/>
          <w:szCs w:val="20"/>
          <w:color w:val="auto"/>
        </w:rPr>
      </w:pPr>
    </w:p>
    <w:tbl>
      <w:tblPr>
        <w:tblLayout w:type="fixed"/>
        <w:tblInd w:w="6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shd w:val="clear" w:color="auto" w:fill="D9D9D9"/>
          </w:tcPr>
          <w:p>
            <w:pPr>
              <w:ind w:left="860"/>
              <w:spacing w:after="0"/>
              <w:rPr>
                <w:sz w:val="20"/>
                <w:szCs w:val="20"/>
                <w:color w:val="auto"/>
              </w:rPr>
            </w:pPr>
            <w:r>
              <w:rPr>
                <w:rFonts w:ascii="Arial" w:cs="Arial" w:eastAsia="Arial" w:hAnsi="Arial"/>
                <w:sz w:val="19"/>
                <w:szCs w:val="19"/>
                <w:b w:val="1"/>
                <w:bCs w:val="1"/>
                <w:color w:val="auto"/>
              </w:rPr>
              <w:t>Qualifying Termination Date</w:t>
            </w:r>
          </w:p>
        </w:tc>
        <w:tc>
          <w:tcPr>
            <w:tcW w:w="5020" w:type="dxa"/>
            <w:vAlign w:val="bottom"/>
            <w:tcBorders>
              <w:top w:val="single" w:sz="8" w:color="auto"/>
              <w:bottom w:val="single" w:sz="8" w:color="auto"/>
              <w:right w:val="single" w:sz="8" w:color="auto"/>
            </w:tcBorders>
            <w:shd w:val="clear" w:color="auto" w:fill="D9D9D9"/>
          </w:tcPr>
          <w:p>
            <w:pPr>
              <w:ind w:left="1260"/>
              <w:spacing w:after="0"/>
              <w:rPr>
                <w:sz w:val="20"/>
                <w:szCs w:val="20"/>
                <w:color w:val="auto"/>
              </w:rPr>
            </w:pPr>
            <w:r>
              <w:rPr>
                <w:rFonts w:ascii="Arial" w:cs="Arial" w:eastAsia="Arial" w:hAnsi="Arial"/>
                <w:sz w:val="19"/>
                <w:szCs w:val="19"/>
                <w:b w:val="1"/>
                <w:bCs w:val="1"/>
                <w:color w:val="auto"/>
              </w:rPr>
              <w:t>Number of Units that will vest</w:t>
            </w: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20" w:type="dxa"/>
            <w:vAlign w:val="bottom"/>
            <w:tcBorders>
              <w:bottom w:val="single" w:sz="8" w:color="auto"/>
              <w:right w:val="single" w:sz="8" w:color="auto"/>
            </w:tcBorders>
          </w:tcPr>
          <w:p>
            <w:pPr>
              <w:spacing w:after="0"/>
              <w:rPr>
                <w:sz w:val="16"/>
                <w:szCs w:val="16"/>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20" w:type="dxa"/>
            <w:vAlign w:val="bottom"/>
            <w:tcBorders>
              <w:bottom w:val="single" w:sz="8" w:color="auto"/>
              <w:right w:val="single" w:sz="8" w:color="auto"/>
            </w:tcBorders>
          </w:tcPr>
          <w:p>
            <w:pPr>
              <w:spacing w:after="0"/>
              <w:rPr>
                <w:sz w:val="16"/>
                <w:szCs w:val="16"/>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20" w:type="dxa"/>
            <w:vAlign w:val="bottom"/>
            <w:tcBorders>
              <w:bottom w:val="single" w:sz="8" w:color="auto"/>
              <w:right w:val="single" w:sz="8" w:color="auto"/>
            </w:tcBorders>
          </w:tcPr>
          <w:p>
            <w:pPr>
              <w:spacing w:after="0"/>
              <w:rPr>
                <w:sz w:val="16"/>
                <w:szCs w:val="16"/>
                <w:color w:val="auto"/>
              </w:rPr>
            </w:pPr>
          </w:p>
        </w:tc>
      </w:tr>
      <w:tr>
        <w:trPr>
          <w:trHeight w:val="192"/>
        </w:trPr>
        <w:tc>
          <w:tcPr>
            <w:tcW w:w="4100" w:type="dxa"/>
            <w:vAlign w:val="bottom"/>
            <w:tcBorders>
              <w:left w:val="single" w:sz="8" w:color="auto"/>
              <w:bottom w:val="single" w:sz="8" w:color="auto"/>
              <w:right w:val="single" w:sz="8" w:color="auto"/>
            </w:tcBorders>
          </w:tcPr>
          <w:p>
            <w:pPr>
              <w:spacing w:after="0"/>
              <w:rPr>
                <w:sz w:val="16"/>
                <w:szCs w:val="16"/>
                <w:color w:val="auto"/>
              </w:rPr>
            </w:pPr>
          </w:p>
        </w:tc>
        <w:tc>
          <w:tcPr>
            <w:tcW w:w="5020" w:type="dxa"/>
            <w:vAlign w:val="bottom"/>
            <w:tcBorders>
              <w:bottom w:val="single" w:sz="8" w:color="auto"/>
              <w:right w:val="single" w:sz="8" w:color="auto"/>
            </w:tcBorders>
          </w:tcPr>
          <w:p>
            <w:pPr>
              <w:spacing w:after="0"/>
              <w:rPr>
                <w:sz w:val="16"/>
                <w:szCs w:val="16"/>
                <w:color w:val="auto"/>
              </w:rPr>
            </w:pPr>
          </w:p>
        </w:tc>
      </w:tr>
      <w:tr>
        <w:trPr>
          <w:trHeight w:val="205"/>
        </w:trPr>
        <w:tc>
          <w:tcPr>
            <w:tcW w:w="4100" w:type="dxa"/>
            <w:vAlign w:val="bottom"/>
            <w:tcBorders>
              <w:left w:val="single" w:sz="8" w:color="auto"/>
              <w:bottom w:val="single" w:sz="8" w:color="auto"/>
              <w:right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bl>
    <w:p>
      <w:pPr>
        <w:spacing w:after="0" w:line="394" w:lineRule="exact"/>
        <w:rPr>
          <w:sz w:val="20"/>
          <w:szCs w:val="20"/>
          <w:color w:val="auto"/>
        </w:rPr>
      </w:pPr>
    </w:p>
    <w:p>
      <w:pPr>
        <w:jc w:val="both"/>
        <w:ind w:right="100" w:firstLine="494"/>
        <w:spacing w:after="0" w:line="217" w:lineRule="auto"/>
        <w:rPr>
          <w:sz w:val="20"/>
          <w:szCs w:val="20"/>
          <w:color w:val="auto"/>
        </w:rPr>
      </w:pPr>
      <w:r>
        <w:rPr>
          <w:rFonts w:ascii="Arial" w:cs="Arial" w:eastAsia="Arial" w:hAnsi="Arial"/>
          <w:sz w:val="19"/>
          <w:szCs w:val="19"/>
          <w:color w:val="auto"/>
        </w:rPr>
        <w:t>For the sake of further clarity, if Grantee experiences a Qualifying Termination on either the First Vesting Date or the Second Vesting Date, the applicable number of Units set forth above will vest in addition to the number of Units that are scheduled to vest on such date pursuant to Section 2(a) of this Agreement. Any Units that are not vested following Grantee’s Qualifying Termination (after giving effect to the accelerated vesting in this Section 3(d)) shall be deemed to have terminated for no consideration effective as of the date of such Qualifying Termination.</w:t>
      </w:r>
    </w:p>
    <w:p>
      <w:pPr>
        <w:spacing w:after="0" w:line="17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For the avoidance of doubt, (i) no Common Shares shall be issued in exchange for any unvested Units as of or following the date of the applicable Qualifying Termination, and (ii) no portion of the Units (whether vested or unvested) shall vest after the Expiration Date. Grantee’s entitlement to the vesting described in this Section 3(d) is contingent upon his execution and non-revocation of a release of claims in favor of the Company in a form to be provided by the Company in connection with his Qualifying Termination. The termination of any Units (if at all) by reason of this Section 3(d) shall be without prejudice to any right or remedy which the Company may have against the Grantee or other holder of the Units or any Common Shares issued or issuable upon vesting of the Units.</w:t>
      </w:r>
    </w:p>
    <w:p>
      <w:pPr>
        <w:spacing w:after="0" w:line="182" w:lineRule="exact"/>
        <w:rPr>
          <w:sz w:val="20"/>
          <w:szCs w:val="20"/>
          <w:color w:val="auto"/>
        </w:rPr>
      </w:pPr>
    </w:p>
    <w:p>
      <w:pPr>
        <w:jc w:val="both"/>
        <w:ind w:firstLine="642"/>
        <w:spacing w:after="0" w:line="220" w:lineRule="auto"/>
        <w:tabs>
          <w:tab w:leader="none" w:pos="1262" w:val="left"/>
        </w:tabs>
        <w:numPr>
          <w:ilvl w:val="0"/>
          <w:numId w:val="54"/>
        </w:numPr>
        <w:rPr>
          <w:rFonts w:ascii="Arial" w:cs="Arial" w:eastAsia="Arial" w:hAnsi="Arial"/>
          <w:sz w:val="19"/>
          <w:szCs w:val="19"/>
          <w:color w:val="auto"/>
        </w:rPr>
      </w:pPr>
      <w:r>
        <w:rPr>
          <w:rFonts w:ascii="Arial" w:cs="Arial" w:eastAsia="Arial" w:hAnsi="Arial"/>
          <w:sz w:val="19"/>
          <w:szCs w:val="19"/>
          <w:color w:val="auto"/>
        </w:rPr>
        <w:t>Upon the first to occur of (i) the Company’s Capital Stock no longer being publicly traded on the NASDAQ Stock Market or any other established securities market, and (ii) the consummation of a DISH Change in Control, the Units shall be treated as though Grantee had experienced a Qualifying Termination upon the date of such occurrence, subject to Grantee’s continuous employment with the Company or one of its subsidiaries as of such date.</w:t>
      </w:r>
    </w:p>
    <w:p>
      <w:pPr>
        <w:spacing w:after="0" w:line="179" w:lineRule="exact"/>
        <w:rPr>
          <w:rFonts w:ascii="Arial" w:cs="Arial" w:eastAsia="Arial" w:hAnsi="Arial"/>
          <w:sz w:val="19"/>
          <w:szCs w:val="19"/>
          <w:color w:val="auto"/>
        </w:rPr>
      </w:pPr>
    </w:p>
    <w:p>
      <w:pPr>
        <w:jc w:val="both"/>
        <w:ind w:firstLine="642"/>
        <w:spacing w:after="0" w:line="232" w:lineRule="auto"/>
        <w:tabs>
          <w:tab w:leader="none" w:pos="12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during the period of Grantee’s continuous employment with the Company and its subsidiaries, neither the Principal nor any Related Party has the authority to elect the majority of the members of the Board of Directors, then all Units not previously vested shall immediately vest on the date of such occurrence, and Common Shares shall be issued in exchange for all such vesting Units on such date, subject to the condition that no portion of the Units (whether vested or unvested) shall vest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the purpose of this Agreement, the capitalized terms shall have the following meanings:</w:t>
      </w:r>
    </w:p>
    <w:p>
      <w:pPr>
        <w:spacing w:after="0" w:line="20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“Capital Stock” means: any and all shares, interests, participations, rights or other equivalents, however designated, of corporate stock or partnership or membership interests, whether common or preferred.</w:t>
      </w:r>
    </w:p>
    <w:p>
      <w:pPr>
        <w:spacing w:after="0" w:line="178"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8"/>
          <w:szCs w:val="18"/>
          <w:color w:val="auto"/>
        </w:rPr>
        <w:t>“Cause” means: (i) the willful and continued failure of Grantee to substantially perform his duties consistent with past practices; (ii) any illegal conduct or gross misconduct which is materially injurious to the Company or its affiliates, including, without limitation, wrongful appropriation of the Company’s or its subsidiaries’ funds, or theft of the Company’s or its subsidiaries’ property; (iii) Grantee has been convicted of or pleaded guilty or nolo contendere to a felony or any crime involving moral turpitude or dishonesty; or (iv) Grantee has been convicted of or pleaded guilty or nolo contendere to a felony, crime or engaged in conduct which results in a prohibition on the Grantee from serving, for any period of time, as an officer or director of a publicly traded company by any federal, state or other regulatory governing body (including without limitation, an exchange or association such as NYSE or the NASDAQ Stock Market).</w:t>
      </w:r>
    </w:p>
    <w:p>
      <w:pPr>
        <w:spacing w:after="0" w:line="179"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“Constructive Termination” means: without Grantee’s prior consent, (i) a change in Grantee’s title to one that is subordinate to that of Chief Executive Officer; or (ii) a material reduction in Grantee’s responsibilities. A termination of employment by Grantee due to Constructive Termination shall be effectuated by giving the Company written notice of termination setting forth the conduct of the Company that constitutes a Constructive Termination within 60 days of the first day on which Grantee has knowledge of such conduct. Grantee shall further provide the Company with at least 60 days following the date upon which such notice is provided to cure such conduct. Failing such cure, a termination of employment by Grantee due to Constructive Termination shall be effective on the day following the expiration of the cure period. Notwithstanding the foregoing, if the Board of Directors reasonably believes that Grantee may have engaged in conduct that could constitute Cause, the Board of Directors may, in its sole and absolute discretion, suspend Grantee from performing Grantee’s duties, and in no event shall any such suspension constitute a Constructive Termination.</w:t>
      </w:r>
    </w:p>
    <w:p>
      <w:pPr>
        <w:spacing w:after="0" w:line="179"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“DISH Change in Control” means: a transaction or a series of transactions the result of which is that DISH Network Corporation beneficially owns more than fifty percent (50%) of the total voting power of the voting Equity Interests of either (A) the Company or (B) the surviving entity in any such transaction(s) or a controlling affiliate of such surviving entity in such transaction(s).</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“Equity Interest” means: any Capital Stock and all warrants, options or other rights to acquire Capital Stock (but excluding any debt security that is convertible into, or exchangeable for, Capital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“Principal” means Charles W. Ergen.</w:t>
      </w:r>
    </w:p>
    <w:p>
      <w:pPr>
        <w:spacing w:after="0" w:line="206"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“Related Party” means, with respect to the Principal, (a) the spouse and each immediate family member of the Principal; (b) each trust, corporation, partnership or other entity of which the Principal and/or the Principal’s spouse and/or immediate family members beneficially holds an eighty percent (80%) or more controlling interest; and (c) all trusts, including grantor retained annuity trusts, established by the Principal for the benefit of his family.</w:t>
      </w:r>
    </w:p>
    <w:p>
      <w:pPr>
        <w:spacing w:after="0" w:line="179" w:lineRule="exact"/>
        <w:rPr>
          <w:sz w:val="20"/>
          <w:szCs w:val="20"/>
          <w:color w:val="auto"/>
        </w:rPr>
      </w:pPr>
    </w:p>
    <w:p>
      <w:pPr>
        <w:ind w:right="20" w:firstLine="642"/>
        <w:spacing w:after="0" w:line="291" w:lineRule="auto"/>
        <w:tabs>
          <w:tab w:leader="none" w:pos="1264"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or the Plan or any termination or expiration of any Units, the covenants set forth in Section 5 of this Agreement shall continue in force in accordance with their terms unless otherwise terminated by the Company.</w:t>
      </w:r>
    </w:p>
    <w:p>
      <w:pPr>
        <w:spacing w:after="0" w:line="135" w:lineRule="exact"/>
        <w:rPr>
          <w:rFonts w:ascii="Arial" w:cs="Arial" w:eastAsia="Arial" w:hAnsi="Arial"/>
          <w:sz w:val="17"/>
          <w:szCs w:val="17"/>
          <w:color w:val="auto"/>
        </w:rPr>
      </w:pPr>
    </w:p>
    <w:p>
      <w:pPr>
        <w:ind w:left="640" w:hanging="634"/>
        <w:spacing w:after="0"/>
        <w:tabs>
          <w:tab w:leader="none" w:pos="6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Manner of Issuance of Common Shares</w:t>
      </w:r>
    </w:p>
    <w:p>
      <w:pPr>
        <w:spacing w:after="0" w:line="206" w:lineRule="exact"/>
        <w:rPr>
          <w:sz w:val="20"/>
          <w:szCs w:val="20"/>
          <w:color w:val="auto"/>
        </w:rPr>
      </w:pPr>
    </w:p>
    <w:p>
      <w:pPr>
        <w:jc w:val="both"/>
        <w:ind w:firstLine="642"/>
        <w:spacing w:after="0" w:line="215" w:lineRule="auto"/>
        <w:tabs>
          <w:tab w:leader="none" w:pos="126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Units and the Common Shares issuable upon vesting of the Units shall be issued only to Grantee or other proper party as described in Section 2(b), Section 3(b), Section 3(c), Section 3(d), Section 3(e), Section 3(f) and/or Section 4(c) of this Agreement, in whole Common Shares upon meeting the applicable vesting requirements for the Units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29"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upon the vesting of the Units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vesting of the Units until it has confirmed to its satisfaction that all requirements for vesting of the Units and issuance of the Common Shares have been accomplished.</w:t>
      </w:r>
    </w:p>
    <w:p>
      <w:pPr>
        <w:spacing w:after="0" w:line="178" w:lineRule="exact"/>
        <w:rPr>
          <w:rFonts w:ascii="Arial" w:cs="Arial" w:eastAsia="Arial" w:hAnsi="Arial"/>
          <w:sz w:val="18"/>
          <w:szCs w:val="18"/>
          <w:color w:val="auto"/>
        </w:rPr>
      </w:pPr>
    </w:p>
    <w:p>
      <w:pPr>
        <w:jc w:val="both"/>
        <w:ind w:firstLine="642"/>
        <w:spacing w:after="0" w:line="217" w:lineRule="auto"/>
        <w:tabs>
          <w:tab w:leader="none" w:pos="1262" w:val="left"/>
        </w:tabs>
        <w:numPr>
          <w:ilvl w:val="1"/>
          <w:numId w:val="58"/>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which are issued pursuant to the vesting of the Units or the book-entries, as applicable, may be registered only in the name of Grantee (or if Grantee so requests, jointly in the name of Grantee and with a member of Grantee’s family, with the right of survivorship, or in the event of the death of Grantee, in the name of such survivor of Grantee as the person with the right to receive the Common Shares issuable upon the vesting of the Units shall designate).</w:t>
      </w:r>
    </w:p>
    <w:p>
      <w:pPr>
        <w:spacing w:after="0" w:line="178" w:lineRule="exact"/>
        <w:rPr>
          <w:rFonts w:ascii="Arial" w:cs="Arial" w:eastAsia="Arial" w:hAnsi="Arial"/>
          <w:sz w:val="19"/>
          <w:szCs w:val="19"/>
          <w:color w:val="auto"/>
        </w:rPr>
      </w:pPr>
    </w:p>
    <w:p>
      <w:pPr>
        <w:ind w:left="640" w:hanging="634"/>
        <w:spacing w:after="0"/>
        <w:tabs>
          <w:tab w:leader="none" w:pos="64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Covenant Not to Compete; Non-Solicitation; Protection of Confidential Information and Trade Secrets</w:t>
      </w:r>
    </w:p>
    <w:p>
      <w:pPr>
        <w:spacing w:after="0" w:line="205" w:lineRule="exact"/>
        <w:rPr>
          <w:rFonts w:ascii="Arial" w:cs="Arial" w:eastAsia="Arial" w:hAnsi="Arial"/>
          <w:sz w:val="19"/>
          <w:szCs w:val="19"/>
          <w:color w:val="auto"/>
        </w:rPr>
      </w:pPr>
    </w:p>
    <w:p>
      <w:pPr>
        <w:jc w:val="both"/>
        <w:ind w:firstLine="642"/>
        <w:spacing w:after="0" w:line="212" w:lineRule="auto"/>
        <w:tabs>
          <w:tab w:leader="none" w:pos="1262" w:val="left"/>
        </w:tabs>
        <w:numPr>
          <w:ilvl w:val="1"/>
          <w:numId w:val="59"/>
        </w:numPr>
        <w:rPr>
          <w:rFonts w:ascii="Arial" w:cs="Arial" w:eastAsia="Arial" w:hAnsi="Arial"/>
          <w:sz w:val="19"/>
          <w:szCs w:val="19"/>
          <w:color w:val="auto"/>
        </w:rPr>
      </w:pPr>
      <w:r>
        <w:rPr>
          <w:rFonts w:ascii="Arial" w:cs="Arial" w:eastAsia="Arial" w:hAnsi="Arial"/>
          <w:sz w:val="19"/>
          <w:szCs w:val="19"/>
          <w:color w:val="auto"/>
        </w:rPr>
        <w:t>Grantee shall serve the Company and its direct and indirect subsidiaries (collectively, the “Company” for purposes of this Section 5), loyally and in good faith and use Grantee’s best efforts to promote the Company’s interests. Grantee hereby agrees not to compete with the Company, not to solicit employees of the Company, not to solicit customers of the Company, and agrees to protect from disclosure (for clarification purposes, such agreement to protect from disclosure shall include, without limitation, an agreement not to use) Confidential Information and Trade Secrets (as defined in Section 5(e) of this Agreement) (for clarification purposes, these restrictions shall include, without limitation, the Grantee becoming employed by, assisting or otherwise providing services or benefit to any applicable Competitor (as defined below) whereby Grantee may use and/or disclose Confidential Information and/or Trade Secrets), pursuant to the terms and conditions hereinafter set forth.</w:t>
      </w:r>
    </w:p>
    <w:p>
      <w:pPr>
        <w:spacing w:after="0" w:line="178" w:lineRule="exact"/>
        <w:rPr>
          <w:rFonts w:ascii="Arial" w:cs="Arial" w:eastAsia="Arial" w:hAnsi="Arial"/>
          <w:sz w:val="19"/>
          <w:szCs w:val="19"/>
          <w:color w:val="auto"/>
        </w:rPr>
      </w:pPr>
    </w:p>
    <w:p>
      <w:pPr>
        <w:ind w:left="1260" w:hanging="618"/>
        <w:spacing w:after="0"/>
        <w:tabs>
          <w:tab w:leader="none" w:pos="126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jc w:val="both"/>
        <w:ind w:firstLine="1278"/>
        <w:spacing w:after="0" w:line="215" w:lineRule="auto"/>
        <w:tabs>
          <w:tab w:leader="none" w:pos="1906" w:val="left"/>
        </w:tabs>
        <w:numPr>
          <w:ilvl w:val="2"/>
          <w:numId w:val="59"/>
        </w:numPr>
        <w:rPr>
          <w:rFonts w:ascii="Arial" w:cs="Arial" w:eastAsia="Arial" w:hAnsi="Arial"/>
          <w:sz w:val="19"/>
          <w:szCs w:val="19"/>
          <w:color w:val="auto"/>
        </w:rPr>
      </w:pPr>
      <w:r>
        <w:rPr>
          <w:rFonts w:ascii="Arial" w:cs="Arial" w:eastAsia="Arial" w:hAnsi="Arial"/>
          <w:sz w:val="19"/>
          <w:szCs w:val="19"/>
          <w:i w:val="1"/>
          <w:iCs w:val="1"/>
          <w:color w:val="auto"/>
        </w:rPr>
        <w:t>Scope and Competitors</w:t>
      </w:r>
      <w:r>
        <w:rPr>
          <w:rFonts w:ascii="Arial" w:cs="Arial" w:eastAsia="Arial" w:hAnsi="Arial"/>
          <w:sz w:val="19"/>
          <w:szCs w:val="19"/>
          <w:color w:val="auto"/>
        </w:rPr>
        <w:t>. Grantee agrees that during the Non-Compete Period (as defined below), he shall not directly or</w:t>
      </w:r>
      <w:r>
        <w:rPr>
          <w:rFonts w:ascii="Arial" w:cs="Arial" w:eastAsia="Arial" w:hAnsi="Arial"/>
          <w:sz w:val="19"/>
          <w:szCs w:val="19"/>
          <w:i w:val="1"/>
          <w:iCs w:val="1"/>
          <w:color w:val="auto"/>
        </w:rPr>
        <w:t xml:space="preserve"> </w:t>
      </w:r>
      <w:r>
        <w:rPr>
          <w:rFonts w:ascii="Arial" w:cs="Arial" w:eastAsia="Arial" w:hAnsi="Arial"/>
          <w:sz w:val="19"/>
          <w:szCs w:val="19"/>
          <w:color w:val="auto"/>
        </w:rPr>
        <w:t>indirectly become employed by, assist or otherwise provide services or benefit in the United States and/or in any and all other jurisdictions and/or locations anywhere in the world to the business of any person or entity which, at the time of such employment, assistance or provision of services or benefit, is a “Competitor” (as described below) in any location in the United States and/or in any such other jurisdiction(s) and/or locations anywhere in the world, including, without limitation, as a director, trustee, principal, agent, employee, contractor or consultant of a Competitor.</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term “Competitor” includes any and all of the following:</w:t>
      </w:r>
    </w:p>
    <w:p>
      <w:pPr>
        <w:spacing w:after="0" w:line="206" w:lineRule="exact"/>
        <w:rPr>
          <w:sz w:val="20"/>
          <w:szCs w:val="20"/>
          <w:color w:val="auto"/>
        </w:rPr>
      </w:pPr>
    </w:p>
    <w:p>
      <w:pPr>
        <w:jc w:val="both"/>
        <w:ind w:left="2000" w:hanging="484"/>
        <w:spacing w:after="0" w:line="215" w:lineRule="auto"/>
        <w:tabs>
          <w:tab w:leader="none" w:pos="1991"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restricted persons and/or entities (inclusive of subsidiaries, affiliates, divisions, lines, ventures or other operations of such persons or entities, as applicable) enumerated below for the Company’s lines of business (i.e., the applicable combination of the Broadband Business Line and/or Satellite Services Business Line, each as described below, a “Company Business Line”, and referred to collectively in this Agreement as the “Company Business Lines”), to the extent that Grantee devotes a significant amount of his time and effort to such Company Business Line(s) (as described in Section 5(b)(ii) of this Agreement); and</w:t>
      </w:r>
    </w:p>
    <w:p>
      <w:pPr>
        <w:spacing w:after="0" w:line="177" w:lineRule="exact"/>
        <w:rPr>
          <w:rFonts w:ascii="Arial" w:cs="Arial" w:eastAsia="Arial" w:hAnsi="Arial"/>
          <w:sz w:val="19"/>
          <w:szCs w:val="19"/>
          <w:color w:val="auto"/>
        </w:rPr>
      </w:pPr>
    </w:p>
    <w:p>
      <w:pPr>
        <w:jc w:val="both"/>
        <w:ind w:left="2000" w:hanging="484"/>
        <w:spacing w:after="0" w:line="215" w:lineRule="auto"/>
        <w:tabs>
          <w:tab w:leader="none" w:pos="1994"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other persons and/or entities (inclusive of subsidiaries, affiliates, divisions, lines, ventures or other operations of such persons or entities, as applicable) that are not enumerated below for the Company Business Lines but whose primary business is competitive with one or more of the Company Business Lines or other business lines that the Company may enter or has entered into at any time and from time to time, to the extent that Grantee devotes a significant amount of his time and effort to such Company Business Line(s) and/or other business line(s) (as described in Section 5(b)(ii)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1278"/>
        <w:spacing w:after="0" w:line="221" w:lineRule="auto"/>
        <w:tabs>
          <w:tab w:leader="none" w:pos="190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Relevant Competitors</w:t>
      </w:r>
      <w:r>
        <w:rPr>
          <w:rFonts w:ascii="Arial" w:cs="Arial" w:eastAsia="Arial" w:hAnsi="Arial"/>
          <w:sz w:val="18"/>
          <w:szCs w:val="18"/>
          <w:color w:val="auto"/>
        </w:rPr>
        <w:t>. Grantee understands, acknowledges, agrees and hereby stipulates that,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Business Line(s) to which Grantee devotes a significant amount of his time and effort as of the date of this Agreement, the restrictions set forth in this Section 5 shall apply to Grantee immediately and for the duration of the period in which Grantee is employed by the Company. Grantee further understands, acknowledges, agrees and hereby stipulates that in the event that during the course of his employment with the Company, Grantee begins to devote a significant amount of his time and effort to any other Company Business Line or any other business line that the Company may enter or has entered into at any time and from time to time, the restrictions set forth in this Section 5 shall apply to Grantee with respect to any and all such other Company Business Line(s) and other business line(s) immediately thereafter and for the duration of the period in which Grantee is employed by the Company. For the remainder of the Non-Compete Period (commencing on the date that Grantee ceases to be employed by the Company) the restrictions set forth in this Section 5 shall apply to Grantee with respect to each Company Business Line and each other business line that the Company may enter or has entered into at any time and from time to time to which Grantee devoted a significant amount of his time and effort at any time during the twelve month period immediately preceding the date on which Grantee ceases to be employed by the Company for any reason whatsoever.</w:t>
      </w:r>
    </w:p>
    <w:p>
      <w:pPr>
        <w:spacing w:after="0" w:line="171" w:lineRule="exact"/>
        <w:rPr>
          <w:sz w:val="20"/>
          <w:szCs w:val="20"/>
          <w:color w:val="auto"/>
        </w:rPr>
      </w:pPr>
    </w:p>
    <w:p>
      <w:pPr>
        <w:jc w:val="both"/>
        <w:ind w:left="640"/>
        <w:spacing w:after="0" w:line="222" w:lineRule="auto"/>
        <w:rPr>
          <w:sz w:val="20"/>
          <w:szCs w:val="20"/>
          <w:color w:val="auto"/>
        </w:rPr>
      </w:pPr>
      <w:r>
        <w:rPr>
          <w:rFonts w:ascii="Arial" w:cs="Arial" w:eastAsia="Arial" w:hAnsi="Arial"/>
          <w:sz w:val="18"/>
          <w:szCs w:val="18"/>
          <w:b w:val="1"/>
          <w:bCs w:val="1"/>
          <w:u w:val="single" w:color="auto"/>
          <w:color w:val="auto"/>
        </w:rPr>
        <w:t>Broadband Business Line</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Broadband Business Line” means the Company’s line of business that provides satellite broadband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access to consumers and broadband network services and systems to enterprise markets and also provides managed services and networking systems solutions to customers for mobile satellite and wireless backhaul systems, including, without limitation, the business conducted by Hughes Network Systems, LLC and its direct and indirect subsidiaries. Without limiting the generality of the foregoing description or definition of Competitor above, the enumerated restricted persons and entities that apply to the Broadband Business Line includes any and all subsidiaries, affiliates, divisions, lines, ventures or other operations of the following persons and entities: (1) ViaSat, Inc.; (2) Gilat Satellite Networks Ltd.; (3) Newtec Cy N.V.; (4) iDirect Technologies; (5) any of the foregoing later known by a different name; (6) any person or entity which acquires, is acquired by, merges with, is spun off by, or otherwise combines with or separates from any of the foregoing or enters into an agreement to do so; (7) any person or entity directly or indirectly controlling, controlled by, or under common control with any of the foregoing, including without limitation any direct or indirect subsidiaries, affiliates, and ventures of any of the foregoing; and (8) any successor or assign of any of the foregoing.</w:t>
      </w:r>
    </w:p>
    <w:p>
      <w:pPr>
        <w:spacing w:after="0" w:line="173" w:lineRule="exact"/>
        <w:rPr>
          <w:sz w:val="20"/>
          <w:szCs w:val="20"/>
          <w:color w:val="auto"/>
        </w:rPr>
      </w:pPr>
    </w:p>
    <w:p>
      <w:pPr>
        <w:jc w:val="both"/>
        <w:ind w:left="640"/>
        <w:spacing w:after="0" w:line="233" w:lineRule="auto"/>
        <w:rPr>
          <w:sz w:val="20"/>
          <w:szCs w:val="20"/>
          <w:color w:val="auto"/>
        </w:rPr>
      </w:pPr>
      <w:r>
        <w:rPr>
          <w:rFonts w:ascii="Arial" w:cs="Arial" w:eastAsia="Arial" w:hAnsi="Arial"/>
          <w:sz w:val="17"/>
          <w:szCs w:val="17"/>
          <w:b w:val="1"/>
          <w:bCs w:val="1"/>
          <w:u w:val="single" w:color="auto"/>
          <w:color w:val="auto"/>
        </w:rPr>
        <w:t>Satellite Services Business Line</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Satellite Services Business Line” means the Company’s line of business that provides satellite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leases satellite capacity, including, without limitation, the business conducted by EchoStar Satellite Services L.L.C and its direct and indirect subsidiaries. Without limiting the generality of the foregoing description or definition of Competitor above, the enumerated restricted persons and entities that apply to the Satellite Services Business Line includes any and all subsidiaries, affiliates, divisions, lines, ventures or other operations of the following persons and entities: (1) Intelsat S.A.; (2) SES S.A.; (3) Eutelsat S.A.,</w:t>
      </w:r>
    </w:p>
    <w:p>
      <w:pPr>
        <w:spacing w:after="0" w:line="1" w:lineRule="exact"/>
        <w:rPr>
          <w:sz w:val="20"/>
          <w:szCs w:val="20"/>
          <w:color w:val="auto"/>
        </w:rPr>
      </w:pPr>
    </w:p>
    <w:p>
      <w:pPr>
        <w:jc w:val="both"/>
        <w:ind w:left="640" w:firstLine="2"/>
        <w:spacing w:after="0" w:line="227" w:lineRule="auto"/>
        <w:tabs>
          <w:tab w:leader="none" w:pos="9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Inmarsat plc; (5) Telesat Canada; (6) Asia Satellite Telecommunications Company Limited; (7) direct-to-home (DTH) satellite business of AT&amp;T, Inc.; (8) any of the foregoing later known by a different name; (9) any person or entity which acquires, is acquired by, merges with, is spun off by, or otherwise combines with or separates from any of the foregoing or enters into an agreement to do so;</w:t>
      </w:r>
    </w:p>
    <w:p>
      <w:pPr>
        <w:spacing w:after="0" w:line="1" w:lineRule="exact"/>
        <w:rPr>
          <w:rFonts w:ascii="Arial" w:cs="Arial" w:eastAsia="Arial" w:hAnsi="Arial"/>
          <w:sz w:val="17"/>
          <w:szCs w:val="17"/>
          <w:color w:val="auto"/>
        </w:rPr>
      </w:pPr>
    </w:p>
    <w:p>
      <w:pPr>
        <w:jc w:val="both"/>
        <w:ind w:left="640" w:firstLine="2"/>
        <w:spacing w:after="0" w:line="220" w:lineRule="auto"/>
        <w:tabs>
          <w:tab w:leader="none" w:pos="10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person or entity directly or indirectly controlling, controlled by, or under common control with any of the foregoing, including without limitation any direct or indirect subsidiaries, affiliates, and ventures of any of the foregoing; and (11) any successor or assign of any of the foregoing.</w:t>
      </w:r>
    </w:p>
    <w:p>
      <w:pPr>
        <w:spacing w:after="0" w:line="178" w:lineRule="exact"/>
        <w:rPr>
          <w:rFonts w:ascii="Arial" w:cs="Arial" w:eastAsia="Arial" w:hAnsi="Arial"/>
          <w:sz w:val="19"/>
          <w:szCs w:val="19"/>
          <w:color w:val="auto"/>
        </w:rPr>
      </w:pPr>
    </w:p>
    <w:p>
      <w:pPr>
        <w:jc w:val="both"/>
        <w:ind w:firstLine="1278"/>
        <w:spacing w:after="0" w:line="238" w:lineRule="auto"/>
        <w:tabs>
          <w:tab w:leader="none" w:pos="190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Duration of Non-Compete</w:t>
      </w:r>
      <w:r>
        <w:rPr>
          <w:rFonts w:ascii="Arial" w:cs="Arial" w:eastAsia="Arial" w:hAnsi="Arial"/>
          <w:sz w:val="18"/>
          <w:szCs w:val="18"/>
          <w:color w:val="auto"/>
        </w:rPr>
        <w:t>. Unless extended pursuant to Section 5(g) of this Agreement, this covenant not to compete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apply during the term of his employment with the Company and/or its direct or indirect subsidiaries, if any, and for a period of one year after the date on which Grantee ceases to be employed by the Company for any reason whatsoever (the “Non-Compete Period”).</w:t>
      </w:r>
    </w:p>
    <w:p>
      <w:pPr>
        <w:spacing w:after="0" w:line="179" w:lineRule="exact"/>
        <w:rPr>
          <w:rFonts w:ascii="Arial" w:cs="Arial" w:eastAsia="Arial" w:hAnsi="Arial"/>
          <w:sz w:val="18"/>
          <w:szCs w:val="18"/>
          <w:color w:val="auto"/>
        </w:rPr>
      </w:pPr>
    </w:p>
    <w:p>
      <w:pPr>
        <w:jc w:val="both"/>
        <w:ind w:firstLine="1278"/>
        <w:spacing w:after="0" w:line="220" w:lineRule="auto"/>
        <w:tabs>
          <w:tab w:leader="none" w:pos="1897"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Passive Owner</w:t>
      </w:r>
      <w:r>
        <w:rPr>
          <w:rFonts w:ascii="Arial" w:cs="Arial" w:eastAsia="Arial" w:hAnsi="Arial"/>
          <w:sz w:val="19"/>
          <w:szCs w:val="19"/>
          <w:color w:val="auto"/>
        </w:rPr>
        <w:t>. The covenant not to compete restrictions contained in this Agreement shall not prohibit Grantee from</w:t>
      </w:r>
      <w:r>
        <w:rPr>
          <w:rFonts w:ascii="Arial" w:cs="Arial" w:eastAsia="Arial" w:hAnsi="Arial"/>
          <w:sz w:val="19"/>
          <w:szCs w:val="19"/>
          <w:i w:val="1"/>
          <w:iCs w:val="1"/>
          <w:color w:val="auto"/>
        </w:rPr>
        <w:t xml:space="preserve"> </w:t>
      </w:r>
      <w:r>
        <w:rPr>
          <w:rFonts w:ascii="Arial" w:cs="Arial" w:eastAsia="Arial" w:hAnsi="Arial"/>
          <w:sz w:val="19"/>
          <w:szCs w:val="19"/>
          <w:color w:val="auto"/>
        </w:rPr>
        <w:t>being a passive owner of not more than five percent (5%) of the outstanding stock of an entity that is publicly traded, so long as Grantee (A) has no active participation in the business or management of such entity, (B) is not a director or trustee of such entity, and (C) does not hold a similar position with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00" w:hanging="622"/>
        <w:spacing w:after="0"/>
        <w:tabs>
          <w:tab w:leader="none" w:pos="1900"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Reasonableness</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jc w:val="both"/>
        <w:ind w:left="2860" w:hanging="628"/>
        <w:spacing w:after="0" w:line="233" w:lineRule="auto"/>
        <w:tabs>
          <w:tab w:leader="none" w:pos="2851" w:val="left"/>
        </w:tabs>
        <w:numPr>
          <w:ilvl w:val="2"/>
          <w:numId w:val="64"/>
        </w:numPr>
        <w:rPr>
          <w:rFonts w:ascii="Arial" w:cs="Arial" w:eastAsia="Arial" w:hAnsi="Arial"/>
          <w:sz w:val="17"/>
          <w:szCs w:val="17"/>
          <w:color w:val="auto"/>
        </w:rPr>
      </w:pPr>
      <w:r>
        <w:rPr>
          <w:rFonts w:ascii="Arial" w:cs="Arial" w:eastAsia="Arial" w:hAnsi="Arial"/>
          <w:sz w:val="17"/>
          <w:szCs w:val="17"/>
          <w:color w:val="auto"/>
        </w:rPr>
        <w:t>Since the Company’s Business Lines and other business lines that the Company may enter or has entered into are located and operated in the United States and in various other jurisdictions and locations throughout the world, the covenant not to compete shall apply to the entire United States and to any and all such other jurisdictions and/or locations throughout the world where the Company’s Business Lines and other business lines that the Company may enter or has entered into, as applicable, are located and/or operated from time to time throughout the world. Grantee understands, acknowledges, agrees and hereby stipulates that the covenant not to compete set forth in this Section 5 is: (A) fair and reasonable given the Company’s current and future business plans; and (B) necessary to prevent the disclosure or use of trade secrets pursuant to or within the meaning of C.R.S. s. 8-2-113(2)(b), the Uniform Trade Secrets Act or any analogous state laws which may apply to Grantee. Grantee understands, acknowledges, agrees and hereby stipulates that Grantee is an executive or manager or professional staff to an executive or manager, within the meaning of C.R.S. s. 8-2-113(2)(d). Grantee understands, acknowledges, agrees and hereby stipulates that a breach of this covenant not to compete may cause the Company irreparable harm, which may not be compensated for by monetary damages alone.</w:t>
      </w:r>
    </w:p>
    <w:p>
      <w:pPr>
        <w:spacing w:after="0" w:line="178" w:lineRule="exact"/>
        <w:rPr>
          <w:rFonts w:ascii="Arial" w:cs="Arial" w:eastAsia="Arial" w:hAnsi="Arial"/>
          <w:sz w:val="17"/>
          <w:szCs w:val="17"/>
          <w:color w:val="auto"/>
        </w:rPr>
      </w:pPr>
    </w:p>
    <w:p>
      <w:pPr>
        <w:jc w:val="both"/>
        <w:ind w:left="2860" w:hanging="628"/>
        <w:spacing w:after="0" w:line="211" w:lineRule="auto"/>
        <w:tabs>
          <w:tab w:leader="none" w:pos="2854" w:val="left"/>
        </w:tabs>
        <w:numPr>
          <w:ilvl w:val="2"/>
          <w:numId w:val="64"/>
        </w:numPr>
        <w:rPr>
          <w:rFonts w:ascii="Arial" w:cs="Arial" w:eastAsia="Arial" w:hAnsi="Arial"/>
          <w:sz w:val="19"/>
          <w:szCs w:val="19"/>
          <w:color w:val="auto"/>
        </w:rPr>
      </w:pPr>
      <w:r>
        <w:rPr>
          <w:rFonts w:ascii="Arial" w:cs="Arial" w:eastAsia="Arial" w:hAnsi="Arial"/>
          <w:sz w:val="19"/>
          <w:szCs w:val="19"/>
          <w:color w:val="auto"/>
        </w:rPr>
        <w:t>The parties hereto further acknowledge and agree that the Company does business and will from time to time do business in, and has and from time to time will have clients located in, the United States and other various jurisdictions and locations throughout the world. Accordingly, with respect to Grantee’s undertakings pursuant to this Section 5, the specific geographical scope set forth in these provisions is necessary and reasonably tailored to protect the Company’s legitimate business interests. Grantee recognizes and acknowledges that the activities prohibited by this Section 5 are narrow and reasonable in relation to the types of employment for which Grantee is qualified to earn a livelihood, and further acknowledges that Grantee is capable of earning a livelihood, during the Non-Compete Period, without violating the terms or restrictions of this Section 5.</w:t>
      </w:r>
    </w:p>
    <w:p>
      <w:pPr>
        <w:spacing w:after="0" w:line="179" w:lineRule="exact"/>
        <w:rPr>
          <w:rFonts w:ascii="Arial" w:cs="Arial" w:eastAsia="Arial" w:hAnsi="Arial"/>
          <w:sz w:val="19"/>
          <w:szCs w:val="19"/>
          <w:color w:val="auto"/>
        </w:rPr>
      </w:pPr>
    </w:p>
    <w:p>
      <w:pPr>
        <w:ind w:firstLine="642"/>
        <w:spacing w:after="0" w:line="237" w:lineRule="auto"/>
        <w:tabs>
          <w:tab w:leader="none" w:pos="126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Unless extended pursuant to Section 5(g) of this Agreement, Grantee agrees that during the Non-Compete Period, Grantee shall not, directly or indirectly:</w:t>
      </w:r>
    </w:p>
    <w:p>
      <w:pPr>
        <w:spacing w:after="0" w:line="177" w:lineRule="exact"/>
        <w:rPr>
          <w:rFonts w:ascii="Arial" w:cs="Arial" w:eastAsia="Arial" w:hAnsi="Arial"/>
          <w:sz w:val="19"/>
          <w:szCs w:val="19"/>
          <w:color w:val="auto"/>
        </w:rPr>
      </w:pPr>
    </w:p>
    <w:p>
      <w:pPr>
        <w:ind w:left="1920" w:hanging="642"/>
        <w:spacing w:after="0" w:line="237" w:lineRule="auto"/>
        <w:tabs>
          <w:tab w:leader="none" w:pos="1918" w:val="left"/>
        </w:tabs>
        <w:numPr>
          <w:ilvl w:val="1"/>
          <w:numId w:val="65"/>
        </w:numPr>
        <w:rPr>
          <w:rFonts w:ascii="Arial" w:cs="Arial" w:eastAsia="Arial" w:hAnsi="Arial"/>
          <w:sz w:val="19"/>
          <w:szCs w:val="19"/>
          <w:color w:val="auto"/>
        </w:rPr>
      </w:pPr>
      <w:r>
        <w:rPr>
          <w:rFonts w:ascii="Arial" w:cs="Arial" w:eastAsia="Arial" w:hAnsi="Arial"/>
          <w:sz w:val="19"/>
          <w:szCs w:val="19"/>
          <w:color w:val="auto"/>
        </w:rPr>
        <w:t>Recruit or solicit any employee of the Company to pursue or accept an employee, contractor, consultant or any other position with any other person, entity or third party;</w:t>
      </w:r>
    </w:p>
    <w:p>
      <w:pPr>
        <w:spacing w:after="0" w:line="178" w:lineRule="exact"/>
        <w:rPr>
          <w:sz w:val="20"/>
          <w:szCs w:val="20"/>
          <w:color w:val="auto"/>
        </w:rPr>
      </w:pPr>
    </w:p>
    <w:p>
      <w:pPr>
        <w:jc w:val="both"/>
        <w:ind w:left="1920" w:hanging="642"/>
        <w:spacing w:after="0" w:line="226" w:lineRule="auto"/>
        <w:tabs>
          <w:tab w:leader="none" w:pos="1919"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Induce or entice any employee of the Company to pursue or accept an employee, contractor, consultant or any other position with any other person, entity or third party, including without limitation by providing information regarding compensation, benefits or other terms and conditions of such position;</w:t>
      </w:r>
    </w:p>
    <w:p>
      <w:pPr>
        <w:spacing w:after="0" w:line="177" w:lineRule="exact"/>
        <w:rPr>
          <w:rFonts w:ascii="Arial" w:cs="Arial" w:eastAsia="Arial" w:hAnsi="Arial"/>
          <w:sz w:val="19"/>
          <w:szCs w:val="19"/>
          <w:color w:val="auto"/>
        </w:rPr>
      </w:pPr>
    </w:p>
    <w:p>
      <w:pPr>
        <w:ind w:left="1920" w:hanging="642"/>
        <w:spacing w:after="0" w:line="237" w:lineRule="auto"/>
        <w:tabs>
          <w:tab w:leader="none" w:pos="19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Encourage or advise any current or former employee of the Company to disregard and/or violate his or her non-compete, non-solicit, confidentiality or any other obligations to the Company; or</w:t>
      </w:r>
    </w:p>
    <w:p>
      <w:pPr>
        <w:spacing w:after="0" w:line="177" w:lineRule="exact"/>
        <w:rPr>
          <w:rFonts w:ascii="Arial" w:cs="Arial" w:eastAsia="Arial" w:hAnsi="Arial"/>
          <w:sz w:val="19"/>
          <w:szCs w:val="19"/>
          <w:color w:val="auto"/>
        </w:rPr>
      </w:pPr>
    </w:p>
    <w:p>
      <w:pPr>
        <w:ind w:left="1920" w:hanging="642"/>
        <w:spacing w:after="0" w:line="237" w:lineRule="auto"/>
        <w:tabs>
          <w:tab w:leader="none" w:pos="19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Communicate with any employee of the Company regarding any employment, contractor, consultant or other opportunity outside of the Company, including, without limitation, opportunities with a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36"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Non-Solicitation of Customers</w:t>
      </w:r>
      <w:r>
        <w:rPr>
          <w:rFonts w:ascii="Arial" w:cs="Arial" w:eastAsia="Arial" w:hAnsi="Arial"/>
          <w:sz w:val="17"/>
          <w:szCs w:val="17"/>
          <w:color w:val="auto"/>
        </w:rPr>
        <w:t>. Unless extended pursuant to Section 5(g) of this Agreement, Grantee agrees that during the Non-Compete Period, Grantee shall not, directly or indirectly, solicit, contact or call upon, or attempt to solicit, contact or call upon any customer, prospective customer or customer referral source of the Company with whom Grantee had contact or about whom Grantee learned Confidential Information and Trade Secrets during the preceding two years of employment with the Company, for the purpose of providing any products or services substantially similar to those he provided while employed by the Company. For purposes of this paragraph, “contact” means direct or indirect interaction between Grantee and the customer, prospective customer or customer referral source that takes place to further the business relationship with, make sales to or perform services for the customer, prospective customer or customer referral source on behalf of the Company. As used in this subsection, a “customer referral source” is any person or entity with which the Company has entered into an agreement (or is seeking to enter into an agreement) to refer prospective customers to the Company.</w:t>
      </w:r>
    </w:p>
    <w:p>
      <w:pPr>
        <w:spacing w:after="0" w:line="178" w:lineRule="exact"/>
        <w:rPr>
          <w:rFonts w:ascii="Arial" w:cs="Arial" w:eastAsia="Arial" w:hAnsi="Arial"/>
          <w:sz w:val="17"/>
          <w:szCs w:val="17"/>
          <w:color w:val="auto"/>
        </w:rPr>
      </w:pPr>
    </w:p>
    <w:p>
      <w:pPr>
        <w:jc w:val="both"/>
        <w:ind w:firstLine="642"/>
        <w:spacing w:after="0" w:line="236" w:lineRule="auto"/>
        <w:tabs>
          <w:tab w:leader="none" w:pos="126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Non-Disclosure and Non-Use of Confidential Information and Trade Secrets</w:t>
      </w:r>
      <w:r>
        <w:rPr>
          <w:rFonts w:ascii="Arial" w:cs="Arial" w:eastAsia="Arial" w:hAnsi="Arial"/>
          <w:sz w:val="17"/>
          <w:szCs w:val="17"/>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 Information and Trade Secrets; and (ii) any and all computer equipment, home office equipment, automobile, or other business equipment belonging to the Company that Grantee may then possess or have under his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42"/>
        <w:spacing w:after="0" w:line="229" w:lineRule="auto"/>
        <w:tabs>
          <w:tab w:leader="none" w:pos="1267"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178" w:lineRule="exact"/>
        <w:rPr>
          <w:rFonts w:ascii="Arial" w:cs="Arial" w:eastAsia="Arial" w:hAnsi="Arial"/>
          <w:sz w:val="18"/>
          <w:szCs w:val="18"/>
          <w:color w:val="auto"/>
        </w:rPr>
      </w:pPr>
    </w:p>
    <w:p>
      <w:pPr>
        <w:jc w:val="both"/>
        <w:ind w:firstLine="642"/>
        <w:spacing w:after="0" w:line="215" w:lineRule="auto"/>
        <w:tabs>
          <w:tab w:leader="none" w:pos="1260"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Tolling</w:t>
      </w:r>
      <w:r>
        <w:rPr>
          <w:rFonts w:ascii="Arial" w:cs="Arial" w:eastAsia="Arial" w:hAnsi="Arial"/>
          <w:sz w:val="19"/>
          <w:szCs w:val="19"/>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177" w:lineRule="exact"/>
        <w:rPr>
          <w:rFonts w:ascii="Arial" w:cs="Arial" w:eastAsia="Arial" w:hAnsi="Arial"/>
          <w:sz w:val="19"/>
          <w:szCs w:val="19"/>
          <w:color w:val="auto"/>
        </w:rPr>
      </w:pPr>
    </w:p>
    <w:p>
      <w:pPr>
        <w:jc w:val="both"/>
        <w:ind w:firstLine="642"/>
        <w:spacing w:after="0" w:line="211" w:lineRule="auto"/>
        <w:tabs>
          <w:tab w:leader="none" w:pos="1260"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179" w:lineRule="exact"/>
        <w:rPr>
          <w:rFonts w:ascii="Arial" w:cs="Arial" w:eastAsia="Arial" w:hAnsi="Arial"/>
          <w:sz w:val="19"/>
          <w:szCs w:val="19"/>
          <w:color w:val="auto"/>
        </w:rPr>
      </w:pPr>
    </w:p>
    <w:p>
      <w:pPr>
        <w:jc w:val="both"/>
        <w:ind w:firstLine="642"/>
        <w:spacing w:after="0" w:line="221" w:lineRule="auto"/>
        <w:tabs>
          <w:tab w:leader="none" w:pos="1270"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Units (whether vested or unvested) shall be subject to deduction, reduction,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Units (whether vested or unvested) shall be subject to deduction, reduction, cancellation, recovery, recoupment, forfeiture and/or “clawback” if: (i) Grantee ceases or has ceased to be employed by the Company or its direct or indirect subsidiaries, if any, due to such employment being terminated for Cause;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182" w:lineRule="exact"/>
        <w:rPr>
          <w:rFonts w:ascii="Arial" w:cs="Arial" w:eastAsia="Arial" w:hAnsi="Arial"/>
          <w:sz w:val="18"/>
          <w:szCs w:val="18"/>
          <w:color w:val="auto"/>
        </w:rPr>
      </w:pPr>
    </w:p>
    <w:p>
      <w:pPr>
        <w:ind w:left="640" w:hanging="634"/>
        <w:spacing w:after="0"/>
        <w:tabs>
          <w:tab w:leader="none" w:pos="64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Dispute Resolution; Arbitration</w:t>
      </w:r>
    </w:p>
    <w:p>
      <w:pPr>
        <w:spacing w:after="0" w:line="205" w:lineRule="exact"/>
        <w:rPr>
          <w:rFonts w:ascii="Arial" w:cs="Arial" w:eastAsia="Arial" w:hAnsi="Arial"/>
          <w:sz w:val="19"/>
          <w:szCs w:val="19"/>
          <w:color w:val="auto"/>
        </w:rPr>
      </w:pPr>
    </w:p>
    <w:p>
      <w:pPr>
        <w:jc w:val="both"/>
        <w:ind w:firstLine="461"/>
        <w:spacing w:after="0" w:line="222" w:lineRule="auto"/>
        <w:tabs>
          <w:tab w:leader="none" w:pos="8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Grantee and the Company mutually agree that any claim, controversy and/or dispute between them, arising out of, relating to, or in connection with: (i) Grantee’s application for employment, employment and/or termination of employment (collectively “Employment-Related Disputes”); and/or (ii) this Agreement (including, without limitation, an actual, threatened or attempted violation of any of the covenants set forth in Section 5 of this Agreement) (“Units Disputes”) ((i) or (ii) each, a “Claim” and (i) and (ii) collectively, “Claims”), whenever and wherever brought shall be resolved by binding arbitration administered by the American Arbitration Association (“AAA”). Grantee agrees that this agreement to arbitrate is governed by the Federal Arbitration Act, 9 U.S.C. §§ 1 et seq., evidences a transaction involving commerce, and is fully enforceable. 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6" w:hanging="426"/>
        <w:spacing w:after="0"/>
        <w:tabs>
          <w:tab w:leader="none" w:pos="426" w:val="left"/>
        </w:tabs>
        <w:numPr>
          <w:ilvl w:val="0"/>
          <w:numId w:val="70"/>
        </w:numPr>
        <w:rPr>
          <w:rFonts w:ascii="Arial" w:cs="Arial" w:eastAsia="Arial" w:hAnsi="Arial"/>
          <w:sz w:val="19"/>
          <w:szCs w:val="19"/>
          <w:color w:val="auto"/>
        </w:rPr>
      </w:pPr>
      <w:r>
        <w:rPr>
          <w:rFonts w:ascii="Arial" w:cs="Arial" w:eastAsia="Arial" w:hAnsi="Arial"/>
          <w:sz w:val="19"/>
          <w:szCs w:val="19"/>
          <w:color w:val="auto"/>
        </w:rPr>
        <w:t>For Employment-Related Disputes:</w:t>
      </w:r>
    </w:p>
    <w:p>
      <w:pPr>
        <w:spacing w:after="0" w:line="205" w:lineRule="exact"/>
        <w:rPr>
          <w:rFonts w:ascii="Arial" w:cs="Arial" w:eastAsia="Arial" w:hAnsi="Arial"/>
          <w:sz w:val="19"/>
          <w:szCs w:val="19"/>
          <w:color w:val="auto"/>
        </w:rPr>
      </w:pPr>
    </w:p>
    <w:p>
      <w:pPr>
        <w:jc w:val="both"/>
        <w:ind w:left="1526" w:hanging="722"/>
        <w:spacing w:after="0" w:line="221" w:lineRule="auto"/>
        <w:tabs>
          <w:tab w:leader="none" w:pos="152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written demand for arbitration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Employment Law Arbitrators’ (as defined below) fees and any fee for administering the arbitration unless otherwise ordered by the Employment Law Arbitrators;</w:t>
      </w:r>
    </w:p>
    <w:p>
      <w:pPr>
        <w:spacing w:after="0" w:line="177" w:lineRule="exact"/>
        <w:rPr>
          <w:rFonts w:ascii="Arial" w:cs="Arial" w:eastAsia="Arial" w:hAnsi="Arial"/>
          <w:sz w:val="18"/>
          <w:szCs w:val="18"/>
          <w:color w:val="auto"/>
        </w:rPr>
      </w:pPr>
    </w:p>
    <w:p>
      <w:pPr>
        <w:jc w:val="both"/>
        <w:ind w:left="1526" w:hanging="642"/>
        <w:spacing w:after="0" w:line="220" w:lineRule="auto"/>
        <w:tabs>
          <w:tab w:leader="none" w:pos="1523"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Colorado, 80112, Attn: General Counsel; or (B) to Grantee - to the last home address that Grantee provided to the Company;</w:t>
      </w:r>
    </w:p>
    <w:p>
      <w:pPr>
        <w:spacing w:after="0" w:line="179" w:lineRule="exact"/>
        <w:rPr>
          <w:rFonts w:ascii="Arial" w:cs="Arial" w:eastAsia="Arial" w:hAnsi="Arial"/>
          <w:sz w:val="19"/>
          <w:szCs w:val="19"/>
          <w:color w:val="auto"/>
        </w:rPr>
      </w:pPr>
    </w:p>
    <w:p>
      <w:pPr>
        <w:jc w:val="both"/>
        <w:ind w:left="1526" w:hanging="642"/>
        <w:spacing w:after="0" w:line="219" w:lineRule="auto"/>
        <w:tabs>
          <w:tab w:leader="none" w:pos="1524"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three arbitrators from the AAA with expertise in employment disputes ("Employment Law Arbitrators") shall be selected, and shall conduct the arbitration, pursuant to the then-current AAA's Employment Arbitration Rules and Procedures ("AAA Employment Rules"), without incorporation of AAA's Supplementary Rules for Class Arbitration, which the parties hereby expressly disclaim. The AAA Employment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Employment Arbitration Rules" using an internet search engine such as www.google.com, or by requesting a copy from the human resources department of the Company. Within fourteen (14) days after the receipt of the Request for Arbitration, each party shall select one arbitrator from the AAA with expertise in employment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Employment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Employment Rules state, the arbitration proceedings shall be held in the City and County of Denver, Colorado;</w:t>
      </w:r>
    </w:p>
    <w:p>
      <w:pPr>
        <w:spacing w:after="0" w:line="187" w:lineRule="exact"/>
        <w:rPr>
          <w:rFonts w:ascii="Arial" w:cs="Arial" w:eastAsia="Arial" w:hAnsi="Arial"/>
          <w:sz w:val="18"/>
          <w:szCs w:val="18"/>
          <w:color w:val="auto"/>
        </w:rPr>
      </w:pPr>
    </w:p>
    <w:p>
      <w:pPr>
        <w:jc w:val="both"/>
        <w:ind w:left="1526" w:hanging="642"/>
        <w:spacing w:after="0" w:line="213" w:lineRule="auto"/>
        <w:tabs>
          <w:tab w:leader="none" w:pos="1501" w:val="left"/>
        </w:tabs>
        <w:numPr>
          <w:ilvl w:val="2"/>
          <w:numId w:val="70"/>
        </w:numPr>
        <w:rPr>
          <w:rFonts w:ascii="Arial" w:cs="Arial" w:eastAsia="Arial" w:hAnsi="Arial"/>
          <w:sz w:val="19"/>
          <w:szCs w:val="19"/>
          <w:color w:val="auto"/>
        </w:rPr>
      </w:pPr>
      <w:r>
        <w:rPr>
          <w:rFonts w:ascii="Arial" w:cs="Arial" w:eastAsia="Arial" w:hAnsi="Arial"/>
          <w:sz w:val="19"/>
          <w:szCs w:val="19"/>
          <w:color w:val="auto"/>
        </w:rPr>
        <w:t xml:space="preserve">the parties shall have the right to conduct discovery </w:t>
      </w:r>
      <w:r>
        <w:rPr>
          <w:rFonts w:ascii="Arial" w:cs="Arial" w:eastAsia="Arial" w:hAnsi="Arial"/>
          <w:sz w:val="19"/>
          <w:szCs w:val="19"/>
          <w:color w:val="252629"/>
        </w:rPr>
        <w:t>relevant and material to the outcome of the arbitration</w:t>
      </w:r>
      <w:r>
        <w:rPr>
          <w:rFonts w:ascii="Arial" w:cs="Arial" w:eastAsia="Arial" w:hAnsi="Arial"/>
          <w:sz w:val="19"/>
          <w:szCs w:val="19"/>
          <w:color w:val="auto"/>
        </w:rPr>
        <w:t xml:space="preserve"> and to present witnesses and evidence as needed to present their claims and defenses, and the Employment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Employment Law Arbitrators may award any remedy available under applicable law, but remedies shall be limited to those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6"/>
          </w:cols>
          <w:pgMar w:left="714" w:top="10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280"/>
        <w:spacing w:after="0"/>
        <w:rPr>
          <w:sz w:val="20"/>
          <w:szCs w:val="20"/>
          <w:color w:val="auto"/>
        </w:rPr>
      </w:pPr>
      <w:r>
        <w:rPr>
          <w:rFonts w:ascii="Arial" w:cs="Arial" w:eastAsia="Arial" w:hAnsi="Arial"/>
          <w:sz w:val="17"/>
          <w:szCs w:val="17"/>
          <w:color w:val="auto"/>
        </w:rPr>
        <w:t>would be available to a party in his/her/its individual capacity for all Claims presented to the Employment Law Arbitrators. The Employment Law Arbitrators’ decision shall be final and binding, and judgment upon the Employment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9" w:lineRule="exact"/>
        <w:rPr>
          <w:sz w:val="20"/>
          <w:szCs w:val="20"/>
          <w:color w:val="auto"/>
        </w:rPr>
      </w:pPr>
    </w:p>
    <w:p>
      <w:pPr>
        <w:jc w:val="both"/>
        <w:ind w:left="1280" w:hanging="642"/>
        <w:spacing w:after="0" w:line="226" w:lineRule="auto"/>
        <w:tabs>
          <w:tab w:leader="none" w:pos="126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Employment Law Arbitrators shall have the authority to hear and decide dispositive motions under the legal standards set forth in Rules 12 and 56 of the Colorado Rules of Civil Procedure, regardless of whether a Claim arises under federal or state law. The Employment Law Arbitrators shall resolve all disputes regarding the timeliness or propriety of the Request for Arbitration and apply the statute of limitations that would have applied if a Claim had been brought in a court of competent jurisdiction. The Employment Law Arbitrators shall dismiss, without limitation, any Claim that, in the absence of this Agreement, could not be brought under applicable law;</w:t>
      </w:r>
    </w:p>
    <w:p>
      <w:pPr>
        <w:spacing w:after="0" w:line="182" w:lineRule="exact"/>
        <w:rPr>
          <w:rFonts w:ascii="Arial" w:cs="Arial" w:eastAsia="Arial" w:hAnsi="Arial"/>
          <w:sz w:val="18"/>
          <w:szCs w:val="18"/>
          <w:color w:val="auto"/>
        </w:rPr>
      </w:pPr>
    </w:p>
    <w:p>
      <w:pPr>
        <w:jc w:val="both"/>
        <w:ind w:left="1280" w:hanging="642"/>
        <w:spacing w:after="0" w:line="215" w:lineRule="auto"/>
        <w:tabs>
          <w:tab w:leader="none" w:pos="1268"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Employment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Employment Rules state, any dispute as to the interpretation, applicability, enforceability or formation of the Class Action Waiver and the Representative Action Waiver may only be determined by a court of competent jurisdiction and not by the Employment Law Arbitrators; and</w:t>
      </w:r>
    </w:p>
    <w:p>
      <w:pPr>
        <w:spacing w:after="0" w:line="177" w:lineRule="exact"/>
        <w:rPr>
          <w:rFonts w:ascii="Arial" w:cs="Arial" w:eastAsia="Arial" w:hAnsi="Arial"/>
          <w:sz w:val="19"/>
          <w:szCs w:val="19"/>
          <w:color w:val="auto"/>
        </w:rPr>
      </w:pPr>
    </w:p>
    <w:p>
      <w:pPr>
        <w:jc w:val="both"/>
        <w:ind w:left="1280" w:hanging="642"/>
        <w:spacing w:after="0" w:line="235" w:lineRule="auto"/>
        <w:tabs>
          <w:tab w:leader="none" w:pos="1268"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Employment Law Arbitrators’ award or decision; or (D) if applicable law provides to the contrary. In the event that either party initiates a court proceeding to enforce, correct, modify, or vacate the Employment Law Arbitrators’ award or decision, or any other proceeding that would require disclosing the Employment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9" w:lineRule="exact"/>
        <w:rPr>
          <w:rFonts w:ascii="Arial" w:cs="Arial" w:eastAsia="Arial" w:hAnsi="Arial"/>
          <w:sz w:val="17"/>
          <w:szCs w:val="17"/>
          <w:color w:val="auto"/>
        </w:rPr>
      </w:pPr>
    </w:p>
    <w:p>
      <w:pPr>
        <w:ind w:left="420" w:hanging="418"/>
        <w:spacing w:after="0"/>
        <w:tabs>
          <w:tab w:leader="none" w:pos="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For Units Disputes:</w:t>
      </w:r>
    </w:p>
    <w:p>
      <w:pPr>
        <w:spacing w:after="0" w:line="205" w:lineRule="exact"/>
        <w:rPr>
          <w:rFonts w:ascii="Arial" w:cs="Arial" w:eastAsia="Arial" w:hAnsi="Arial"/>
          <w:sz w:val="19"/>
          <w:szCs w:val="19"/>
          <w:color w:val="auto"/>
        </w:rPr>
      </w:pPr>
    </w:p>
    <w:p>
      <w:pPr>
        <w:jc w:val="both"/>
        <w:ind w:left="1280" w:hanging="642"/>
        <w:spacing w:after="0" w:line="209" w:lineRule="auto"/>
        <w:tabs>
          <w:tab w:leader="none" w:pos="1276"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party who wishes to arbitrate a Claim must prepare a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9"/>
          <w:szCs w:val="19"/>
          <w:u w:val="single" w:color="auto"/>
          <w:color w:val="auto"/>
        </w:rPr>
        <w:t>www.adr.org</w:t>
      </w:r>
      <w:r>
        <w:rPr>
          <w:rFonts w:ascii="Arial" w:cs="Arial" w:eastAsia="Arial" w:hAnsi="Arial"/>
          <w:sz w:val="19"/>
          <w:szCs w:val="19"/>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960" w:top="10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00"/>
        <w:spacing w:after="0" w:line="237" w:lineRule="auto"/>
        <w:rPr>
          <w:sz w:val="20"/>
          <w:szCs w:val="20"/>
          <w:color w:val="auto"/>
        </w:rPr>
      </w:pPr>
      <w:r>
        <w:rPr>
          <w:rFonts w:ascii="Arial" w:cs="Arial" w:eastAsia="Arial" w:hAnsi="Arial"/>
          <w:sz w:val="19"/>
          <w:szCs w:val="19"/>
          <w:color w:val="auto"/>
        </w:rPr>
        <w:t>Company will pay the Commercial Law Arbitrators’ (as defined below) fees and any fee for administering the arbitration unless otherwise ordered by the Commercial Law Arbitrators;</w:t>
      </w:r>
    </w:p>
    <w:p>
      <w:pPr>
        <w:spacing w:after="0" w:line="178" w:lineRule="exact"/>
        <w:rPr>
          <w:sz w:val="20"/>
          <w:szCs w:val="20"/>
          <w:color w:val="auto"/>
        </w:rPr>
      </w:pPr>
    </w:p>
    <w:p>
      <w:pPr>
        <w:jc w:val="both"/>
        <w:ind w:left="800" w:hanging="642"/>
        <w:spacing w:after="0" w:line="220" w:lineRule="auto"/>
        <w:tabs>
          <w:tab w:leader="none" w:pos="79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Colorado, 80112, Attn: General Counsel; or (B) to Grantee - to the last home address that Grantee provided to the Company;</w:t>
      </w:r>
    </w:p>
    <w:p>
      <w:pPr>
        <w:spacing w:after="0" w:line="179" w:lineRule="exact"/>
        <w:rPr>
          <w:rFonts w:ascii="Arial" w:cs="Arial" w:eastAsia="Arial" w:hAnsi="Arial"/>
          <w:sz w:val="19"/>
          <w:szCs w:val="19"/>
          <w:color w:val="auto"/>
        </w:rPr>
      </w:pPr>
    </w:p>
    <w:p>
      <w:pPr>
        <w:jc w:val="both"/>
        <w:ind w:left="800" w:hanging="642"/>
        <w:spacing w:after="0" w:line="219" w:lineRule="auto"/>
        <w:tabs>
          <w:tab w:leader="none" w:pos="7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three arbitrators from the AAA with expertise in commercial law ("Commercial Law Arbitrators") shall be selected, and shall conduct the arbitration, pursuant to the then-current AAA Commercial Dispute Resolution Procedures (the “AAA Commercial Rules”), without incorporation of the AAA Employment Rules and the AAA's Supplementary Rules for Class Arbitration, both of which the parties hereby expressly disclaim. The AAA Commercial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Commercial Dispute Resolution Procedures" using an internet search engine such as www.google.com, or by requesting a copy from the human resources department of the Company. Within fourteen (14) days after the receipt of the Request for Arbitration, each party shall select one arbitrator from the AAA with expertise in commercial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Commercial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Commercial Rules state, the arbitration proceedings shall be held in the City and County of Denver, Colorado;</w:t>
      </w:r>
    </w:p>
    <w:p>
      <w:pPr>
        <w:spacing w:after="0" w:line="184" w:lineRule="exact"/>
        <w:rPr>
          <w:rFonts w:ascii="Arial" w:cs="Arial" w:eastAsia="Arial" w:hAnsi="Arial"/>
          <w:sz w:val="18"/>
          <w:szCs w:val="18"/>
          <w:color w:val="auto"/>
        </w:rPr>
      </w:pPr>
    </w:p>
    <w:p>
      <w:pPr>
        <w:jc w:val="both"/>
        <w:ind w:left="800" w:hanging="642"/>
        <w:spacing w:after="0" w:line="234" w:lineRule="auto"/>
        <w:tabs>
          <w:tab w:leader="none" w:pos="7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parties shall have the right to conduct discovery </w:t>
      </w:r>
      <w:r>
        <w:rPr>
          <w:rFonts w:ascii="Arial" w:cs="Arial" w:eastAsia="Arial" w:hAnsi="Arial"/>
          <w:sz w:val="17"/>
          <w:szCs w:val="17"/>
          <w:color w:val="252629"/>
        </w:rPr>
        <w:t>relevant and material to the outcome of the arbitration</w:t>
      </w:r>
      <w:r>
        <w:rPr>
          <w:rFonts w:ascii="Arial" w:cs="Arial" w:eastAsia="Arial" w:hAnsi="Arial"/>
          <w:sz w:val="17"/>
          <w:szCs w:val="17"/>
          <w:color w:val="auto"/>
        </w:rPr>
        <w:t xml:space="preserve"> and to present witnesses and evidence as needed to present their claims and defenses, and the Commercial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Commercial Law Arbitrators may award any remedy available under applicable law, but remedies shall be limited to those that would be available to a party in his/her/its individual capacity for all Claims presented to the Commercial Law Arbitrators. The Commercial Law Arbitrators’ decision shall be final and binding, and judgment upon the Commercial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7" w:lineRule="exact"/>
        <w:rPr>
          <w:rFonts w:ascii="Arial" w:cs="Arial" w:eastAsia="Arial" w:hAnsi="Arial"/>
          <w:sz w:val="17"/>
          <w:szCs w:val="17"/>
          <w:color w:val="auto"/>
        </w:rPr>
      </w:pPr>
    </w:p>
    <w:p>
      <w:pPr>
        <w:jc w:val="both"/>
        <w:ind w:left="800" w:hanging="642"/>
        <w:spacing w:after="0" w:line="215" w:lineRule="auto"/>
        <w:tabs>
          <w:tab w:leader="none" w:pos="78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Commercial Law Arbitrators shall have the authority to hear and decide dispositive motions under the legal standards set forth in Rules 12 and 56 of the Colorado Rules of Civil Procedure, regardless of whether a Claim arises under federal or state law. The Commercial Law Arbitrators shall resolve all disputes regarding the timeliness or propriety of the Request for Arbitration and apply the statute of limitations that would have applied if a Claim had been brought in a court of competent jurisdiction. The Commercial Law Arbitrators shall dismiss, without limitation, any Claim that, in the absence of this Agreement, could not be brought under applicable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10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920" w:hanging="642"/>
        <w:spacing w:after="0" w:line="215" w:lineRule="auto"/>
        <w:tabs>
          <w:tab w:leader="none" w:pos="1908" w:val="left"/>
        </w:tabs>
        <w:numPr>
          <w:ilvl w:val="3"/>
          <w:numId w:val="74"/>
        </w:numPr>
        <w:rPr>
          <w:rFonts w:ascii="Arial" w:cs="Arial" w:eastAsia="Arial" w:hAnsi="Arial"/>
          <w:sz w:val="19"/>
          <w:szCs w:val="19"/>
          <w:color w:val="auto"/>
        </w:rPr>
      </w:pPr>
      <w:r>
        <w:rPr>
          <w:rFonts w:ascii="Arial" w:cs="Arial" w:eastAsia="Arial" w:hAnsi="Arial"/>
          <w:sz w:val="19"/>
          <w:szCs w:val="19"/>
          <w:color w:val="auto"/>
        </w:rPr>
        <w:t>the Commercial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Commercial Rules state, any dispute as to the interpretation, applicability, enforceability or formation of the Class Action Waiver and the Representative Action Waiver may only be determined by a court of competent jurisdiction and not by the Commercial Law Arbitrators; and</w:t>
      </w:r>
    </w:p>
    <w:p>
      <w:pPr>
        <w:spacing w:after="0" w:line="177" w:lineRule="exact"/>
        <w:rPr>
          <w:rFonts w:ascii="Arial" w:cs="Arial" w:eastAsia="Arial" w:hAnsi="Arial"/>
          <w:sz w:val="19"/>
          <w:szCs w:val="19"/>
          <w:color w:val="auto"/>
        </w:rPr>
      </w:pPr>
    </w:p>
    <w:p>
      <w:pPr>
        <w:jc w:val="both"/>
        <w:ind w:left="1920" w:hanging="642"/>
        <w:spacing w:after="0" w:line="235" w:lineRule="auto"/>
        <w:tabs>
          <w:tab w:leader="none" w:pos="1908" w:val="left"/>
        </w:tabs>
        <w:numPr>
          <w:ilvl w:val="3"/>
          <w:numId w:val="74"/>
        </w:numPr>
        <w:rPr>
          <w:rFonts w:ascii="Arial" w:cs="Arial" w:eastAsia="Arial" w:hAnsi="Arial"/>
          <w:sz w:val="17"/>
          <w:szCs w:val="17"/>
          <w:color w:val="auto"/>
        </w:rPr>
      </w:pPr>
      <w:r>
        <w:rPr>
          <w:rFonts w:ascii="Arial" w:cs="Arial" w:eastAsia="Arial" w:hAnsi="Arial"/>
          <w:sz w:val="17"/>
          <w:szCs w:val="17"/>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Commercial Law Arbitrators’ award or decision; or (D) if applicable law provides to the contrary. In the event that either party initiates a court proceeding to enforce, correct, modify, or vacate the Commercial Law Arbitrators’ award or decision, or any other proceeding that would require disclosing the Commercial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79" w:lineRule="exact"/>
        <w:rPr>
          <w:rFonts w:ascii="Arial" w:cs="Arial" w:eastAsia="Arial" w:hAnsi="Arial"/>
          <w:sz w:val="17"/>
          <w:szCs w:val="17"/>
          <w:color w:val="auto"/>
        </w:rPr>
      </w:pPr>
    </w:p>
    <w:p>
      <w:pPr>
        <w:jc w:val="both"/>
        <w:ind w:firstLine="421"/>
        <w:spacing w:after="0" w:line="217" w:lineRule="auto"/>
        <w:tabs>
          <w:tab w:leader="none" w:pos="849"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Notwithstanding the foregoing, this agreement to arbitrate all Employment-Related Disputes and/or Units Disputes shall not apply to Grantee claims for statutory unemployment compensation benefits, statutory worker’s compensation benefits, state disability insurance benefits (not including retaliation claims based upon seeking such benefits), charges filed with the National Labor Relations Board alleging violations of the National Labor Relations Act, and claims for benefits from a Company-sponsored “employee benefit plan,” as that term is defined in 29 U.S.C. §1002(3).</w:t>
      </w:r>
    </w:p>
    <w:p>
      <w:pPr>
        <w:spacing w:after="0" w:line="178" w:lineRule="exact"/>
        <w:rPr>
          <w:rFonts w:ascii="Arial" w:cs="Arial" w:eastAsia="Arial" w:hAnsi="Arial"/>
          <w:sz w:val="19"/>
          <w:szCs w:val="19"/>
          <w:color w:val="auto"/>
        </w:rPr>
      </w:pPr>
    </w:p>
    <w:p>
      <w:pPr>
        <w:jc w:val="both"/>
        <w:ind w:firstLine="552"/>
        <w:spacing w:after="0" w:line="236" w:lineRule="auto"/>
        <w:tabs>
          <w:tab w:leader="none" w:pos="1031" w:val="left"/>
        </w:tabs>
        <w:numPr>
          <w:ilvl w:val="2"/>
          <w:numId w:val="75"/>
        </w:numPr>
        <w:rPr>
          <w:rFonts w:ascii="Arial" w:cs="Arial" w:eastAsia="Arial" w:hAnsi="Arial"/>
          <w:sz w:val="17"/>
          <w:szCs w:val="17"/>
          <w:color w:val="auto"/>
        </w:rPr>
      </w:pPr>
      <w:r>
        <w:rPr>
          <w:rFonts w:ascii="Arial" w:cs="Arial" w:eastAsia="Arial" w:hAnsi="Arial"/>
          <w:sz w:val="17"/>
          <w:szCs w:val="17"/>
          <w:color w:val="auto"/>
        </w:rPr>
        <w:t>To the maximum extent allowed by applicable law, (i) Grantee and the Company agree to bring any Claim in arbitration on an individual basis only, and not as a class or collective action, (ii) Grantee and the Company waive any right for a Claim to be brought, heard, or decided as a class or collective action, and (iii) the applicable arbitrator under this Section 6 shall have no power, jurisdiction or authority to preside over a class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any right for a Claim to be brought, heard or decided as a Private Attorney General Representative Action on behalf of other grantees ("Representative Action"), and the applicable arbitrator under this Section 6 shall have no power or authority to preside over a Representative Action ("Representative Action Waiver"). The Representative Action Waiver, however, does not apply to a Claim that Grantee brings in arbitration as a private attorney general solely on his/her own behalf.</w:t>
      </w:r>
    </w:p>
    <w:p>
      <w:pPr>
        <w:spacing w:after="0" w:line="178" w:lineRule="exact"/>
        <w:rPr>
          <w:rFonts w:ascii="Arial" w:cs="Arial" w:eastAsia="Arial" w:hAnsi="Arial"/>
          <w:sz w:val="17"/>
          <w:szCs w:val="17"/>
          <w:color w:val="auto"/>
        </w:rPr>
      </w:pPr>
    </w:p>
    <w:p>
      <w:pPr>
        <w:jc w:val="both"/>
        <w:ind w:firstLine="411"/>
        <w:spacing w:after="0" w:line="221" w:lineRule="auto"/>
        <w:tabs>
          <w:tab w:leader="none" w:pos="8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addition, each of Grantee and the Company shall have the right to seek temporary restraining orders, preliminary and/or permanent injunctions or other like emergency relief from a court where such relief is required to permit the dispute to proceed to arbitration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 provided that, once a court of competent jurisdiction orders or denies temporary or preliminary relief, the Claims shall then be resolved by arbitration pursuant to this Agreement. The parties mutually agree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Grantee irrevocably waives, to the fullest extent permitted by law, any and all objections which he may now or hereafter have to the venue of any such proceeding brought in any such court, including, without limitation, any claim that such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78"/>
        <w:spacing w:after="0" w:line="215" w:lineRule="auto"/>
        <w:tabs>
          <w:tab w:leader="none" w:pos="934" w:val="left"/>
        </w:tabs>
        <w:numPr>
          <w:ilvl w:val="1"/>
          <w:numId w:val="77"/>
        </w:numPr>
        <w:rPr>
          <w:rFonts w:ascii="Arial" w:cs="Arial" w:eastAsia="Arial" w:hAnsi="Arial"/>
          <w:sz w:val="19"/>
          <w:szCs w:val="19"/>
          <w:color w:val="auto"/>
        </w:rPr>
      </w:pPr>
      <w:r>
        <w:rPr>
          <w:rFonts w:ascii="Arial" w:cs="Arial" w:eastAsia="Arial" w:hAnsi="Arial"/>
          <w:sz w:val="19"/>
          <w:szCs w:val="19"/>
          <w:color w:val="auto"/>
        </w:rPr>
        <w:t>Further, nothing in this Section 6 prohibits Grantee from making a report or filing an administrative charge with a federal, state or local administrative agency such as the National Labor Relations Board, the Equal Employment Opportunity Commission, the Securities and Exchange Commission or the Department of Labor. This Section 6 also does not prevent federal administrative agencies from adjudicating claims and awarding remedies based on those claims, even if the claims would otherwise be covered by this Section 6. Nothing in this Section 6 prevents or excuses a party from satisfying any conditions precedent and/or exhausting administrative remedies under applicable law before bringing a Claim in arbitration.</w:t>
      </w:r>
    </w:p>
    <w:p>
      <w:pPr>
        <w:spacing w:after="0" w:line="177" w:lineRule="exact"/>
        <w:rPr>
          <w:rFonts w:ascii="Arial" w:cs="Arial" w:eastAsia="Arial" w:hAnsi="Arial"/>
          <w:sz w:val="19"/>
          <w:szCs w:val="19"/>
          <w:color w:val="auto"/>
        </w:rPr>
      </w:pPr>
    </w:p>
    <w:p>
      <w:pPr>
        <w:jc w:val="both"/>
        <w:ind w:firstLine="405"/>
        <w:spacing w:after="0" w:line="235" w:lineRule="auto"/>
        <w:tabs>
          <w:tab w:leader="none" w:pos="824"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Unless the applicable arbitrators rule otherwise (under the same standards that would apply in a court of competent jurisdiction), each party to any arbitration or court proceeding contemplated by this Section 6 shall be responsible for its own attorneys' fees and costs; provided, however, that unless otherwise required by applicable law or this Agreement, the prevailing party in any arbitration or court proceeding contemplated by this Section 6 shall be entitled to reimbursement of its or his reasonable attorneys’ fees, costs, and expenses. Nothing in this Agreement shall require Grantee to reimburse the Company for its reasonable attorneys' fees, costs, and expenses, incurred when the Company prevails in defense of any statutory claim of unlawful discrimination, unless said claim brought by Grantee is frivolous, unreasonable or without foundation, or Grantee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costs, and expenses incurred in obtaining a stay and/or compelling arbitration.</w:t>
      </w:r>
    </w:p>
    <w:p>
      <w:pPr>
        <w:spacing w:after="0" w:line="126" w:lineRule="exact"/>
        <w:rPr>
          <w:sz w:val="20"/>
          <w:szCs w:val="20"/>
          <w:color w:val="auto"/>
        </w:rPr>
      </w:pPr>
    </w:p>
    <w:p>
      <w:pPr>
        <w:jc w:val="both"/>
        <w:ind w:firstLine="421"/>
        <w:spacing w:after="0" w:line="225" w:lineRule="auto"/>
        <w:tabs>
          <w:tab w:leader="none" w:pos="8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Section 6 supersedes and renders void any prior agreement(s) to arbitrate between Grantee and the Company with respect to any and all Claims under this Agreement and any other agreement(s) between the Company and/or any of its direct and indirect subsidiaries, on the one hand, and Grantee, on the other hand. 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Units Disputes for the specific Units granted under this Agreement. In the event of any conflict or inconsistency between any AAA rules and/or procedures and the terms and conditions of this Agreement, the terms and conditions of this Agreement shall control.</w:t>
      </w:r>
    </w:p>
    <w:p>
      <w:pPr>
        <w:spacing w:after="0" w:line="178" w:lineRule="exact"/>
        <w:rPr>
          <w:rFonts w:ascii="Arial" w:cs="Arial" w:eastAsia="Arial" w:hAnsi="Arial"/>
          <w:sz w:val="18"/>
          <w:szCs w:val="18"/>
          <w:color w:val="auto"/>
        </w:rPr>
      </w:pPr>
    </w:p>
    <w:p>
      <w:pPr>
        <w:jc w:val="both"/>
        <w:ind w:firstLine="516"/>
        <w:spacing w:after="0" w:line="213" w:lineRule="auto"/>
        <w:tabs>
          <w:tab w:leader="none" w:pos="949" w:val="left"/>
        </w:tabs>
        <w:numPr>
          <w:ilvl w:val="1"/>
          <w:numId w:val="79"/>
        </w:numPr>
        <w:rPr>
          <w:rFonts w:ascii="Arial" w:cs="Arial" w:eastAsia="Arial" w:hAnsi="Arial"/>
          <w:sz w:val="19"/>
          <w:szCs w:val="19"/>
          <w:color w:val="auto"/>
        </w:rPr>
      </w:pPr>
      <w:r>
        <w:rPr>
          <w:rFonts w:ascii="Arial" w:cs="Arial" w:eastAsia="Arial" w:hAnsi="Arial"/>
          <w:sz w:val="19"/>
          <w:szCs w:val="19"/>
          <w:color w:val="auto"/>
        </w:rPr>
        <w:t>Other than potential rights to a trial, a jury trial, and common law claims for punitive and/or exemplary damages, nothing in this agreement to arbitrate limits any statutory remedy to which Grantee or the Company may be entitled under law. The parties acknowledge that this agreement to arbitrate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180" w:lineRule="exact"/>
        <w:rPr>
          <w:sz w:val="20"/>
          <w:szCs w:val="20"/>
          <w:color w:val="auto"/>
        </w:rPr>
      </w:pPr>
    </w:p>
    <w:p>
      <w:pPr>
        <w:jc w:val="both"/>
        <w:ind w:firstLine="399"/>
        <w:spacing w:after="0" w:line="213" w:lineRule="auto"/>
        <w:tabs>
          <w:tab w:leader="none" w:pos="815" w:val="left"/>
        </w:tabs>
        <w:numPr>
          <w:ilvl w:val="0"/>
          <w:numId w:val="80"/>
        </w:numPr>
        <w:rPr>
          <w:rFonts w:ascii="Arial" w:cs="Arial" w:eastAsia="Arial" w:hAnsi="Arial"/>
          <w:sz w:val="19"/>
          <w:szCs w:val="19"/>
          <w:color w:val="auto"/>
        </w:rPr>
      </w:pPr>
      <w:r>
        <w:rPr>
          <w:rFonts w:ascii="Arial" w:cs="Arial" w:eastAsia="Arial" w:hAnsi="Arial"/>
          <w:sz w:val="19"/>
          <w:szCs w:val="19"/>
          <w:color w:val="auto"/>
        </w:rPr>
        <w:t>GRANTEE AND THE COMPANY MUTUALLY AND VOLUNTARILY AGREE TO ARBITRATE ALL CLAIMS COVERED BY THIS AGREEMENT AS SET FORTH IN THIS SECTION 6. THE RIGHTS TO A TRIAL BY JURY, TO COMMON LAW CLAIMS FOR PUNITIVE AND/OR EXEMPLARY DAMAGES, AND TO ENGAGE AND/OR PARTICIPATE IN A CLASS, COLLECTIVE OR REPRESENTATIVE ACTION ARE OF VALUE AND EXPRESSLY WAIVED PURSUANT TO THIS SECTION 6. NOTHING IN THIS SECTION 6 INFRINGES ON GRANTEE’S RIGHT TO FILE A CHARGE WITH ANY GOVERNMENT AGENCY, AND GRANTEE’S RIGHT TO SEEK ANY REMEDY AND/OR PERSONAL RECOVERY IS ONLY RESTRICTED AS SPECIFICALLY SET FORTH IN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634"/>
        <w:spacing w:after="0"/>
        <w:tabs>
          <w:tab w:leader="none" w:pos="64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05" w:lineRule="exact"/>
        <w:rPr>
          <w:rFonts w:ascii="Arial" w:cs="Arial" w:eastAsia="Arial" w:hAnsi="Arial"/>
          <w:sz w:val="19"/>
          <w:szCs w:val="19"/>
          <w:color w:val="auto"/>
        </w:rPr>
      </w:pPr>
    </w:p>
    <w:p>
      <w:pPr>
        <w:jc w:val="both"/>
        <w:ind w:firstLine="642"/>
        <w:spacing w:after="0" w:line="220" w:lineRule="auto"/>
        <w:tabs>
          <w:tab w:leader="none" w:pos="1262"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Units Subject to the Plan</w:t>
      </w:r>
      <w:r>
        <w:rPr>
          <w:rFonts w:ascii="Arial" w:cs="Arial" w:eastAsia="Arial" w:hAnsi="Arial"/>
          <w:sz w:val="19"/>
          <w:szCs w:val="19"/>
          <w:color w:val="auto"/>
        </w:rPr>
        <w:t>. The Units are issued pursuant to the Plan and are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79" w:lineRule="exact"/>
        <w:rPr>
          <w:rFonts w:ascii="Arial" w:cs="Arial" w:eastAsia="Arial" w:hAnsi="Arial"/>
          <w:sz w:val="19"/>
          <w:szCs w:val="19"/>
          <w:color w:val="auto"/>
        </w:rPr>
      </w:pPr>
    </w:p>
    <w:p>
      <w:pPr>
        <w:jc w:val="both"/>
        <w:ind w:firstLine="642"/>
        <w:spacing w:after="0" w:line="213" w:lineRule="auto"/>
        <w:tabs>
          <w:tab w:leader="none" w:pos="126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 No Rights as Shareholder</w:t>
      </w:r>
      <w:r>
        <w:rPr>
          <w:rFonts w:ascii="Arial" w:cs="Arial" w:eastAsia="Arial" w:hAnsi="Arial"/>
          <w:sz w:val="19"/>
          <w:szCs w:val="19"/>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Units will not have any right to dividends or any other rights of a shareholder with respect to Common Shares issuable in exchange for and upon vesting of the Units unless and until such Common Shares shall have been issued to Grantee upon vesting of the Units in accordance with this Agreement and the Plan (as evidenced by the records of the transfer agent of the Company).</w:t>
      </w:r>
    </w:p>
    <w:p>
      <w:pPr>
        <w:spacing w:after="0" w:line="179" w:lineRule="exact"/>
        <w:rPr>
          <w:rFonts w:ascii="Arial" w:cs="Arial" w:eastAsia="Arial" w:hAnsi="Arial"/>
          <w:sz w:val="19"/>
          <w:szCs w:val="19"/>
          <w:color w:val="auto"/>
        </w:rPr>
      </w:pPr>
    </w:p>
    <w:p>
      <w:pPr>
        <w:jc w:val="both"/>
        <w:ind w:firstLine="642"/>
        <w:spacing w:after="0" w:line="212" w:lineRule="auto"/>
        <w:tabs>
          <w:tab w:leader="none" w:pos="1262"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Changes in Capital Structure</w:t>
      </w:r>
      <w:r>
        <w:rPr>
          <w:rFonts w:ascii="Arial" w:cs="Arial" w:eastAsia="Arial" w:hAnsi="Arial"/>
          <w:sz w:val="19"/>
          <w:szCs w:val="19"/>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Units that have not yet vested or been exchanged for Common Shares or have not been terminated or expired, in order to prevent dilution or enlargement of Grantee’s rights under the Units. Such adjustments may include, where appropriate, changes in the number of shares of Common Shares subject to the outstanding Units. Notwithstanding the foregoing, no action that would modify the treatment of the Units under the Code shall be effective unless agreed to in writing by both parties.</w:t>
      </w:r>
    </w:p>
    <w:p>
      <w:pPr>
        <w:spacing w:after="0" w:line="178" w:lineRule="exact"/>
        <w:rPr>
          <w:rFonts w:ascii="Arial" w:cs="Arial" w:eastAsia="Arial" w:hAnsi="Arial"/>
          <w:sz w:val="19"/>
          <w:szCs w:val="19"/>
          <w:color w:val="auto"/>
        </w:rPr>
      </w:pPr>
    </w:p>
    <w:p>
      <w:pPr>
        <w:ind w:firstLine="642"/>
        <w:spacing w:after="0" w:line="237" w:lineRule="auto"/>
        <w:tabs>
          <w:tab w:leader="none" w:pos="126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Assigns and Successors</w:t>
      </w:r>
      <w:r>
        <w:rPr>
          <w:rFonts w:ascii="Arial" w:cs="Arial" w:eastAsia="Arial" w:hAnsi="Arial"/>
          <w:sz w:val="19"/>
          <w:szCs w:val="19"/>
          <w:color w:val="auto"/>
        </w:rPr>
        <w:t>. This Agreement shall inure to the benefit of the Company’s assigns and successors and its and their direct and indirect subsidiaries.</w:t>
      </w:r>
    </w:p>
    <w:p>
      <w:pPr>
        <w:spacing w:after="0" w:line="177" w:lineRule="exact"/>
        <w:rPr>
          <w:rFonts w:ascii="Arial" w:cs="Arial" w:eastAsia="Arial" w:hAnsi="Arial"/>
          <w:sz w:val="19"/>
          <w:szCs w:val="19"/>
          <w:color w:val="auto"/>
        </w:rPr>
      </w:pPr>
    </w:p>
    <w:p>
      <w:pPr>
        <w:jc w:val="both"/>
        <w:ind w:firstLine="642"/>
        <w:spacing w:after="0" w:line="231" w:lineRule="auto"/>
        <w:tabs>
          <w:tab w:leader="none" w:pos="1262"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Compliance with Law; Legal Requirements</w:t>
      </w:r>
      <w:r>
        <w:rPr>
          <w:rFonts w:ascii="Arial" w:cs="Arial" w:eastAsia="Arial" w:hAnsi="Arial"/>
          <w:sz w:val="17"/>
          <w:szCs w:val="17"/>
          <w:color w:val="auto"/>
        </w:rPr>
        <w:t>. The Company shall at all times during the term of the Units reserve and keep available such number of Common Shares as will be sufficient to satisfy the requirements of this Agreement. The vesting of the Units and the issuance of any Common Shares in exchange for the Units shall only be effective at such time that the issuance and sale of Common Shares pursuant to such vesting will not violate any federal or state securities or other laws. The Company may suspend Grantee’s or any holder’s of the Units right to vesting of the Units and the issuance of any Common Shares in exchange for the Units and shall not issue or deliver the Common Shares in exchange for the Units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vesting of the Units under the Securities Act and list the Common Shares on any securities exchange. In the absence thereof, Grantee understands that neither the Units nor the Common Shares issuable upon the vesting thereof will be registered under the Securities Act, or tradeable on any securities exchange, and Grantee represents that the Units are being acquired, and that such Common Shares that will be acquired pursuant to the Units, if any, will be acquired, by Grantee for investment and not with a view to distribution thereof. In the absence of an effective registration statement meeting the requirements of the Securities Act, upon any sale or transfer of the Common Shares issued pursuant to the Units,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vesting of the Units. Regardless of whether the offering and sale of the Common Shares have been registered under the Securities Act, or have been registered or qualified under the securities laws of any state, the Company in its sole and absolute discretion for any reason or no reason at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178" w:lineRule="exact"/>
        <w:rPr>
          <w:sz w:val="20"/>
          <w:szCs w:val="20"/>
          <w:color w:val="auto"/>
        </w:rPr>
      </w:pPr>
    </w:p>
    <w:p>
      <w:pPr>
        <w:jc w:val="both"/>
        <w:ind w:firstLine="642"/>
        <w:spacing w:after="0" w:line="226" w:lineRule="auto"/>
        <w:tabs>
          <w:tab w:leader="none" w:pos="126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Confidential Treatment of Units</w:t>
      </w:r>
      <w:r>
        <w:rPr>
          <w:rFonts w:ascii="Arial" w:cs="Arial" w:eastAsia="Arial" w:hAnsi="Arial"/>
          <w:sz w:val="19"/>
          <w:szCs w:val="19"/>
          <w:color w:val="auto"/>
        </w:rPr>
        <w:t>. Grantee agrees to treat with confidentiality the existence, terms and conditions of this Agreement and the Units except to the extent specifically disclosed by the Company pursuant to applicable law, and agrees that failure to do so may result in immediate termination of the Units.</w:t>
      </w:r>
    </w:p>
    <w:p>
      <w:pPr>
        <w:spacing w:after="0" w:line="177" w:lineRule="exact"/>
        <w:rPr>
          <w:rFonts w:ascii="Arial" w:cs="Arial" w:eastAsia="Arial" w:hAnsi="Arial"/>
          <w:sz w:val="19"/>
          <w:szCs w:val="19"/>
          <w:color w:val="auto"/>
        </w:rPr>
      </w:pPr>
    </w:p>
    <w:p>
      <w:pPr>
        <w:jc w:val="both"/>
        <w:ind w:firstLine="642"/>
        <w:spacing w:after="0" w:line="220" w:lineRule="auto"/>
        <w:tabs>
          <w:tab w:leader="none" w:pos="12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Obligations Unaffected</w:t>
      </w:r>
      <w:r>
        <w:rPr>
          <w:rFonts w:ascii="Arial" w:cs="Arial" w:eastAsia="Arial" w:hAnsi="Arial"/>
          <w:sz w:val="19"/>
          <w:szCs w:val="19"/>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179" w:lineRule="exact"/>
        <w:rPr>
          <w:rFonts w:ascii="Arial" w:cs="Arial" w:eastAsia="Arial" w:hAnsi="Arial"/>
          <w:sz w:val="19"/>
          <w:szCs w:val="19"/>
          <w:color w:val="auto"/>
        </w:rPr>
      </w:pPr>
    </w:p>
    <w:p>
      <w:pPr>
        <w:jc w:val="both"/>
        <w:ind w:firstLine="642"/>
        <w:spacing w:after="0" w:line="217" w:lineRule="auto"/>
        <w:tabs>
          <w:tab w:leader="none" w:pos="12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178" w:lineRule="exact"/>
        <w:rPr>
          <w:rFonts w:ascii="Arial" w:cs="Arial" w:eastAsia="Arial" w:hAnsi="Arial"/>
          <w:sz w:val="19"/>
          <w:szCs w:val="19"/>
          <w:color w:val="auto"/>
        </w:rPr>
      </w:pPr>
    </w:p>
    <w:p>
      <w:pPr>
        <w:jc w:val="both"/>
        <w:ind w:firstLine="642"/>
        <w:spacing w:after="0" w:line="212" w:lineRule="auto"/>
        <w:tabs>
          <w:tab w:leader="none" w:pos="127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Complete Agreement; No Waiver</w:t>
      </w:r>
      <w:r>
        <w:rPr>
          <w:rFonts w:ascii="Arial" w:cs="Arial" w:eastAsia="Arial" w:hAnsi="Arial"/>
          <w:sz w:val="19"/>
          <w:szCs w:val="19"/>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including, but not limited to, the provisions of that certain Offer Letter by and between Grantee and the Company, dated February 17, 2022 relating to the “Sign-On RSUs” (as defined therein).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8" w:lineRule="exact"/>
        <w:rPr>
          <w:rFonts w:ascii="Arial" w:cs="Arial" w:eastAsia="Arial" w:hAnsi="Arial"/>
          <w:sz w:val="19"/>
          <w:szCs w:val="19"/>
          <w:color w:val="auto"/>
        </w:rPr>
      </w:pPr>
    </w:p>
    <w:p>
      <w:pPr>
        <w:jc w:val="both"/>
        <w:ind w:firstLine="642"/>
        <w:spacing w:after="0" w:line="209" w:lineRule="auto"/>
        <w:tabs>
          <w:tab w:leader="none" w:pos="127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 then all of the Units (both vested and unvested) shall be deemed to have terminated and no Common Shares shall be issuable in connection therewith as of the date of such finding.</w:t>
      </w:r>
    </w:p>
    <w:p>
      <w:pPr>
        <w:spacing w:after="0" w:line="186" w:lineRule="exact"/>
        <w:rPr>
          <w:rFonts w:ascii="Arial" w:cs="Arial" w:eastAsia="Arial" w:hAnsi="Arial"/>
          <w:sz w:val="19"/>
          <w:szCs w:val="19"/>
          <w:color w:val="auto"/>
        </w:rPr>
      </w:pPr>
    </w:p>
    <w:p>
      <w:pPr>
        <w:jc w:val="both"/>
        <w:ind w:firstLine="642"/>
        <w:spacing w:after="0" w:line="217" w:lineRule="auto"/>
        <w:tabs>
          <w:tab w:leader="none" w:pos="12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Summary Information</w:t>
      </w:r>
      <w:r>
        <w:rPr>
          <w:rFonts w:ascii="Arial" w:cs="Arial" w:eastAsia="Arial" w:hAnsi="Arial"/>
          <w:sz w:val="19"/>
          <w:szCs w:val="19"/>
          <w:color w:val="auto"/>
        </w:rPr>
        <w:t>. In the event that the Company provides Grantee (or anyone acting on behalf of Grantee) with summary or other information concerning, including, or otherwise relating to Grantee’s rights or benefits under this Agreement (including without limitation the Units,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80" w:hanging="638"/>
        <w:spacing w:after="0"/>
        <w:tabs>
          <w:tab w:leader="none" w:pos="128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Grantee Acknowledgements.</w:t>
      </w:r>
    </w:p>
    <w:p>
      <w:pPr>
        <w:spacing w:after="0" w:line="205" w:lineRule="exact"/>
        <w:rPr>
          <w:rFonts w:ascii="Arial" w:cs="Arial" w:eastAsia="Arial" w:hAnsi="Arial"/>
          <w:sz w:val="19"/>
          <w:szCs w:val="19"/>
          <w:color w:val="auto"/>
        </w:rPr>
      </w:pPr>
    </w:p>
    <w:p>
      <w:pPr>
        <w:ind w:left="1920" w:hanging="642"/>
        <w:spacing w:after="0" w:line="237" w:lineRule="auto"/>
        <w:tabs>
          <w:tab w:leader="none" w:pos="1918" w:val="left"/>
        </w:tabs>
        <w:numPr>
          <w:ilvl w:val="1"/>
          <w:numId w:val="83"/>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is executing this Agreement voluntarily and without any duress or undue influence by the Company or anyone else.</w:t>
      </w:r>
    </w:p>
    <w:p>
      <w:pPr>
        <w:spacing w:after="0" w:line="177" w:lineRule="exact"/>
        <w:rPr>
          <w:rFonts w:ascii="Arial" w:cs="Arial" w:eastAsia="Arial" w:hAnsi="Arial"/>
          <w:sz w:val="19"/>
          <w:szCs w:val="19"/>
          <w:color w:val="auto"/>
        </w:rPr>
      </w:pPr>
    </w:p>
    <w:p>
      <w:pPr>
        <w:ind w:left="1920" w:hanging="642"/>
        <w:spacing w:after="0" w:line="261" w:lineRule="auto"/>
        <w:tabs>
          <w:tab w:leader="none" w:pos="1919" w:val="left"/>
        </w:tabs>
        <w:numPr>
          <w:ilvl w:val="1"/>
          <w:numId w:val="83"/>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has carefully read, considered and understands all of the provisions of this Agreement, the Plan and the Company’s policies reflected in this Agreement.</w:t>
      </w:r>
    </w:p>
    <w:p>
      <w:pPr>
        <w:spacing w:after="0" w:line="159" w:lineRule="exact"/>
        <w:rPr>
          <w:rFonts w:ascii="Arial" w:cs="Arial" w:eastAsia="Arial" w:hAnsi="Arial"/>
          <w:sz w:val="18"/>
          <w:szCs w:val="18"/>
          <w:color w:val="auto"/>
        </w:rPr>
      </w:pPr>
    </w:p>
    <w:p>
      <w:pPr>
        <w:jc w:val="both"/>
        <w:ind w:left="1920" w:hanging="642"/>
        <w:spacing w:after="0" w:line="220" w:lineRule="auto"/>
        <w:tabs>
          <w:tab w:leader="none" w:pos="1920" w:val="left"/>
        </w:tabs>
        <w:numPr>
          <w:ilvl w:val="1"/>
          <w:numId w:val="83"/>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has asked any questions needed for him to understand the terms, consequences and binding effect of this Agreement and the Plan and Grantee fully understands them, including, without limitation, that he is waiving the right to a trial, a trial by jury, and common law claims for punitive and/or exemplary damages.</w:t>
      </w:r>
    </w:p>
    <w:p>
      <w:pPr>
        <w:spacing w:after="0" w:line="179" w:lineRule="exact"/>
        <w:rPr>
          <w:rFonts w:ascii="Arial" w:cs="Arial" w:eastAsia="Arial" w:hAnsi="Arial"/>
          <w:sz w:val="19"/>
          <w:szCs w:val="19"/>
          <w:color w:val="auto"/>
        </w:rPr>
      </w:pPr>
    </w:p>
    <w:p>
      <w:pPr>
        <w:ind w:left="1920" w:hanging="642"/>
        <w:spacing w:after="0" w:line="237" w:lineRule="auto"/>
        <w:tabs>
          <w:tab w:leader="none" w:pos="1909" w:val="left"/>
        </w:tabs>
        <w:numPr>
          <w:ilvl w:val="1"/>
          <w:numId w:val="83"/>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was provided an opportunity to seek the advice of an attorney and/or tax professional of his choice before accepting this Agreement.</w:t>
      </w:r>
    </w:p>
    <w:p>
      <w:pPr>
        <w:spacing w:after="0" w:line="177" w:lineRule="exact"/>
        <w:rPr>
          <w:rFonts w:ascii="Arial" w:cs="Arial" w:eastAsia="Arial" w:hAnsi="Arial"/>
          <w:sz w:val="19"/>
          <w:szCs w:val="19"/>
          <w:color w:val="auto"/>
        </w:rPr>
      </w:pPr>
    </w:p>
    <w:p>
      <w:pPr>
        <w:jc w:val="both"/>
        <w:ind w:left="1920" w:hanging="642"/>
        <w:spacing w:after="0" w:line="238" w:lineRule="auto"/>
        <w:tabs>
          <w:tab w:leader="none" w:pos="19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the obligations and restrictions set forth in this Agreement are consistent with Grantee’s right to sell his labor, the public's interest in unimpeded trade, are fair and reasonable, and are no broader than are reasonably required to protect the Company’s interests.</w:t>
      </w:r>
    </w:p>
    <w:p>
      <w:pPr>
        <w:spacing w:after="0" w:line="179" w:lineRule="exact"/>
        <w:rPr>
          <w:rFonts w:ascii="Arial" w:cs="Arial" w:eastAsia="Arial" w:hAnsi="Arial"/>
          <w:sz w:val="18"/>
          <w:szCs w:val="18"/>
          <w:color w:val="auto"/>
        </w:rPr>
      </w:pPr>
    </w:p>
    <w:p>
      <w:pPr>
        <w:jc w:val="both"/>
        <w:ind w:left="1920" w:hanging="642"/>
        <w:spacing w:after="0"/>
        <w:tabs>
          <w:tab w:leader="none" w:pos="1909" w:val="left"/>
        </w:tabs>
        <w:numPr>
          <w:ilvl w:val="1"/>
          <w:numId w:val="83"/>
        </w:numPr>
        <w:rPr>
          <w:rFonts w:ascii="Arial" w:cs="Arial" w:eastAsia="Arial" w:hAnsi="Arial"/>
          <w:sz w:val="17"/>
          <w:szCs w:val="17"/>
          <w:color w:val="auto"/>
        </w:rPr>
      </w:pPr>
      <w:r>
        <w:rPr>
          <w:rFonts w:ascii="Arial" w:cs="Arial" w:eastAsia="Arial" w:hAnsi="Arial"/>
          <w:sz w:val="17"/>
          <w:szCs w:val="17"/>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non-compete and/or non-solicitation obligations set forth above. Accordingly, Grantee agrees that if 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264" w:lineRule="exact"/>
        <w:rPr>
          <w:rFonts w:ascii="Arial" w:cs="Arial" w:eastAsia="Arial" w:hAnsi="Arial"/>
          <w:sz w:val="17"/>
          <w:szCs w:val="17"/>
          <w:color w:val="auto"/>
        </w:rPr>
      </w:pPr>
    </w:p>
    <w:p>
      <w:pPr>
        <w:jc w:val="both"/>
        <w:ind w:firstLine="642"/>
        <w:spacing w:after="0" w:line="217" w:lineRule="auto"/>
        <w:tabs>
          <w:tab w:leader="none" w:pos="126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the Units and/or the Common Shares relating to the Units shall be addressed to Grantee or such other person(s) at Grantee’s address on file with the Company, or to such other address as Grantee or such person(s) may notify the Company or its administrator for the Units in writing from time to time.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43"/>
        <w:spacing w:after="0" w:line="237"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3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GRANTEE: Hamid Akhavan</w:t>
      </w:r>
    </w:p>
    <w:p>
      <w:pPr>
        <w:ind w:left="3820"/>
        <w:spacing w:after="0"/>
        <w:rPr>
          <w:sz w:val="20"/>
          <w:szCs w:val="20"/>
          <w:color w:val="auto"/>
        </w:rPr>
      </w:pPr>
      <w:r>
        <w:rPr>
          <w:rFonts w:ascii="Arial" w:cs="Arial" w:eastAsia="Arial" w:hAnsi="Arial"/>
          <w:sz w:val="19"/>
          <w:szCs w:val="19"/>
          <w:color w:val="auto"/>
        </w:rPr>
        <w:t>Accepted on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217" w:lineRule="exact"/>
        <w:rPr>
          <w:sz w:val="20"/>
          <w:szCs w:val="20"/>
          <w:color w:val="auto"/>
        </w:rPr>
      </w:pPr>
    </w:p>
    <w:p>
      <w:pPr>
        <w:ind w:left="340" w:hanging="33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2022</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7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17" w:lineRule="exact"/>
        <w:rPr>
          <w:sz w:val="20"/>
          <w:szCs w:val="20"/>
          <w:color w:val="auto"/>
        </w:rPr>
      </w:pPr>
    </w:p>
    <w:p>
      <w:pPr>
        <w:ind w:left="340" w:hanging="33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48" w:lineRule="auto"/>
        <w:tabs>
          <w:tab w:leader="none" w:pos="42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3"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firstLine="6"/>
        <w:spacing w:after="0" w:line="248" w:lineRule="auto"/>
        <w:tabs>
          <w:tab w:leader="none" w:pos="4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2022</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J. Rayner</w:t>
            </w:r>
          </w:p>
        </w:tc>
      </w:tr>
      <w:tr>
        <w:trPr>
          <w:trHeight w:val="219"/>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84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line="186"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2"/>
        </w:trPr>
        <w:tc>
          <w:tcPr>
            <w:tcW w:w="84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25"/>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7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for the quarter ended March 31, 2022 on Form 10-Q (the “Report”), of EchoStar Corporation (the “Company”) as filed with the Securities and Exchange Commission on the date hereof, we, Hamid Akhavan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8" w:lineRule="exact"/>
        <w:rPr>
          <w:sz w:val="20"/>
          <w:szCs w:val="20"/>
          <w:color w:val="auto"/>
        </w:rPr>
      </w:pPr>
    </w:p>
    <w:p>
      <w:pPr>
        <w:ind w:left="640" w:hanging="316"/>
        <w:spacing w:after="0" w:line="251" w:lineRule="auto"/>
        <w:tabs>
          <w:tab w:leader="none" w:pos="7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203" w:lineRule="exact"/>
        <w:rPr>
          <w:rFonts w:ascii="Arial" w:cs="Arial" w:eastAsia="Arial" w:hAnsi="Arial"/>
          <w:sz w:val="18"/>
          <w:szCs w:val="18"/>
          <w:color w:val="auto"/>
        </w:rPr>
      </w:pPr>
    </w:p>
    <w:p>
      <w:pPr>
        <w:ind w:left="640" w:hanging="316"/>
        <w:spacing w:after="0" w:line="251" w:lineRule="auto"/>
        <w:tabs>
          <w:tab w:leader="none" w:pos="7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2022</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29"/>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6"/>
        </w:trPr>
        <w:tc>
          <w:tcPr>
            <w:tcW w:w="960" w:type="dxa"/>
            <w:vAlign w:val="bottom"/>
          </w:tcPr>
          <w:p>
            <w:pPr>
              <w:spacing w:after="0" w:line="186" w:lineRule="exact"/>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line="186" w:lineRule="exact"/>
              <w:rPr>
                <w:sz w:val="20"/>
                <w:szCs w:val="20"/>
                <w:color w:val="auto"/>
              </w:rPr>
            </w:pPr>
            <w:r>
              <w:rPr>
                <w:rFonts w:ascii="Arial" w:cs="Arial" w:eastAsia="Arial" w:hAnsi="Arial"/>
                <w:sz w:val="18"/>
                <w:szCs w:val="18"/>
                <w:color w:val="auto"/>
                <w:w w:val="98"/>
              </w:rPr>
              <w:t>Executive Vice President, Chief Financial Officer, Chief Operating</w:t>
            </w:r>
          </w:p>
        </w:tc>
      </w:tr>
      <w:tr>
        <w:trPr>
          <w:trHeight w:val="207"/>
        </w:trPr>
        <w:tc>
          <w:tcPr>
            <w:tcW w:w="9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2"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Months Ended March 31, 2022</w:t>
      </w: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Englewood, CO, May 5, 2022—</w:t>
      </w:r>
      <w:r>
        <w:rPr>
          <w:rFonts w:ascii="Arial" w:cs="Arial" w:eastAsia="Arial" w:hAnsi="Arial"/>
          <w:sz w:val="18"/>
          <w:szCs w:val="18"/>
          <w:color w:val="auto"/>
        </w:rPr>
        <w:t>EchoStar Corporation (NASDAQ: SATS) today announced its financial results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Financial Highlights:</w:t>
      </w:r>
    </w:p>
    <w:p>
      <w:pPr>
        <w:spacing w:after="0" w:line="266" w:lineRule="exact"/>
        <w:rPr>
          <w:sz w:val="20"/>
          <w:szCs w:val="20"/>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revenue of $501.5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income of $88.9 million, consolidated net income attributable to EchoStar common stock of $91.4 million, and basic and diluted earnings per share of common stock of $1.07 and $1.06, respectively.</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Adjusted EBITDA of $165.9 million (see discussion and the reconciliation of GAAP to this non-GAAP measure below).</w:t>
      </w:r>
    </w:p>
    <w:p>
      <w:pPr>
        <w:spacing w:after="0" w:line="2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EchoStar team turned in a solid performance in the first quarter of this year, continuing a consistent track record of fiscal responsibility,” said Hamid Akhavan, CEO and President of EchoStar. “As we take stock of our strengths and begin to chart a new course for growth, I could not ask for a more talented, technologically astute organization to capture the great opportunities presented by the rapid changes in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 Additional Information:</w:t>
      </w:r>
    </w:p>
    <w:p>
      <w:pPr>
        <w:spacing w:after="0" w:line="266" w:lineRule="exact"/>
        <w:rPr>
          <w:sz w:val="20"/>
          <w:szCs w:val="20"/>
          <w:color w:val="auto"/>
        </w:rPr>
      </w:pPr>
    </w:p>
    <w:p>
      <w:pPr>
        <w:jc w:val="both"/>
        <w:ind w:left="640" w:hanging="316"/>
        <w:spacing w:after="0" w:line="248"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Consolidated revenue increased 3.9% or $19.0 million year over year primarily driven by higher equipment sales of $30.5 million to our domestic and international enterprise customers, partially offset by lower service revenues of $11.5 million primarily due to lower broadband consumer customers.</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Adjusted EBITDA decreased 10.7% or $19.9 million year over year.</w:t>
      </w:r>
    </w:p>
    <w:p>
      <w:pPr>
        <w:spacing w:after="0" w:line="124" w:lineRule="exact"/>
        <w:rPr>
          <w:rFonts w:ascii="Arial" w:cs="Arial" w:eastAsia="Arial" w:hAnsi="Arial"/>
          <w:sz w:val="18"/>
          <w:szCs w:val="18"/>
          <w:color w:val="auto"/>
        </w:rPr>
      </w:pPr>
    </w:p>
    <w:p>
      <w:pPr>
        <w:jc w:val="both"/>
        <w:ind w:left="1280" w:hanging="320"/>
        <w:spacing w:after="0" w:line="248" w:lineRule="auto"/>
        <w:tabs>
          <w:tab w:leader="none" w:pos="12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Hughes segment Adjusted EBITDA decreased $17.7 million year over year. The decrease was driven primarily by lower gross margin due to a change in revenue mix as well as a non-recurring decrease in regulatory fees of $4.5 million and bad debt recoveries that occurred in the first quarter of 2021.</w:t>
      </w:r>
    </w:p>
    <w:p>
      <w:pPr>
        <w:spacing w:after="0" w:line="126" w:lineRule="exact"/>
        <w:rPr>
          <w:rFonts w:ascii="Arial" w:cs="Arial" w:eastAsia="Arial" w:hAnsi="Arial"/>
          <w:sz w:val="18"/>
          <w:szCs w:val="18"/>
          <w:color w:val="auto"/>
        </w:rPr>
      </w:pPr>
    </w:p>
    <w:p>
      <w:pPr>
        <w:ind w:left="1280" w:hanging="320"/>
        <w:spacing w:after="0"/>
        <w:tabs>
          <w:tab w:leader="none" w:pos="12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ESS segment Adjusted EBITDA increased $0.8 million year over year.</w:t>
      </w:r>
    </w:p>
    <w:p>
      <w:pPr>
        <w:spacing w:after="0" w:line="124" w:lineRule="exact"/>
        <w:rPr>
          <w:rFonts w:ascii="Arial" w:cs="Arial" w:eastAsia="Arial" w:hAnsi="Arial"/>
          <w:sz w:val="18"/>
          <w:szCs w:val="18"/>
          <w:color w:val="auto"/>
        </w:rPr>
      </w:pPr>
    </w:p>
    <w:p>
      <w:pPr>
        <w:ind w:left="1280" w:hanging="320"/>
        <w:spacing w:after="0" w:line="251"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$3.0 million year over year. The decrease was primarily due to lower earnings of unconsolidated affiliates, net.</w:t>
      </w:r>
    </w:p>
    <w:p>
      <w:pPr>
        <w:spacing w:after="0" w:line="11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income increased $11.4 million year over year. The increase was primarily due to lower net interest expense of $20.2 million and favorable gains on foreign exchange of $10.5 million. These items were partially offset by higher income tax expense of $10.6 million, lower operating income of 8.4 million, and an unfavorable change in equity earnings in unconsolidated affiliates, net, of $3.1 million.</w:t>
      </w:r>
    </w:p>
    <w:p>
      <w:pPr>
        <w:spacing w:after="0" w:line="126"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1,406,000, declining 56,000 from December 31, 2021. The decrease primarily reflects a balancing of capacity utilization with subscriber levels in areas of high bandwidth demand. In Latin America, subscriber levels were also impacted by adverse economic conditions, more selective customer screening, and capacity allocation to community WiFi and enterprise opportunities.</w:t>
      </w:r>
    </w:p>
    <w:p>
      <w:pPr>
        <w:spacing w:after="0" w:line="11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three months ended March 31, 2022, approximately 64% of Hughes segment revenue was attributable to our consumer customers with approximately 36% attributable to our enterprise customers.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$1.5 billion as of March 31, 2022.</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During the three months ended March 31, 2022, we purchased 1,462,094 shares of our Class A common stock in open market trades.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 w:right="339" w:bottom="1440" w:gutter="0" w:footer="0" w:header="0"/>
        </w:sectPr>
      </w:pPr>
    </w:p>
    <w:bookmarkStart w:id="103" w:name="page104"/>
    <w:bookmarkEnd w:id="103"/>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Jupiter 3 / EchoStar XXIV satellite is expected to be launched in the first quarter of 2023.</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Set forth below is a table highlighting certain of EchoStar’s segment results for the three months ended March 31, 2022 and 2021 (amounts in thousands) (all US GAAP amounts reference results from operations):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9"/>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6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Hughes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494,106</w:t>
            </w:r>
          </w:p>
        </w:tc>
        <w:tc>
          <w:tcPr>
            <w:tcW w:w="120" w:type="dxa"/>
            <w:vAlign w:val="bottom"/>
          </w:tcPr>
          <w:p>
            <w:pPr>
              <w:spacing w:after="0"/>
              <w:rPr>
                <w:sz w:val="24"/>
                <w:szCs w:val="24"/>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475,859</w:t>
            </w:r>
          </w:p>
        </w:tc>
        <w:tc>
          <w:tcPr>
            <w:tcW w:w="0" w:type="dxa"/>
            <w:vAlign w:val="bottom"/>
          </w:tcPr>
          <w:p>
            <w:pPr>
              <w:spacing w:after="0"/>
              <w:rPr>
                <w:sz w:val="1"/>
                <w:szCs w:val="1"/>
                <w:color w:val="auto"/>
              </w:rPr>
            </w:pPr>
          </w:p>
        </w:tc>
      </w:tr>
      <w:tr>
        <w:trPr>
          <w:trHeight w:val="26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EchoStar Satellite Services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6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Corporate and Other</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9"/>
        </w:trPr>
        <w:tc>
          <w:tcPr>
            <w:tcW w:w="7320" w:type="dxa"/>
            <w:vAlign w:val="bottom"/>
          </w:tcPr>
          <w:p>
            <w:pPr>
              <w:ind w:left="840"/>
              <w:spacing w:after="0" w:line="205" w:lineRule="exact"/>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501,534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Hughes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184,287</w:t>
            </w:r>
          </w:p>
        </w:tc>
        <w:tc>
          <w:tcPr>
            <w:tcW w:w="120" w:type="dxa"/>
            <w:vAlign w:val="bottom"/>
          </w:tcPr>
          <w:p>
            <w:pPr>
              <w:spacing w:after="0"/>
              <w:rPr>
                <w:sz w:val="24"/>
                <w:szCs w:val="24"/>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201,937</w:t>
            </w:r>
          </w:p>
        </w:tc>
        <w:tc>
          <w:tcPr>
            <w:tcW w:w="0" w:type="dxa"/>
            <w:vAlign w:val="bottom"/>
          </w:tcPr>
          <w:p>
            <w:pPr>
              <w:spacing w:after="0"/>
              <w:rPr>
                <w:sz w:val="1"/>
                <w:szCs w:val="1"/>
                <w:color w:val="auto"/>
              </w:rPr>
            </w:pPr>
          </w:p>
        </w:tc>
      </w:tr>
      <w:tr>
        <w:trPr>
          <w:trHeight w:val="26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EchoStar Satellite Services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25"/>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Corporate &amp; Other:</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Corporate overhead, operating and other</w:t>
            </w:r>
          </w:p>
        </w:tc>
        <w:tc>
          <w:tcPr>
            <w:tcW w:w="1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(21,191)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66"/>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Equity in earnings (losses) of unconsolidated affiliates,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45"/>
        </w:trPr>
        <w:tc>
          <w:tcPr>
            <w:tcW w:w="7320" w:type="dxa"/>
            <w:vAlign w:val="bottom"/>
          </w:tcPr>
          <w:p>
            <w:pPr>
              <w:ind w:left="640"/>
              <w:spacing w:after="0" w:line="205" w:lineRule="exact"/>
              <w:rPr>
                <w:sz w:val="20"/>
                <w:szCs w:val="20"/>
                <w:color w:val="auto"/>
              </w:rPr>
            </w:pPr>
            <w:r>
              <w:rPr>
                <w:rFonts w:ascii="Arial" w:cs="Arial" w:eastAsia="Arial" w:hAnsi="Arial"/>
                <w:sz w:val="18"/>
                <w:szCs w:val="18"/>
                <w:color w:val="auto"/>
              </w:rPr>
              <w:t>Total Corporate &amp; Other</w:t>
            </w: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(21,089)</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18"/>
        </w:trPr>
        <w:tc>
          <w:tcPr>
            <w:tcW w:w="7320" w:type="dxa"/>
            <w:vAlign w:val="bottom"/>
          </w:tcPr>
          <w:p>
            <w:pPr>
              <w:ind w:left="840"/>
              <w:spacing w:after="0" w:line="205" w:lineRule="exact"/>
              <w:rPr>
                <w:sz w:val="20"/>
                <w:szCs w:val="20"/>
                <w:color w:val="auto"/>
              </w:rPr>
            </w:pPr>
            <w:r>
              <w:rPr>
                <w:rFonts w:ascii="Arial" w:cs="Arial" w:eastAsia="Arial" w:hAnsi="Arial"/>
                <w:sz w:val="18"/>
                <w:szCs w:val="18"/>
                <w:color w:val="auto"/>
              </w:rPr>
              <w:t>Total Adjusted EBITDA</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165,889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88,945</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40" w:type="dxa"/>
            <w:vAlign w:val="bottom"/>
            <w:gridSpan w:val="2"/>
            <w:vMerge w:val="continue"/>
          </w:tcPr>
          <w:p>
            <w:pPr>
              <w:spacing w:after="0"/>
              <w:rPr>
                <w:sz w:val="18"/>
                <w:szCs w:val="18"/>
                <w:color w:val="auto"/>
              </w:rPr>
            </w:pP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112,138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9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20"/>
                <w:szCs w:val="20"/>
                <w:color w:val="auto"/>
              </w:rPr>
            </w:pPr>
            <w:r>
              <w:rPr>
                <w:rFonts w:ascii="Arial" w:cs="Arial" w:eastAsia="Arial" w:hAnsi="Arial"/>
                <w:sz w:val="18"/>
                <w:szCs w:val="18"/>
                <w:color w:val="auto"/>
              </w:rPr>
              <w:t>Reconciliation of GAAP to Non-GAAP Measurement (amounts in thousands):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45"/>
        </w:trPr>
        <w:tc>
          <w:tcPr>
            <w:tcW w:w="7460" w:type="dxa"/>
            <w:vAlign w:val="bottom"/>
          </w:tcPr>
          <w:p>
            <w:pPr>
              <w:spacing w:after="0"/>
              <w:rPr>
                <w:sz w:val="24"/>
                <w:szCs w:val="24"/>
                <w:color w:val="auto"/>
              </w:rPr>
            </w:pPr>
          </w:p>
        </w:tc>
        <w:tc>
          <w:tcPr>
            <w:tcW w:w="378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9"/>
        </w:trPr>
        <w:tc>
          <w:tcPr>
            <w:tcW w:w="74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r>
      <w:tr>
        <w:trPr>
          <w:trHeight w:val="469"/>
        </w:trPr>
        <w:tc>
          <w:tcPr>
            <w:tcW w:w="7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88,945</w:t>
            </w:r>
          </w:p>
        </w:tc>
        <w:tc>
          <w:tcPr>
            <w:tcW w:w="120" w:type="dxa"/>
            <w:vAlign w:val="bottom"/>
          </w:tcPr>
          <w:p>
            <w:pPr>
              <w:spacing w:after="0"/>
              <w:rPr>
                <w:sz w:val="24"/>
                <w:szCs w:val="24"/>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77,572</w:t>
            </w:r>
          </w:p>
        </w:tc>
      </w:tr>
      <w:tr>
        <w:trPr>
          <w:trHeight w:val="225"/>
        </w:trPr>
        <w:tc>
          <w:tcPr>
            <w:tcW w:w="74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(5,949)</w:t>
            </w:r>
          </w:p>
        </w:tc>
      </w:tr>
      <w:tr>
        <w:trPr>
          <w:trHeight w:val="225"/>
        </w:trPr>
        <w:tc>
          <w:tcPr>
            <w:tcW w:w="746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34,667</w:t>
            </w:r>
          </w:p>
        </w:tc>
      </w:tr>
      <w:tr>
        <w:trPr>
          <w:trHeight w:val="225"/>
        </w:trPr>
        <w:tc>
          <w:tcPr>
            <w:tcW w:w="746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22,147</w:t>
            </w:r>
          </w:p>
        </w:tc>
      </w:tr>
      <w:tr>
        <w:trPr>
          <w:trHeight w:val="225"/>
        </w:trPr>
        <w:tc>
          <w:tcPr>
            <w:tcW w:w="74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120,436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129,286</w:t>
            </w:r>
          </w:p>
        </w:tc>
      </w:tr>
      <w:tr>
        <w:trPr>
          <w:trHeight w:val="225"/>
        </w:trPr>
        <w:tc>
          <w:tcPr>
            <w:tcW w:w="7460" w:type="dxa"/>
            <w:vAlign w:val="bottom"/>
          </w:tcPr>
          <w:p>
            <w:pPr>
              <w:ind w:left="280"/>
              <w:spacing w:after="0"/>
              <w:rPr>
                <w:sz w:val="20"/>
                <w:szCs w:val="20"/>
                <w:color w:val="auto"/>
              </w:rPr>
            </w:pPr>
            <w:r>
              <w:rPr>
                <w:rFonts w:ascii="Arial" w:cs="Arial" w:eastAsia="Arial" w:hAnsi="Arial"/>
                <w:sz w:val="18"/>
                <w:szCs w:val="18"/>
                <w:color w:val="auto"/>
              </w:rPr>
              <w:t>Net loss (income) attributable to non-controlling interests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45"/>
        </w:trPr>
        <w:tc>
          <w:tcPr>
            <w:tcW w:w="7460" w:type="dxa"/>
            <w:vAlign w:val="bottom"/>
          </w:tcPr>
          <w:p>
            <w:pPr>
              <w:ind w:left="460"/>
              <w:spacing w:after="0" w:line="205" w:lineRule="exact"/>
              <w:rPr>
                <w:sz w:val="20"/>
                <w:szCs w:val="20"/>
                <w:color w:val="auto"/>
              </w:rPr>
            </w:pPr>
            <w:r>
              <w:rPr>
                <w:rFonts w:ascii="Arial" w:cs="Arial" w:eastAsia="Arial" w:hAnsi="Arial"/>
                <w:sz w:val="18"/>
                <w:szCs w:val="18"/>
                <w:color w:val="auto"/>
              </w:rPr>
              <w:t>EBITDA</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253,202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258,670</w:t>
            </w:r>
          </w:p>
        </w:tc>
      </w:tr>
      <w:tr>
        <w:trPr>
          <w:trHeight w:val="265"/>
        </w:trPr>
        <w:tc>
          <w:tcPr>
            <w:tcW w:w="746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(80,686)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(78,600)</w:t>
            </w: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Impairment of long-lived assets</w:t>
            </w:r>
          </w:p>
        </w:tc>
        <w:tc>
          <w:tcPr>
            <w:tcW w:w="1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65"/>
        </w:trPr>
        <w:tc>
          <w:tcPr>
            <w:tcW w:w="746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Loss on Debt Repurchase</w:t>
            </w:r>
          </w:p>
        </w:tc>
        <w:tc>
          <w:tcPr>
            <w:tcW w:w="1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65"/>
        </w:trPr>
        <w:tc>
          <w:tcPr>
            <w:tcW w:w="746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r>
      <w:tr>
        <w:trPr>
          <w:trHeight w:val="219"/>
        </w:trPr>
        <w:tc>
          <w:tcPr>
            <w:tcW w:w="7460" w:type="dxa"/>
            <w:vAlign w:val="bottom"/>
          </w:tcPr>
          <w:p>
            <w:pPr>
              <w:ind w:left="660"/>
              <w:spacing w:after="0" w:line="205" w:lineRule="exact"/>
              <w:rPr>
                <w:sz w:val="20"/>
                <w:szCs w:val="20"/>
                <w:color w:val="auto"/>
              </w:rPr>
            </w:pPr>
            <w:r>
              <w:rPr>
                <w:rFonts w:ascii="Arial" w:cs="Arial" w:eastAsia="Arial" w:hAnsi="Arial"/>
                <w:sz w:val="18"/>
                <w:szCs w:val="18"/>
                <w:color w:val="auto"/>
              </w:rPr>
              <w:t>Adjusted EBITDA</w:t>
            </w: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165,889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185,741</w:t>
            </w:r>
          </w:p>
        </w:tc>
      </w:tr>
      <w:tr>
        <w:trPr>
          <w:trHeight w:val="20"/>
        </w:trPr>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of EchoStar for the periods ended March 31, 2022 and 2021 are attached to this press release. Detailed financial data and other information are available in EchoStar’s Quarterly Report on Form 10-Q for the period ended March 31, 2022 filed today with the Securities and Exchange Commission.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will host a conference call to discuss its earnings on Thursday, May 5, 2022 at 11:00 a.m. Eastern Time. The conference call will be broadcast live in listen-only mode on EchoStar’s investor relations website at ir.echostar.com. To ask a question, the dial in numbers are (833) 562-0124 (toll-free) and (661) 567-1102 (international), Conference ID 6271168.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EchoStar Corporation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9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6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2021 as filed with the Securities and Exchange Commission and in the other documents EchoStar files with the Securities and Exchange Commission from time to time.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73" w:right="339" w:bottom="1440" w:gutter="0" w:footer="0" w:header="0"/>
        </w:sectPr>
      </w:pPr>
    </w:p>
    <w:p>
      <w:pPr>
        <w:spacing w:after="0" w:line="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420"/>
        <w:spacing w:after="0"/>
        <w:rPr>
          <w:sz w:val="20"/>
          <w:szCs w:val="20"/>
          <w:color w:val="auto"/>
        </w:rPr>
      </w:pPr>
      <w:r>
        <w:rPr>
          <w:rFonts w:ascii="Arial" w:cs="Arial" w:eastAsia="Arial" w:hAnsi="Arial"/>
          <w:sz w:val="17"/>
          <w:szCs w:val="17"/>
          <w:b w:val="1"/>
          <w:bCs w:val="1"/>
          <w:color w:val="auto"/>
        </w:rPr>
        <w:t>EchoStar Media Relations</w:t>
      </w:r>
    </w:p>
    <w:p>
      <w:pPr>
        <w:spacing w:after="0" w:line="97"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199"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199"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73" w:right="339" w:bottom="1440" w:gutter="0" w:footer="0" w:header="0"/>
          <w:type w:val="continuous"/>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421"/>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6"/>
        </w:trPr>
        <w:tc>
          <w:tcPr>
            <w:tcW w:w="7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7"/>
                <w:szCs w:val="17"/>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889,199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535,894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634,593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1,010,496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199,306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182,063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209,905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198,444</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1,933,003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1,926,897</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2,376,143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2,338,285</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149,198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535,394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511,086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470,329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469,766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297,747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335,794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338,241</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4,236,750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4,118,307</w:t>
            </w:r>
          </w:p>
        </w:tc>
        <w:tc>
          <w:tcPr>
            <w:tcW w:w="0" w:type="dxa"/>
            <w:vAlign w:val="bottom"/>
          </w:tcPr>
          <w:p>
            <w:pPr>
              <w:spacing w:after="0"/>
              <w:rPr>
                <w:sz w:val="1"/>
                <w:szCs w:val="1"/>
                <w:color w:val="auto"/>
              </w:rPr>
            </w:pPr>
          </w:p>
        </w:tc>
      </w:tr>
      <w:tr>
        <w:trPr>
          <w:trHeight w:val="205"/>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6,169,753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0" w:type="dxa"/>
            <w:vAlign w:val="bottom"/>
          </w:tcPr>
          <w:p>
            <w:pPr>
              <w:spacing w:after="0"/>
              <w:rPr>
                <w:sz w:val="1"/>
                <w:szCs w:val="1"/>
                <w:color w:val="auto"/>
              </w:rPr>
            </w:pPr>
          </w:p>
        </w:tc>
      </w:tr>
      <w:tr>
        <w:trPr>
          <w:trHeight w:val="25"/>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109,390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109,338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141,343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176,083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423,674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460,123</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1,496,185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1,495,994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403,684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134,897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136,426</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2,188,166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2,171,001</w:t>
            </w:r>
          </w:p>
        </w:tc>
        <w:tc>
          <w:tcPr>
            <w:tcW w:w="0" w:type="dxa"/>
            <w:vAlign w:val="bottom"/>
          </w:tcPr>
          <w:p>
            <w:pPr>
              <w:spacing w:after="0"/>
              <w:rPr>
                <w:sz w:val="1"/>
                <w:szCs w:val="1"/>
                <w:color w:val="auto"/>
              </w:rPr>
            </w:pPr>
          </w:p>
        </w:tc>
      </w:tr>
      <w:tr>
        <w:trPr>
          <w:trHeight w:val="208"/>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2,611,840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2,631,124</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220"/>
          </w:cols>
          <w:pgMar w:left="340" w:top="6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40" w:top="673" w:right="339" w:bottom="1440" w:gutter="0" w:footer="0" w:header="0"/>
          <w:type w:val="continuous"/>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9"/>
        </w:trPr>
        <w:tc>
          <w:tcPr>
            <w:tcW w:w="7440" w:type="dxa"/>
            <w:vAlign w:val="bottom"/>
          </w:tcPr>
          <w:p>
            <w:pPr>
              <w:ind w:left="200"/>
              <w:spacing w:after="0" w:line="179" w:lineRule="exact"/>
              <w:rPr>
                <w:sz w:val="20"/>
                <w:szCs w:val="20"/>
                <w:color w:val="auto"/>
              </w:rPr>
            </w:pPr>
            <w:r>
              <w:rPr>
                <w:rFonts w:ascii="Arial" w:cs="Arial" w:eastAsia="Arial" w:hAnsi="Arial"/>
                <w:sz w:val="16"/>
                <w:szCs w:val="16"/>
                <w:color w:val="auto"/>
              </w:rPr>
              <w:t>Preferred stock, $0.001 par value, 20,000,000 shares authorized, none issued and outstanding at</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7"/>
        </w:trPr>
        <w:tc>
          <w:tcPr>
            <w:tcW w:w="7440" w:type="dxa"/>
            <w:vAlign w:val="bottom"/>
          </w:tcPr>
          <w:p>
            <w:pPr>
              <w:ind w:left="200"/>
              <w:spacing w:after="0"/>
              <w:rPr>
                <w:sz w:val="20"/>
                <w:szCs w:val="20"/>
                <w:color w:val="auto"/>
              </w:rPr>
            </w:pPr>
            <w:r>
              <w:rPr>
                <w:rFonts w:ascii="Arial" w:cs="Arial" w:eastAsia="Arial" w:hAnsi="Arial"/>
                <w:sz w:val="16"/>
                <w:szCs w:val="16"/>
                <w:color w:val="auto"/>
              </w:rPr>
              <w:t>both March 31,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75"/>
        </w:trPr>
        <w:tc>
          <w:tcPr>
            <w:tcW w:w="7440" w:type="dxa"/>
            <w:vAlign w:val="bottom"/>
          </w:tcPr>
          <w:p>
            <w:pPr>
              <w:ind w:left="440"/>
              <w:spacing w:after="0" w:line="175" w:lineRule="exact"/>
              <w:rPr>
                <w:sz w:val="20"/>
                <w:szCs w:val="20"/>
                <w:color w:val="auto"/>
              </w:rPr>
            </w:pPr>
            <w:r>
              <w:rPr>
                <w:rFonts w:ascii="Arial" w:cs="Arial" w:eastAsia="Arial" w:hAnsi="Arial"/>
                <w:sz w:val="16"/>
                <w:szCs w:val="16"/>
                <w:color w:val="auto"/>
              </w:rPr>
              <w:t>Class A common stock, $0.001 par value, 1,600,000,000 shares authorized, 58,441,449 shares</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9"/>
        </w:trPr>
        <w:tc>
          <w:tcPr>
            <w:tcW w:w="7440" w:type="dxa"/>
            <w:vAlign w:val="bottom"/>
          </w:tcPr>
          <w:p>
            <w:pPr>
              <w:ind w:left="440"/>
              <w:spacing w:after="0" w:line="159" w:lineRule="exact"/>
              <w:rPr>
                <w:sz w:val="20"/>
                <w:szCs w:val="20"/>
                <w:color w:val="auto"/>
              </w:rPr>
            </w:pPr>
            <w:r>
              <w:rPr>
                <w:rFonts w:ascii="Arial" w:cs="Arial" w:eastAsia="Arial" w:hAnsi="Arial"/>
                <w:sz w:val="16"/>
                <w:szCs w:val="16"/>
                <w:color w:val="auto"/>
              </w:rPr>
              <w:t>issued and 37,646,656 shares outstanding at March 31, 2022 and 58,059,622 shares issued and</w:t>
            </w: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38,726,923 shares outstanding at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shares issued and outstanding at both March 31, 2022 and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C convertible common stock, $0.001 par value, 800,000,000 shares authorized, none</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issued and outstanding at both March 31,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D common stock, $0.001 par value, 800,000,000 shares authorized, none issued and</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outstanding at both March 31,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3,343,056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3,345,878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(173,280)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(212,102)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747,899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656,466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(471,582)</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(436,521)</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5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3,446,199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3,353,827</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111,714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60,253</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3,557,913</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3,414,080</w:t>
            </w:r>
          </w:p>
        </w:tc>
      </w:tr>
      <w:tr>
        <w:trPr>
          <w:trHeight w:val="208"/>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6,169,753</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r>
      <w:tr>
        <w:trPr>
          <w:trHeight w:val="22"/>
        </w:trPr>
        <w:tc>
          <w:tcPr>
            <w:tcW w:w="7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73" w:right="3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9"/>
        </w:trPr>
        <w:tc>
          <w:tcPr>
            <w:tcW w:w="74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4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52"/>
        </w:trPr>
        <w:tc>
          <w:tcPr>
            <w:tcW w:w="74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160" w:type="dxa"/>
            <w:vAlign w:val="bottom"/>
          </w:tcPr>
          <w:p>
            <w:pPr>
              <w:jc w:val="right"/>
              <w:ind w:right="958"/>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418,811</w:t>
            </w:r>
          </w:p>
        </w:tc>
        <w:tc>
          <w:tcPr>
            <w:tcW w:w="12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430,337</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82,723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52,245</w:t>
            </w:r>
          </w:p>
        </w:tc>
        <w:tc>
          <w:tcPr>
            <w:tcW w:w="0" w:type="dxa"/>
            <w:vAlign w:val="bottom"/>
          </w:tcPr>
          <w:p>
            <w:pPr>
              <w:spacing w:after="0"/>
              <w:rPr>
                <w:sz w:val="1"/>
                <w:szCs w:val="1"/>
                <w:color w:val="auto"/>
              </w:rPr>
            </w:pP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501,534</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482,582</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141,129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132,789</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69,114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45,151</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118,170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114,119</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7,617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7,545</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120,436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129,286</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1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456,466</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429,120</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45,068</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53,462</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6,422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(34,667)</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80,686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78,600</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6,394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76,659</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46,257</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1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121,727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99,719</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(22,147)</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Net income (loss)</w:t>
            </w:r>
          </w:p>
        </w:tc>
        <w:tc>
          <w:tcPr>
            <w:tcW w:w="116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88,945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77,572</w:t>
            </w: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160" w:type="dxa"/>
            <w:vAlign w:val="bottom"/>
            <w:tcBorders>
              <w:bottom w:val="single" w:sz="8" w:color="auto"/>
            </w:tcBorders>
          </w:tcPr>
          <w:p>
            <w:pPr>
              <w:jc w:val="right"/>
              <w:ind w:right="95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91,433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78,519</w:t>
            </w:r>
          </w:p>
        </w:tc>
        <w:tc>
          <w:tcPr>
            <w:tcW w:w="0" w:type="dxa"/>
            <w:vAlign w:val="bottom"/>
          </w:tcPr>
          <w:p>
            <w:pPr>
              <w:spacing w:after="0"/>
              <w:rPr>
                <w:sz w:val="1"/>
                <w:szCs w:val="1"/>
                <w:color w:val="auto"/>
              </w:rPr>
            </w:pPr>
          </w:p>
        </w:tc>
      </w:tr>
      <w:tr>
        <w:trPr>
          <w:trHeight w:val="25"/>
        </w:trPr>
        <w:tc>
          <w:tcPr>
            <w:tcW w:w="744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7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Basic</w:t>
            </w:r>
          </w:p>
        </w:tc>
        <w:tc>
          <w:tcPr>
            <w:tcW w:w="1160" w:type="dxa"/>
            <w:vAlign w:val="bottom"/>
            <w:tcBorders>
              <w:bottom w:val="single" w:sz="8" w:color="auto"/>
            </w:tcBorders>
          </w:tcPr>
          <w:p>
            <w:pPr>
              <w:jc w:val="right"/>
              <w:ind w:right="95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5"/>
        </w:trPr>
        <w:tc>
          <w:tcPr>
            <w:tcW w:w="744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5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73" w:right="3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2021</w:t>
            </w:r>
          </w:p>
        </w:tc>
      </w:tr>
      <w:tr>
        <w:trPr>
          <w:trHeight w:val="386"/>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88,945</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77,572</w:t>
            </w:r>
          </w:p>
        </w:tc>
      </w:tr>
      <w:tr>
        <w:trPr>
          <w:trHeight w:val="164"/>
        </w:trPr>
        <w:tc>
          <w:tcPr>
            <w:tcW w:w="7440" w:type="dxa"/>
            <w:vAlign w:val="bottom"/>
          </w:tcPr>
          <w:p>
            <w:pPr>
              <w:ind w:left="200"/>
              <w:spacing w:after="0" w:line="164"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7"/>
        </w:trPr>
        <w:tc>
          <w:tcPr>
            <w:tcW w:w="74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120,436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129,286</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Losses (gains) on investments,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(80,686)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(78,600)</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(1,374)</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4,069</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Deferred tax provision (benefit), net</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25,538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18,370</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11,551</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receivable and contract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(6,090)</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Other current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payable</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7,046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(18,375)</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Contract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7,938</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(27,033)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(27,447)</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Non-current assets and non-current liabilities, net</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104,353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116,887</w:t>
            </w:r>
          </w:p>
        </w:tc>
      </w:tr>
      <w:tr>
        <w:trPr>
          <w:trHeight w:val="44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(88,578)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(389,071)</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492,812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1,361,632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(112,138)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(179,235)</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(7,846)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India JV formation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279,111</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736,980</w:t>
            </w:r>
          </w:p>
        </w:tc>
      </w:tr>
      <w:tr>
        <w:trPr>
          <w:trHeight w:val="40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Repurchase and maturity of the 2021 Senior Unsecured Notes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(62,588)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(107,862)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08"/>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(32,469)</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(164,289)</w:t>
            </w:r>
          </w:p>
        </w:tc>
      </w:tr>
      <w:tr>
        <w:trPr>
          <w:trHeight w:val="404"/>
        </w:trPr>
        <w:tc>
          <w:tcPr>
            <w:tcW w:w="744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3,480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354,475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687,770</w:t>
            </w:r>
          </w:p>
        </w:tc>
      </w:tr>
      <w:tr>
        <w:trPr>
          <w:trHeight w:val="214"/>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536,874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08"/>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12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891,349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1,584,582</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upperLetter"/>
      <w:start w:val="8"/>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2"/>
    </w:lvl>
    <w:lvl w:ilvl="1">
      <w:lvlJc w:val="left"/>
      <w:lvlText w:val="(%2)"/>
      <w:numFmt w:val="lowerLetter"/>
      <w:start w:val="1"/>
    </w:lvl>
  </w:abstractNum>
  <w:abstractNum w:abstractNumId="16">
    <w:nsid w:val="70C6A529"/>
    <w:multiLevelType w:val="hybridMultilevel"/>
    <w:lvl w:ilvl="0">
      <w:lvlJc w:val="left"/>
      <w:lvlText w:val="(%1)"/>
      <w:numFmt w:val="lowerLetter"/>
      <w:start w:val="2"/>
    </w:lvl>
  </w:abstractNum>
  <w:abstractNum w:abstractNumId="17">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374A3FE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23F9C13C"/>
    <w:multiLevelType w:val="hybridMultilevel"/>
    <w:lvl w:ilvl="0">
      <w:lvlJc w:val="left"/>
      <w:lvlText w:val="%1."/>
      <w:numFmt w:val="lowerRoman"/>
      <w:start w:val="1"/>
    </w:lvl>
  </w:abstractNum>
  <w:abstractNum w:abstractNumId="21">
    <w:nsid w:val="649BB77C"/>
    <w:multiLevelType w:val="hybridMultilevel"/>
    <w:lvl w:ilvl="0">
      <w:lvlJc w:val="left"/>
      <w:lvlText w:val="(%1)"/>
      <w:numFmt w:val="lowerLetter"/>
      <w:start w:val="3"/>
    </w:lvl>
    <w:lvl w:ilvl="1">
      <w:lvlJc w:val="left"/>
      <w:lvlText w:val="%2."/>
      <w:numFmt w:val="lowerRoman"/>
      <w:start w:val="1"/>
    </w:lvl>
  </w:abstractNum>
  <w:abstractNum w:abstractNumId="22">
    <w:nsid w:val="275AC794"/>
    <w:multiLevelType w:val="hybridMultilevel"/>
    <w:lvl w:ilvl="0">
      <w:lvlJc w:val="left"/>
      <w:lvlText w:val="(%1)"/>
      <w:numFmt w:val="lowerLetter"/>
      <w:start w:val="5"/>
    </w:lvl>
  </w:abstractNum>
  <w:abstractNum w:abstractNumId="23">
    <w:nsid w:val="39386575"/>
    <w:multiLevelType w:val="hybridMultilevel"/>
    <w:lvl w:ilvl="0">
      <w:lvlJc w:val="left"/>
      <w:lvlText w:val="%1"/>
      <w:numFmt w:val="decimal"/>
      <w:start w:val="1"/>
    </w:lvl>
    <w:lvl w:ilvl="1">
      <w:lvlJc w:val="left"/>
      <w:lvlText w:val="(%2)"/>
      <w:numFmt w:val="lowerLetter"/>
      <w:start w:val="7"/>
    </w:lvl>
  </w:abstractNum>
  <w:abstractNum w:abstractNumId="24">
    <w:nsid w:val="1CF10FD8"/>
    <w:multiLevelType w:val="hybridMultilevel"/>
    <w:lvl w:ilvl="0">
      <w:lvlJc w:val="left"/>
      <w:lvlText w:val="%1."/>
      <w:numFmt w:val="decimal"/>
      <w:start w:val="4"/>
    </w:lvl>
    <w:lvl w:ilvl="1">
      <w:lvlJc w:val="left"/>
      <w:lvlText w:val="(%2)"/>
      <w:numFmt w:val="lowerLetter"/>
      <w:start w:val="1"/>
    </w:lvl>
  </w:abstractNum>
  <w:abstractNum w:abstractNumId="25">
    <w:nsid w:val="180115BE"/>
    <w:multiLevelType w:val="hybridMultilevel"/>
    <w:lvl w:ilvl="0">
      <w:lvlJc w:val="left"/>
      <w:lvlText w:val="(%1)"/>
      <w:numFmt w:val="lowerLetter"/>
      <w:start w:val="4"/>
    </w:lvl>
  </w:abstractNum>
  <w:abstractNum w:abstractNumId="26">
    <w:nsid w:val="235BA86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7">
    <w:nsid w:val="47398C8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8">
    <w:nsid w:val="354FE9F9"/>
    <w:multiLevelType w:val="hybridMultilevel"/>
    <w:lvl w:ilvl="0">
      <w:lvlJc w:val="left"/>
      <w:lvlText w:val="(%1)"/>
      <w:numFmt w:val="upperLetter"/>
      <w:start w:val="1"/>
    </w:lvl>
  </w:abstractNum>
  <w:abstractNum w:abstractNumId="29">
    <w:nsid w:val="15B5AF5C"/>
    <w:multiLevelType w:val="hybridMultilevel"/>
    <w:lvl w:ilvl="0">
      <w:lvlJc w:val="left"/>
      <w:lvlText w:val="(%1)"/>
      <w:numFmt w:val="lowerRoman"/>
      <w:start w:val="2"/>
    </w:lvl>
  </w:abstractNum>
  <w:abstractNum w:abstractNumId="30">
    <w:nsid w:val="741226BB"/>
    <w:multiLevelType w:val="hybridMultilevel"/>
    <w:lvl w:ilvl="0">
      <w:lvlJc w:val="left"/>
      <w:lvlText w:val="(%1)"/>
      <w:numFmt w:val="lowerRoman"/>
      <w:start w:val="3"/>
    </w:lvl>
  </w:abstractNum>
  <w:abstractNum w:abstractNumId="31">
    <w:nsid w:val="D34B6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32">
    <w:nsid w:val="10233C9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5"/>
    </w:lvl>
    <w:lvl w:ilvl="3">
      <w:lvlJc w:val="left"/>
      <w:lvlText w:val="(%4)"/>
      <w:numFmt w:val="upperLetter"/>
      <w:start w:val="1"/>
    </w:lvl>
  </w:abstractNum>
  <w:abstractNum w:abstractNumId="33">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4">
    <w:nsid w:val="61574095"/>
    <w:multiLevelType w:val="hybridMultilevel"/>
    <w:lvl w:ilvl="0">
      <w:lvlJc w:val="left"/>
      <w:lvlText w:val="%1"/>
      <w:numFmt w:val="lowerLetter"/>
      <w:start w:val="1"/>
    </w:lvl>
    <w:lvl w:ilvl="1">
      <w:lvlJc w:val="left"/>
      <w:lvlText w:val="(%2)"/>
      <w:numFmt w:val="lowerRoman"/>
      <w:start w:val="4"/>
    </w:lvl>
  </w:abstractNum>
  <w:abstractNum w:abstractNumId="35">
    <w:nsid w:val="7E0C57B1"/>
    <w:multiLevelType w:val="hybridMultilevel"/>
    <w:lvl w:ilvl="0">
      <w:lvlJc w:val="left"/>
      <w:lvlText w:val="(%1)"/>
      <w:numFmt w:val="lowerLetter"/>
      <w:start w:val="4"/>
    </w:lvl>
    <w:lvl w:ilvl="1">
      <w:lvlJc w:val="left"/>
      <w:lvlText w:val="%2"/>
      <w:numFmt w:val="lowerRoman"/>
      <w:start w:val="1"/>
    </w:lvl>
  </w:abstractNum>
  <w:abstractNum w:abstractNumId="36">
    <w:nsid w:val="77AE35EB"/>
    <w:multiLevelType w:val="hybridMultilevel"/>
    <w:lvl w:ilvl="0">
      <w:lvlJc w:val="left"/>
      <w:lvlText w:val="(%1)"/>
      <w:numFmt w:val="lowerLetter"/>
      <w:start w:val="6"/>
    </w:lvl>
  </w:abstractNum>
  <w:abstractNum w:abstractNumId="37">
    <w:nsid w:val="579BE4F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38">
    <w:nsid w:val="310C50B3"/>
    <w:multiLevelType w:val="hybridMultilevel"/>
    <w:lvl w:ilvl="0">
      <w:lvlJc w:val="left"/>
      <w:lvlText w:val="%1."/>
      <w:numFmt w:val="lowerRoman"/>
      <w:start w:val="4"/>
    </w:lvl>
  </w:abstractNum>
  <w:abstractNum w:abstractNumId="39">
    <w:nsid w:val="5FF87E05"/>
    <w:multiLevelType w:val="hybridMultilevel"/>
    <w:lvl w:ilvl="0">
      <w:lvlJc w:val="left"/>
      <w:lvlText w:val="(%1)"/>
      <w:numFmt w:val="lowerLetter"/>
      <w:start w:val="3"/>
    </w:lvl>
    <w:lvl w:ilvl="1">
      <w:lvlJc w:val="left"/>
      <w:lvlText w:val="%2."/>
      <w:numFmt w:val="lowerRoman"/>
      <w:start w:val="1"/>
    </w:lvl>
  </w:abstractNum>
  <w:abstractNum w:abstractNumId="40">
    <w:nsid w:val="2F305DEF"/>
    <w:multiLevelType w:val="hybridMultilevel"/>
    <w:lvl w:ilvl="0">
      <w:lvlJc w:val="left"/>
      <w:lvlText w:val="%1."/>
      <w:numFmt w:val="lowerRoman"/>
      <w:start w:val="4"/>
    </w:lvl>
  </w:abstractNum>
  <w:abstractNum w:abstractNumId="41">
    <w:nsid w:val="25A70BF7"/>
    <w:multiLevelType w:val="hybridMultilevel"/>
    <w:lvl w:ilvl="0">
      <w:lvlJc w:val="left"/>
      <w:lvlText w:val="(%1)"/>
      <w:numFmt w:val="lowerLetter"/>
      <w:start w:val="4"/>
    </w:lvl>
  </w:abstractNum>
  <w:abstractNum w:abstractNumId="42">
    <w:nsid w:val="1DBABF00"/>
    <w:multiLevelType w:val="hybridMultilevel"/>
    <w:lvl w:ilvl="0">
      <w:lvlJc w:val="left"/>
      <w:lvlText w:val="%1"/>
      <w:numFmt w:val="decimal"/>
      <w:start w:val="1"/>
    </w:lvl>
    <w:lvl w:ilvl="1">
      <w:lvlJc w:val="left"/>
      <w:lvlText w:val="(%2)"/>
      <w:numFmt w:val="lowerLetter"/>
      <w:start w:val="9"/>
    </w:lvl>
  </w:abstractNum>
  <w:abstractNum w:abstractNumId="43">
    <w:nsid w:val="4AD084E9"/>
    <w:multiLevelType w:val="hybridMultilevel"/>
    <w:lvl w:ilvl="0">
      <w:lvlJc w:val="left"/>
      <w:lvlText w:val="%1."/>
      <w:numFmt w:val="decimal"/>
      <w:start w:val="7"/>
    </w:lvl>
    <w:lvl w:ilvl="1">
      <w:lvlJc w:val="left"/>
      <w:lvlText w:val="(%2)"/>
      <w:numFmt w:val="lowerLetter"/>
      <w:start w:val="1"/>
    </w:lvl>
  </w:abstractNum>
  <w:abstractNum w:abstractNumId="44">
    <w:nsid w:val="1F48EAA1"/>
    <w:multiLevelType w:val="hybridMultilevel"/>
    <w:lvl w:ilvl="0">
      <w:lvlJc w:val="left"/>
      <w:lvlText w:val="(%1)"/>
      <w:numFmt w:val="lowerLetter"/>
      <w:start w:val="4"/>
    </w:lvl>
  </w:abstractNum>
  <w:abstractNum w:abstractNumId="45">
    <w:nsid w:val="1381823A"/>
    <w:multiLevelType w:val="hybridMultilevel"/>
    <w:lvl w:ilvl="0">
      <w:lvlJc w:val="left"/>
      <w:lvlText w:val="(%1)"/>
      <w:numFmt w:val="lowerLetter"/>
      <w:start w:val="7"/>
    </w:lvl>
  </w:abstractNum>
  <w:abstractNum w:abstractNumId="46">
    <w:nsid w:val="5DB70AE5"/>
    <w:multiLevelType w:val="hybridMultilevel"/>
    <w:lvl w:ilvl="0">
      <w:lvlJc w:val="left"/>
      <w:lvlText w:val="(%1)"/>
      <w:numFmt w:val="lowerLetter"/>
      <w:start w:val="13"/>
    </w:lvl>
    <w:lvl w:ilvl="1">
      <w:lvlJc w:val="left"/>
      <w:lvlText w:val="(%2)"/>
      <w:numFmt w:val="lowerRoman"/>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2"/>
    </w:lvl>
    <w:lvl w:ilvl="1">
      <w:lvlJc w:val="left"/>
      <w:lvlText w:val="(%2)"/>
      <w:numFmt w:val="lowerLetter"/>
      <w:start w:val="1"/>
    </w:lvl>
  </w:abstractNum>
  <w:abstractNum w:abstractNumId="49">
    <w:nsid w:val="15014ACB"/>
    <w:multiLevelType w:val="hybridMultilevel"/>
    <w:lvl w:ilvl="0">
      <w:lvlJc w:val="left"/>
      <w:lvlText w:val="(%1)"/>
      <w:numFmt w:val="lowerLetter"/>
      <w:start w:val="2"/>
    </w:lvl>
    <w:lvl w:ilvl="1">
      <w:lvlJc w:val="left"/>
      <w:lvlText w:val="(%2)"/>
      <w:numFmt w:val="lowerRoman"/>
      <w:start w:val="1"/>
    </w:lvl>
  </w:abstractNum>
  <w:abstractNum w:abstractNumId="50">
    <w:nsid w:val="5F5E7FD0"/>
    <w:multiLevelType w:val="hybridMultilevel"/>
    <w:lvl w:ilvl="0">
      <w:lvlJc w:val="left"/>
      <w:lvlText w:val="%1"/>
      <w:numFmt w:val="decimal"/>
      <w:start w:val="1"/>
    </w:lvl>
    <w:lvl w:ilvl="1">
      <w:lvlJc w:val="left"/>
      <w:lvlText w:val="(%2)"/>
      <w:numFmt w:val="lowerLetter"/>
      <w:start w:val="5"/>
    </w:lvl>
  </w:abstractNum>
  <w:abstractNum w:abstractNumId="51">
    <w:nsid w:val="98A3148"/>
    <w:multiLevelType w:val="hybridMultilevel"/>
    <w:lvl w:ilvl="0">
      <w:lvlJc w:val="left"/>
      <w:lvlText w:val="%1."/>
      <w:numFmt w:val="decimal"/>
      <w:start w:val="3"/>
    </w:lvl>
    <w:lvl w:ilvl="1">
      <w:lvlJc w:val="left"/>
      <w:lvlText w:val="(%2)"/>
      <w:numFmt w:val="lowerLetter"/>
      <w:start w:val="1"/>
    </w:lvl>
  </w:abstractNum>
  <w:abstractNum w:abstractNumId="52">
    <w:nsid w:val="799D0247"/>
    <w:multiLevelType w:val="hybridMultilevel"/>
    <w:lvl w:ilvl="0">
      <w:lvlJc w:val="left"/>
      <w:lvlText w:val="(%1)"/>
      <w:numFmt w:val="lowerLetter"/>
      <w:start w:val="4"/>
    </w:lvl>
    <w:lvl w:ilvl="1">
      <w:lvlJc w:val="left"/>
      <w:lvlText w:val="(%2)"/>
      <w:numFmt w:val="lowerRoman"/>
      <w:start w:val="1"/>
    </w:lvl>
  </w:abstractNum>
  <w:abstractNum w:abstractNumId="53">
    <w:nsid w:val="6B94764"/>
    <w:multiLevelType w:val="hybridMultilevel"/>
    <w:lvl w:ilvl="0">
      <w:lvlJc w:val="left"/>
      <w:lvlText w:val="(%1)"/>
      <w:numFmt w:val="lowerLetter"/>
      <w:start w:val="5"/>
    </w:lvl>
  </w:abstractNum>
  <w:abstractNum w:abstractNumId="54">
    <w:nsid w:val="42C296BD"/>
    <w:multiLevelType w:val="hybridMultilevel"/>
    <w:lvl w:ilvl="0">
      <w:lvlJc w:val="left"/>
      <w:lvlText w:val="%1"/>
      <w:numFmt w:val="decimal"/>
      <w:start w:val="1"/>
    </w:lvl>
    <w:lvl w:ilvl="1">
      <w:lvlJc w:val="left"/>
      <w:lvlText w:val="%2)"/>
      <w:numFmt w:val="lowerLetter"/>
      <w:start w:val="1"/>
    </w:lvl>
  </w:abstractNum>
  <w:abstractNum w:abstractNumId="55">
    <w:nsid w:val="168E121F"/>
    <w:multiLevelType w:val="hybridMultilevel"/>
    <w:lvl w:ilvl="0">
      <w:lvlJc w:val="left"/>
      <w:lvlText w:val="%1."/>
      <w:numFmt w:val="decimal"/>
      <w:start w:val="4"/>
    </w:lvl>
    <w:lvl w:ilvl="1">
      <w:lvlJc w:val="left"/>
      <w:lvlText w:val="%2"/>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8">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9">
    <w:nsid w:val="540A471C"/>
    <w:multiLevelType w:val="hybridMultilevel"/>
    <w:lvl w:ilvl="0">
      <w:lvlJc w:val="left"/>
      <w:lvlText w:val="(%1)"/>
      <w:numFmt w:val="upperLetter"/>
      <w:start w:val="1"/>
    </w:lvl>
  </w:abstractNum>
  <w:abstractNum w:abstractNumId="60">
    <w:nsid w:val="7BD3EE7B"/>
    <w:multiLevelType w:val="hybridMultilevel"/>
    <w:lvl w:ilvl="0">
      <w:lvlJc w:val="left"/>
      <w:lvlText w:val="(%1)"/>
      <w:numFmt w:val="lowerRoman"/>
      <w:start w:val="2"/>
    </w:lvl>
  </w:abstractNum>
  <w:abstractNum w:abstractNumId="61">
    <w:nsid w:val="51D9C564"/>
    <w:multiLevelType w:val="hybridMultilevel"/>
    <w:lvl w:ilvl="0">
      <w:lvlJc w:val="left"/>
      <w:lvlText w:val="(%1)"/>
      <w:numFmt w:val="decimal"/>
      <w:start w:val="4"/>
    </w:lvl>
    <w:lvl w:ilvl="1">
      <w:lvlJc w:val="left"/>
      <w:lvlText w:val="%2"/>
      <w:numFmt w:val="lowerRoman"/>
      <w:start w:val="1"/>
    </w:lvl>
  </w:abstractNum>
  <w:abstractNum w:abstractNumId="62">
    <w:nsid w:val="613EFDC5"/>
    <w:multiLevelType w:val="hybridMultilevel"/>
    <w:lvl w:ilvl="0">
      <w:lvlJc w:val="left"/>
      <w:lvlText w:val="(%1)"/>
      <w:numFmt w:val="decimal"/>
      <w:start w:val="10"/>
    </w:lvl>
    <w:lvl w:ilvl="1">
      <w:lvlJc w:val="left"/>
      <w:lvlText w:val="(%2)"/>
      <w:numFmt w:val="lowerRoman"/>
      <w:start w:val="3"/>
    </w:lvl>
  </w:abstractNum>
  <w:abstractNum w:abstractNumId="63">
    <w:nsid w:val="BF72B14"/>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64">
    <w:nsid w:val="11447B7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65">
    <w:nsid w:val="42963E5A"/>
    <w:multiLevelType w:val="hybridMultilevel"/>
    <w:lvl w:ilvl="0">
      <w:lvlJc w:val="left"/>
      <w:lvlText w:val="(%1)"/>
      <w:numFmt w:val="lowerRoman"/>
      <w:start w:val="2"/>
    </w:lvl>
  </w:abstractNum>
  <w:abstractNum w:abstractNumId="66">
    <w:nsid w:val="A0382C5"/>
    <w:multiLevelType w:val="hybridMultilevel"/>
    <w:lvl w:ilvl="0">
      <w:lvlJc w:val="left"/>
      <w:lvlText w:val="(%1)"/>
      <w:numFmt w:val="lowerLetter"/>
      <w:start w:val="4"/>
    </w:lvl>
  </w:abstractNum>
  <w:abstractNum w:abstractNumId="6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68">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9">
    <w:nsid w:val="3B0FD37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70">
    <w:nsid w:val="68EB2F63"/>
    <w:multiLevelType w:val="hybridMultilevel"/>
    <w:lvl w:ilvl="0">
      <w:lvlJc w:val="left"/>
      <w:lvlText w:val="%1"/>
      <w:numFmt w:val="lowerLetter"/>
      <w:start w:val="1"/>
    </w:lvl>
    <w:lvl w:ilvl="1">
      <w:lvlJc w:val="left"/>
      <w:lvlText w:val="%2."/>
      <w:numFmt w:val="lowerRoman"/>
      <w:start w:val="5"/>
    </w:lvl>
  </w:abstractNum>
  <w:abstractNum w:abstractNumId="71">
    <w:nsid w:val="4962813B"/>
    <w:multiLevelType w:val="hybridMultilevel"/>
    <w:lvl w:ilvl="0">
      <w:lvlJc w:val="left"/>
      <w:lvlText w:val="(%1)"/>
      <w:numFmt w:val="lowerLetter"/>
      <w:start w:val="3"/>
    </w:lvl>
    <w:lvl w:ilvl="1">
      <w:lvlJc w:val="left"/>
      <w:lvlText w:val="%2."/>
      <w:numFmt w:val="lowerRoman"/>
      <w:start w:val="1"/>
    </w:lvl>
  </w:abstractNum>
  <w:abstractNum w:abstractNumId="72">
    <w:nsid w:val="60B6DF70"/>
    <w:multiLevelType w:val="hybridMultilevel"/>
    <w:lvl w:ilvl="0">
      <w:lvlJc w:val="left"/>
      <w:lvlText w:val="%1."/>
      <w:numFmt w:val="lowerRoman"/>
      <w:start w:val="2"/>
    </w:lvl>
  </w:abstractNum>
  <w:abstractNum w:abstractNumId="73">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6"/>
    </w:lvl>
  </w:abstractNum>
  <w:abstractNum w:abstractNumId="74">
    <w:nsid w:val="1433062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5"/>
    </w:lvl>
    <w:lvl w:ilvl="3">
      <w:lvlJc w:val="left"/>
      <w:lvlText w:val="%4"/>
      <w:numFmt w:val="lowerRoman"/>
      <w:start w:val="1"/>
    </w:lvl>
  </w:abstractNum>
  <w:abstractNum w:abstractNumId="75">
    <w:nsid w:val="7FFFCA11"/>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76">
    <w:nsid w:val="1A27709E"/>
    <w:multiLevelType w:val="hybridMultilevel"/>
    <w:lvl w:ilvl="0">
      <w:lvlJc w:val="left"/>
      <w:lvlText w:val="%1"/>
      <w:numFmt w:val="lowerLetter"/>
      <w:start w:val="1"/>
    </w:lvl>
    <w:lvl w:ilvl="1">
      <w:lvlJc w:val="left"/>
      <w:lvlText w:val="(%2)"/>
      <w:numFmt w:val="lowerLetter"/>
      <w:start w:val="7"/>
    </w:lvl>
  </w:abstractNum>
  <w:abstractNum w:abstractNumId="77">
    <w:nsid w:val="71EA1109"/>
    <w:multiLevelType w:val="hybridMultilevel"/>
    <w:lvl w:ilvl="0">
      <w:lvlJc w:val="left"/>
      <w:lvlText w:val="(%1)"/>
      <w:numFmt w:val="lowerLetter"/>
      <w:start w:val="8"/>
    </w:lvl>
    <w:lvl w:ilvl="1">
      <w:lvlJc w:val="left"/>
      <w:lvlText w:val="%2"/>
      <w:numFmt w:val="lowerLetter"/>
      <w:start w:val="1"/>
    </w:lvl>
  </w:abstractNum>
  <w:abstractNum w:abstractNumId="78">
    <w:nsid w:val="100F59DC"/>
    <w:multiLevelType w:val="hybridMultilevel"/>
    <w:lvl w:ilvl="0">
      <w:lvlJc w:val="left"/>
      <w:lvlText w:val="(%1)"/>
      <w:numFmt w:val="lowerLetter"/>
      <w:start w:val="9"/>
    </w:lvl>
    <w:lvl w:ilvl="1">
      <w:lvlJc w:val="left"/>
      <w:lvlText w:val="(%2)"/>
      <w:numFmt w:val="lowerLetter"/>
      <w:start w:val="10"/>
    </w:lvl>
  </w:abstractNum>
  <w:abstractNum w:abstractNumId="79">
    <w:nsid w:val="7FB7E0AA"/>
    <w:multiLevelType w:val="hybridMultilevel"/>
    <w:lvl w:ilvl="0">
      <w:lvlJc w:val="left"/>
      <w:lvlText w:val="(%1)"/>
      <w:numFmt w:val="lowerLetter"/>
      <w:start w:val="11"/>
    </w:lvl>
  </w:abstractNum>
  <w:abstractNum w:abstractNumId="80">
    <w:nsid w:val="6EB5BD4"/>
    <w:multiLevelType w:val="hybridMultilevel"/>
    <w:lvl w:ilvl="0">
      <w:lvlJc w:val="left"/>
      <w:lvlText w:val="%1."/>
      <w:numFmt w:val="decimal"/>
      <w:start w:val="7"/>
    </w:lvl>
    <w:lvl w:ilvl="1">
      <w:lvlJc w:val="left"/>
      <w:lvlText w:val="(%2)"/>
      <w:numFmt w:val="lowerLetter"/>
      <w:start w:val="1"/>
    </w:lvl>
  </w:abstractNum>
  <w:abstractNum w:abstractNumId="81">
    <w:nsid w:val="6F6DD9AC"/>
    <w:multiLevelType w:val="hybridMultilevel"/>
    <w:lvl w:ilvl="0">
      <w:lvlJc w:val="left"/>
      <w:lvlText w:val="(%1)"/>
      <w:numFmt w:val="lowerLetter"/>
      <w:start w:val="6"/>
    </w:lvl>
  </w:abstractNum>
  <w:abstractNum w:abstractNumId="82">
    <w:nsid w:val="94211F2"/>
    <w:multiLevelType w:val="hybridMultilevel"/>
    <w:lvl w:ilvl="0">
      <w:lvlJc w:val="left"/>
      <w:lvlText w:val="(%1)"/>
      <w:numFmt w:val="lowerLetter"/>
      <w:start w:val="12"/>
    </w:lvl>
    <w:lvl w:ilvl="1">
      <w:lvlJc w:val="left"/>
      <w:lvlText w:val="(%2)"/>
      <w:numFmt w:val="lowerRoman"/>
      <w:start w:val="1"/>
    </w:lvl>
  </w:abstractNum>
  <w:abstractNum w:abstractNumId="83">
    <w:nsid w:val="885E1B"/>
    <w:multiLevelType w:val="hybridMultilevel"/>
    <w:lvl w:ilvl="0">
      <w:lvlJc w:val="left"/>
      <w:lvlText w:val="%1."/>
      <w:numFmt w:val="decimal"/>
      <w:start w:val="1"/>
    </w:lvl>
    <w:lvl w:ilvl="1">
      <w:lvlJc w:val="left"/>
      <w:lvlText w:val="%2)"/>
      <w:numFmt w:val="lowerLetter"/>
      <w:start w:val="1"/>
    </w:lvl>
  </w:abstractNum>
  <w:abstractNum w:abstractNumId="84">
    <w:nsid w:val="76272110"/>
    <w:multiLevelType w:val="hybridMultilevel"/>
    <w:lvl w:ilvl="0">
      <w:lvlJc w:val="left"/>
      <w:lvlText w:val="%1."/>
      <w:numFmt w:val="decimal"/>
      <w:start w:val="1"/>
    </w:lvl>
    <w:lvl w:ilvl="1">
      <w:lvlJc w:val="left"/>
      <w:lvlText w:val="%2)"/>
      <w:numFmt w:val="lowerLetter"/>
      <w:start w:val="1"/>
    </w:lvl>
  </w:abstractNum>
  <w:abstractNum w:abstractNumId="85">
    <w:nsid w:val="4C04A8AF"/>
    <w:multiLevelType w:val="hybridMultilevel"/>
    <w:lvl w:ilvl="0">
      <w:lvlJc w:val="left"/>
      <w:lvlText w:val="(%1)"/>
      <w:numFmt w:val="lowerRoman"/>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
      <w:numFmt w:val="bullet"/>
      <w:start w:val="1"/>
    </w:lvl>
    <w:lvl w:ilvl="1">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3" Type="http://schemas.openxmlformats.org/officeDocument/2006/relationships/hyperlink" Target="https://www.sec.gov/Archives/edgar/data/1415404/000141540422000002/exhibit101-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2022-05-05T05:24:18Z</dcterms:created>
  <dcterms:modified xsi:type="dcterms:W3CDTF">2022-05-05T05:24:18Z</dcterms:modified>
</cp:coreProperties>
</file>