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8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3420" w:right="2620" w:hanging="3412"/>
        <w:spacing w:after="0" w:line="262" w:lineRule="auto"/>
        <w:tabs>
          <w:tab w:leader="none" w:pos="297"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48"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 w:lineRule="exact"/>
        <w:rPr>
          <w:sz w:val="24"/>
          <w:szCs w:val="24"/>
          <w:color w:val="auto"/>
        </w:rPr>
      </w:pPr>
    </w:p>
    <w:p>
      <w:pPr>
        <w:ind w:left="33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4003675</wp:posOffset>
            </wp:positionH>
            <wp:positionV relativeFrom="paragraph">
              <wp:posOffset>-14605</wp:posOffset>
            </wp:positionV>
            <wp:extent cx="1026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174625</wp:posOffset>
            </wp:positionV>
            <wp:extent cx="171450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102"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8"/>
          <w:szCs w:val="18"/>
          <w:b w:val="1"/>
          <w:bCs w:val="1"/>
          <w:color w:val="auto"/>
        </w:rPr>
        <w:t>Nevada</w:t>
      </w:r>
      <w:r>
        <w:rPr>
          <w:sz w:val="20"/>
          <w:szCs w:val="20"/>
          <w:color w:val="auto"/>
        </w:rPr>
        <w:tab/>
      </w:r>
      <w:r>
        <w:rPr>
          <w:rFonts w:ascii="Arial" w:cs="Arial" w:eastAsia="Arial" w:hAnsi="Arial"/>
          <w:sz w:val="18"/>
          <w:szCs w:val="18"/>
          <w:b w:val="1"/>
          <w:bCs w:val="1"/>
          <w:color w:val="auto"/>
        </w:rPr>
        <w:t>26-1232727</w:t>
      </w:r>
    </w:p>
    <w:p>
      <w:pPr>
        <w:spacing w:after="0" w:line="47" w:lineRule="exact"/>
        <w:rPr>
          <w:sz w:val="24"/>
          <w:szCs w:val="24"/>
          <w:color w:val="auto"/>
        </w:rPr>
      </w:pPr>
    </w:p>
    <w:p>
      <w:pPr>
        <w:ind w:left="700"/>
        <w:spacing w:after="0"/>
        <w:tabs>
          <w:tab w:leader="none" w:pos="7220" w:val="left"/>
        </w:tabs>
        <w:rPr>
          <w:sz w:val="20"/>
          <w:szCs w:val="20"/>
          <w:color w:val="auto"/>
        </w:rPr>
      </w:pPr>
      <w:r>
        <w:rPr>
          <w:rFonts w:ascii="Arial" w:cs="Arial" w:eastAsia="Arial" w:hAnsi="Arial"/>
          <w:sz w:val="16"/>
          <w:szCs w:val="16"/>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196" w:lineRule="exact"/>
        <w:rPr>
          <w:sz w:val="24"/>
          <w:szCs w:val="24"/>
          <w:color w:val="auto"/>
        </w:rPr>
      </w:pPr>
    </w:p>
    <w:p>
      <w:pPr>
        <w:ind w:left="620"/>
        <w:spacing w:after="0"/>
        <w:tabs>
          <w:tab w:leader="none" w:pos="4360" w:val="left"/>
          <w:tab w:leader="none" w:pos="7980" w:val="left"/>
        </w:tabs>
        <w:rPr>
          <w:sz w:val="20"/>
          <w:szCs w:val="20"/>
          <w:color w:val="auto"/>
        </w:rPr>
      </w:pPr>
      <w:r>
        <w:rPr>
          <w:rFonts w:ascii="Arial" w:cs="Arial" w:eastAsia="Arial" w:hAnsi="Arial"/>
          <w:sz w:val="18"/>
          <w:szCs w:val="18"/>
          <w:b w:val="1"/>
          <w:bCs w:val="1"/>
          <w:color w:val="auto"/>
        </w:rPr>
        <w:t>100 Inverness Terrace East, Englewood,</w:t>
      </w:r>
      <w:r>
        <w:rPr>
          <w:sz w:val="20"/>
          <w:szCs w:val="20"/>
          <w:color w:val="auto"/>
        </w:rPr>
        <w:tab/>
      </w:r>
      <w:r>
        <w:rPr>
          <w:rFonts w:ascii="Arial" w:cs="Arial" w:eastAsia="Arial" w:hAnsi="Arial"/>
          <w:sz w:val="18"/>
          <w:szCs w:val="18"/>
          <w:b w:val="1"/>
          <w:bCs w:val="1"/>
          <w:color w:val="auto"/>
        </w:rPr>
        <w:t>Colorado</w:t>
      </w:r>
      <w:r>
        <w:rPr>
          <w:sz w:val="20"/>
          <w:szCs w:val="20"/>
          <w:color w:val="auto"/>
        </w:rPr>
        <w:tab/>
      </w:r>
      <w:r>
        <w:rPr>
          <w:rFonts w:ascii="Arial" w:cs="Arial" w:eastAsia="Arial" w:hAnsi="Arial"/>
          <w:sz w:val="17"/>
          <w:szCs w:val="17"/>
          <w:b w:val="1"/>
          <w:bCs w:val="1"/>
          <w:color w:val="auto"/>
        </w:rPr>
        <w:t>80112-5308</w:t>
      </w:r>
    </w:p>
    <w:p>
      <w:pPr>
        <w:spacing w:after="0" w:line="47" w:lineRule="exact"/>
        <w:rPr>
          <w:sz w:val="24"/>
          <w:szCs w:val="24"/>
          <w:color w:val="auto"/>
        </w:rPr>
      </w:pPr>
    </w:p>
    <w:p>
      <w:pPr>
        <w:ind w:left="1400"/>
        <w:spacing w:after="0"/>
        <w:tabs>
          <w:tab w:leader="none" w:pos="8080" w:val="left"/>
        </w:tabs>
        <w:rPr>
          <w:sz w:val="20"/>
          <w:szCs w:val="20"/>
          <w:color w:val="auto"/>
        </w:rPr>
      </w:pPr>
      <w:r>
        <w:rPr>
          <w:rFonts w:ascii="Arial" w:cs="Arial" w:eastAsia="Arial" w:hAnsi="Arial"/>
          <w:sz w:val="16"/>
          <w:szCs w:val="16"/>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15" w:lineRule="exact"/>
        <w:rPr>
          <w:sz w:val="24"/>
          <w:szCs w:val="24"/>
          <w:color w:val="auto"/>
        </w:rPr>
      </w:pPr>
    </w:p>
    <w:p>
      <w:pPr>
        <w:ind w:left="2560"/>
        <w:spacing w:after="0"/>
        <w:tabs>
          <w:tab w:leader="none" w:pos="7820" w:val="left"/>
        </w:tabs>
        <w:rPr>
          <w:sz w:val="20"/>
          <w:szCs w:val="20"/>
          <w:color w:val="auto"/>
        </w:rPr>
      </w:pPr>
      <w:r>
        <w:rPr>
          <w:rFonts w:ascii="Arial" w:cs="Arial" w:eastAsia="Arial" w:hAnsi="Arial"/>
          <w:sz w:val="18"/>
          <w:szCs w:val="18"/>
          <w:b w:val="1"/>
          <w:bCs w:val="1"/>
          <w:color w:val="auto"/>
        </w:rPr>
        <w:t>(303) 706-4000</w:t>
      </w:r>
      <w:r>
        <w:rPr>
          <w:sz w:val="20"/>
          <w:szCs w:val="20"/>
          <w:color w:val="auto"/>
        </w:rPr>
        <w:tab/>
      </w:r>
      <w:r>
        <w:rPr>
          <w:rFonts w:ascii="Arial" w:cs="Arial" w:eastAsia="Arial" w:hAnsi="Arial"/>
          <w:sz w:val="17"/>
          <w:szCs w:val="17"/>
          <w:b w:val="1"/>
          <w:bCs w:val="1"/>
          <w:color w:val="auto"/>
        </w:rPr>
        <w:t>Not Applicable</w:t>
      </w:r>
    </w:p>
    <w:p>
      <w:pPr>
        <w:spacing w:after="0" w:line="25" w:lineRule="exact"/>
        <w:rPr>
          <w:sz w:val="24"/>
          <w:szCs w:val="24"/>
          <w:color w:val="auto"/>
        </w:rPr>
      </w:pPr>
    </w:p>
    <w:p>
      <w:pPr>
        <w:ind w:left="880"/>
        <w:spacing w:after="0"/>
        <w:tabs>
          <w:tab w:leader="none" w:pos="578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color w:val="auto"/>
        </w:rPr>
        <w:t>(Former name, former address and former fiscal year, if changed since last</w:t>
      </w:r>
    </w:p>
    <w:p>
      <w:pPr>
        <w:ind w:left="8240"/>
        <w:spacing w:after="0"/>
        <w:rPr>
          <w:sz w:val="20"/>
          <w:szCs w:val="20"/>
          <w:color w:val="auto"/>
        </w:rPr>
      </w:pPr>
      <w:r>
        <w:rPr>
          <w:rFonts w:ascii="Arial" w:cs="Arial" w:eastAsia="Arial" w:hAnsi="Arial"/>
          <w:sz w:val="16"/>
          <w:szCs w:val="16"/>
          <w:color w:val="auto"/>
        </w:rPr>
        <w:t>report)</w:t>
      </w:r>
    </w:p>
    <w:p>
      <w:pPr>
        <w:spacing w:after="0" w:line="140"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 w:lineRule="exact"/>
        <w:rPr>
          <w:sz w:val="24"/>
          <w:szCs w:val="24"/>
          <w:color w:val="auto"/>
        </w:rPr>
      </w:pPr>
    </w:p>
    <w:p>
      <w:pPr>
        <w:ind w:left="1200"/>
        <w:spacing w:after="0"/>
        <w:tabs>
          <w:tab w:leader="none" w:pos="7240" w:val="left"/>
        </w:tabs>
        <w:rPr>
          <w:sz w:val="20"/>
          <w:szCs w:val="20"/>
          <w:color w:val="auto"/>
        </w:rPr>
      </w:pPr>
      <w:r>
        <w:rPr>
          <w:rFonts w:ascii="Arial" w:cs="Arial" w:eastAsia="Arial" w:hAnsi="Arial"/>
          <w:sz w:val="16"/>
          <w:szCs w:val="16"/>
          <w:b w:val="1"/>
          <w:bCs w:val="1"/>
          <w:color w:val="auto"/>
        </w:rPr>
        <w:t>Class A common stock $0.001 par value</w:t>
      </w:r>
      <w:r>
        <w:rPr>
          <w:sz w:val="20"/>
          <w:szCs w:val="20"/>
          <w:color w:val="auto"/>
        </w:rPr>
        <w:tab/>
      </w:r>
      <w:r>
        <w:rPr>
          <w:rFonts w:ascii="Arial" w:cs="Arial" w:eastAsia="Arial" w:hAnsi="Arial"/>
          <w:sz w:val="16"/>
          <w:szCs w:val="16"/>
          <w:b w:val="1"/>
          <w:bCs w:val="1"/>
          <w:color w:val="auto"/>
        </w:rPr>
        <w:t>The NASDAQ Stock Market LLC</w:t>
      </w:r>
    </w:p>
    <w:p>
      <w:pPr>
        <w:spacing w:after="0" w:line="52" w:lineRule="exact"/>
        <w:rPr>
          <w:sz w:val="24"/>
          <w:szCs w:val="24"/>
          <w:color w:val="auto"/>
        </w:rPr>
      </w:pPr>
    </w:p>
    <w:p>
      <w:pPr>
        <w:ind w:left="2080"/>
        <w:spacing w:after="0"/>
        <w:tabs>
          <w:tab w:leader="none" w:pos="680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(Name of each exchange on which registered)</w:t>
      </w:r>
    </w:p>
    <w:p>
      <w:pPr>
        <w:spacing w:after="0" w:line="12" w:lineRule="exact"/>
        <w:rPr>
          <w:sz w:val="24"/>
          <w:szCs w:val="24"/>
          <w:color w:val="auto"/>
        </w:rPr>
      </w:pPr>
    </w:p>
    <w:p>
      <w:pPr>
        <w:jc w:val="center"/>
        <w:ind w:right="5680"/>
        <w:spacing w:after="0"/>
        <w:rPr>
          <w:sz w:val="20"/>
          <w:szCs w:val="20"/>
          <w:color w:val="auto"/>
        </w:rPr>
      </w:pPr>
      <w:r>
        <w:rPr>
          <w:rFonts w:ascii="Arial" w:cs="Arial" w:eastAsia="Arial" w:hAnsi="Arial"/>
          <w:sz w:val="16"/>
          <w:szCs w:val="16"/>
          <w:b w:val="1"/>
          <w:bCs w:val="1"/>
          <w:color w:val="auto"/>
        </w:rPr>
        <w:t>SATS</w:t>
      </w:r>
    </w:p>
    <w:p>
      <w:pPr>
        <w:spacing w:after="0" w:line="52" w:lineRule="exact"/>
        <w:rPr>
          <w:sz w:val="24"/>
          <w:szCs w:val="24"/>
          <w:color w:val="auto"/>
        </w:rPr>
      </w:pPr>
    </w:p>
    <w:p>
      <w:pPr>
        <w:jc w:val="center"/>
        <w:ind w:right="5680"/>
        <w:spacing w:after="0"/>
        <w:rPr>
          <w:sz w:val="20"/>
          <w:szCs w:val="20"/>
          <w:color w:val="auto"/>
        </w:rPr>
      </w:pPr>
      <w:r>
        <w:rPr>
          <w:rFonts w:ascii="Arial" w:cs="Arial" w:eastAsia="Arial" w:hAnsi="Arial"/>
          <w:sz w:val="16"/>
          <w:szCs w:val="16"/>
          <w:color w:val="auto"/>
        </w:rPr>
        <w:t>(Ticker symbol)</w:t>
      </w:r>
    </w:p>
    <w:p>
      <w:pPr>
        <w:spacing w:after="0" w:line="262"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8" w:lineRule="exact"/>
        <w:rPr>
          <w:sz w:val="24"/>
          <w:szCs w:val="24"/>
          <w:color w:val="auto"/>
        </w:rPr>
      </w:pPr>
    </w:p>
    <w:p>
      <w:pPr>
        <w:ind w:left="1480"/>
        <w:spacing w:after="0" w:line="184" w:lineRule="exact"/>
        <w:tabs>
          <w:tab w:leader="none" w:pos="3940" w:val="left"/>
          <w:tab w:leader="none" w:pos="6720" w:val="left"/>
          <w:tab w:leader="none" w:pos="95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70" w:lineRule="exact"/>
        <w:rPr>
          <w:sz w:val="24"/>
          <w:szCs w:val="24"/>
          <w:color w:val="auto"/>
        </w:rPr>
      </w:pPr>
    </w:p>
    <w:p>
      <w:pPr>
        <w:ind w:left="1480"/>
        <w:spacing w:after="0" w:line="184" w:lineRule="exact"/>
        <w:tabs>
          <w:tab w:leader="none" w:pos="3940" w:val="left"/>
          <w:tab w:leader="none" w:pos="67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346" w:lineRule="exact"/>
        <w:rPr>
          <w:sz w:val="24"/>
          <w:szCs w:val="24"/>
          <w:color w:val="auto"/>
        </w:rPr>
      </w:pPr>
    </w:p>
    <w:p>
      <w:pPr>
        <w:jc w:val="both"/>
        <w:ind w:right="2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2"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As of April 29, 2021, the registrant’s outstanding common stock consisted of 43,133,424 shares of Class A common stock and 47,687,039 shares of Class B common stock, each $0.001 par value.</w:t>
      </w:r>
    </w:p>
    <w:p>
      <w:pPr>
        <w:sectPr>
          <w:pgSz w:w="11900" w:h="16838" w:orient="portrait"/>
          <w:cols w:equalWidth="0" w:num="1">
            <w:col w:w="11240"/>
          </w:cols>
          <w:pgMar w:left="320" w:top="247" w:right="339" w:bottom="1440" w:gutter="0" w:footer="0" w:header="0"/>
        </w:sect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80" w:type="dxa"/>
            <w:vAlign w:val="bottom"/>
            <w:gridSpan w:val="26"/>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10"/>
          </w:tcPr>
          <w:p>
            <w:pPr>
              <w:ind w:left="3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9760" w:type="dxa"/>
            <w:vAlign w:val="bottom"/>
            <w:gridSpan w:val="2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Disclosure Regarding Forward Looking Statements</w:t>
              </w:r>
            </w:hyperlink>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tcBorders>
              <w:bottom w:val="single" w:sz="8" w:color="0000FF"/>
            </w:tcBorders>
            <w:gridSpan w:val="6"/>
          </w:tcPr>
          <w:p>
            <w:pPr>
              <w:jc w:val="center"/>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PART I - FINANCIAL INFORMATION</w:t>
              </w:r>
            </w:hyperlink>
          </w:p>
        </w:tc>
        <w:tc>
          <w:tcPr>
            <w:tcW w:w="262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Item 1.</w:t>
              </w:r>
            </w:hyperlink>
          </w:p>
        </w:tc>
        <w:tc>
          <w:tcPr>
            <w:tcW w:w="820" w:type="dxa"/>
            <w:vAlign w:val="bottom"/>
            <w:gridSpan w:val="2"/>
          </w:tcPr>
          <w:p>
            <w:pPr>
              <w:spacing w:after="0"/>
              <w:rPr>
                <w:sz w:val="24"/>
                <w:szCs w:val="24"/>
                <w:color w:val="auto"/>
              </w:rPr>
            </w:pPr>
          </w:p>
        </w:tc>
        <w:tc>
          <w:tcPr>
            <w:tcW w:w="1660" w:type="dxa"/>
            <w:vAlign w:val="bottom"/>
            <w:gridSpan w:val="6"/>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Financial Statements</w:t>
              </w:r>
            </w:hyperlink>
          </w:p>
        </w:tc>
        <w:tc>
          <w:tcPr>
            <w:tcW w:w="6720" w:type="dxa"/>
            <w:vAlign w:val="bottom"/>
            <w:gridSpan w:val="16"/>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80" w:type="dxa"/>
            <w:vAlign w:val="bottom"/>
            <w:gridSpan w:val="1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Consolidated Balance Sheets as of March 31, 2021 (unaudited) and December 31, 2020 (audited)</w:t>
              </w:r>
            </w:hyperlink>
          </w:p>
        </w:tc>
        <w:tc>
          <w:tcPr>
            <w:tcW w:w="600" w:type="dxa"/>
            <w:vAlign w:val="bottom"/>
            <w:gridSpan w:val="3"/>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Operations for the three months ended March 31, 2021 and 2020 (unaudited)</w:t>
              </w:r>
            </w:hyperlink>
          </w:p>
        </w:tc>
        <w:tc>
          <w:tcPr>
            <w:tcW w:w="14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Comprehensive Income (Loss) for the three months ended March 31, 2021</w:t>
              </w:r>
            </w:hyperlink>
          </w:p>
        </w:tc>
        <w:tc>
          <w:tcPr>
            <w:tcW w:w="142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2020 (unaudited)</w:t>
              </w:r>
            </w:hyperlink>
          </w:p>
        </w:tc>
        <w:tc>
          <w:tcPr>
            <w:tcW w:w="18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Stockholders’ Equity for the three months ended March 31, 2021 and 2020</w:t>
              </w:r>
            </w:hyperlink>
          </w:p>
        </w:tc>
        <w:tc>
          <w:tcPr>
            <w:tcW w:w="1420" w:type="dxa"/>
            <w:vAlign w:val="bottom"/>
            <w:gridSpan w:val="3"/>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1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(unaudited)</w:t>
              </w:r>
            </w:hyperlink>
          </w:p>
        </w:tc>
        <w:tc>
          <w:tcPr>
            <w:tcW w:w="200" w:type="dxa"/>
            <w:vAlign w:val="bottom"/>
            <w:gridSpan w:val="2"/>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Consolidated Statements of Cash Flows for the three months ended March 31, 2021 and 2020 (unaudited)</w:t>
              </w:r>
            </w:hyperlink>
          </w:p>
        </w:tc>
        <w:tc>
          <w:tcPr>
            <w:tcW w:w="142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gridSpan w:val="14"/>
          </w:tcPr>
          <w:p>
            <w:pP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Notes to the Consolidated Financial Statements (unaudited)</w:t>
              </w:r>
            </w:hyperlink>
          </w:p>
        </w:tc>
        <w:tc>
          <w:tcPr>
            <w:tcW w:w="3640" w:type="dxa"/>
            <w:vAlign w:val="bottom"/>
            <w:gridSpan w:val="8"/>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 xml:space="preserve">Item </w:t>
              </w:r>
            </w:hyperlink>
            <w:r>
              <w:rPr>
                <w:rFonts w:ascii="Arial" w:cs="Arial" w:eastAsia="Arial" w:hAnsi="Arial"/>
                <w:sz w:val="18"/>
                <w:szCs w:val="18"/>
                <w:color w:val="0000FF"/>
                <w:w w:val="94"/>
              </w:rPr>
              <w:t>2.</w:t>
            </w:r>
          </w:p>
        </w:tc>
        <w:tc>
          <w:tcPr>
            <w:tcW w:w="820" w:type="dxa"/>
            <w:vAlign w:val="bottom"/>
            <w:gridSpan w:val="2"/>
          </w:tcPr>
          <w:p>
            <w:pPr>
              <w:spacing w:after="0"/>
              <w:rPr>
                <w:sz w:val="18"/>
                <w:szCs w:val="18"/>
                <w:color w:val="auto"/>
              </w:rPr>
            </w:pPr>
          </w:p>
        </w:tc>
        <w:tc>
          <w:tcPr>
            <w:tcW w:w="7060" w:type="dxa"/>
            <w:vAlign w:val="bottom"/>
            <w:gridSpan w:val="18"/>
          </w:tcPr>
          <w:p>
            <w:pPr>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Management’s Discussion and Analysis of Financial Condition and Results of Operations</w:t>
              </w:r>
            </w:hyperlink>
          </w:p>
        </w:tc>
        <w:tc>
          <w:tcPr>
            <w:tcW w:w="1320" w:type="dxa"/>
            <w:vAlign w:val="bottom"/>
            <w:gridSpan w:val="4"/>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820" w:type="dxa"/>
            <w:vAlign w:val="bottom"/>
            <w:gridSpan w:val="2"/>
          </w:tcPr>
          <w:p>
            <w:pPr>
              <w:spacing w:after="0"/>
              <w:rPr>
                <w:sz w:val="18"/>
                <w:szCs w:val="18"/>
                <w:color w:val="auto"/>
              </w:rPr>
            </w:pPr>
          </w:p>
        </w:tc>
        <w:tc>
          <w:tcPr>
            <w:tcW w:w="7060" w:type="dxa"/>
            <w:vAlign w:val="bottom"/>
            <w:gridSpan w:val="1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Quantitative and Qualitative Disclosures about Market Risk</w:t>
              </w:r>
            </w:hyperlink>
          </w:p>
        </w:tc>
        <w:tc>
          <w:tcPr>
            <w:tcW w:w="1320" w:type="dxa"/>
            <w:vAlign w:val="bottom"/>
            <w:gridSpan w:val="4"/>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52">
              <w:r>
                <w:rPr>
                  <w:rFonts w:ascii="Arial" w:cs="Arial" w:eastAsia="Arial" w:hAnsi="Arial"/>
                  <w:sz w:val="18"/>
                  <w:szCs w:val="18"/>
                  <w:color w:val="0000FF"/>
                  <w:w w:val="94"/>
                </w:rPr>
                <w:t xml:space="preserve">Item </w:t>
              </w:r>
            </w:hyperlink>
            <w:r>
              <w:rPr>
                <w:rFonts w:ascii="Arial" w:cs="Arial" w:eastAsia="Arial" w:hAnsi="Arial"/>
                <w:sz w:val="18"/>
                <w:szCs w:val="18"/>
                <w:color w:val="0000FF"/>
                <w:w w:val="94"/>
              </w:rPr>
              <w:t>4.</w:t>
            </w:r>
          </w:p>
        </w:tc>
        <w:tc>
          <w:tcPr>
            <w:tcW w:w="820" w:type="dxa"/>
            <w:vAlign w:val="bottom"/>
            <w:gridSpan w:val="2"/>
          </w:tcPr>
          <w:p>
            <w:pPr>
              <w:spacing w:after="0"/>
              <w:rPr>
                <w:sz w:val="18"/>
                <w:szCs w:val="18"/>
                <w:color w:val="auto"/>
              </w:rPr>
            </w:pPr>
          </w:p>
        </w:tc>
        <w:tc>
          <w:tcPr>
            <w:tcW w:w="4660" w:type="dxa"/>
            <w:vAlign w:val="bottom"/>
            <w:gridSpan w:val="13"/>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3720" w:type="dxa"/>
            <w:vAlign w:val="bottom"/>
            <w:gridSpan w:val="9"/>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11"/>
          </w:tcPr>
          <w:p>
            <w:pPr>
              <w:jc w:val="center"/>
              <w:ind w:right="2600"/>
              <w:spacing w:after="0"/>
              <w:rPr>
                <w:rFonts w:ascii="Arial" w:cs="Arial" w:eastAsia="Arial" w:hAnsi="Arial"/>
                <w:sz w:val="18"/>
                <w:szCs w:val="18"/>
                <w:b w:val="1"/>
                <w:bCs w:val="1"/>
                <w:color w:val="0000FF"/>
                <w:w w:val="98"/>
              </w:rPr>
            </w:pPr>
            <w:hyperlink w:anchor="page52">
              <w:r>
                <w:rPr>
                  <w:rFonts w:ascii="Arial" w:cs="Arial" w:eastAsia="Arial" w:hAnsi="Arial"/>
                  <w:sz w:val="18"/>
                  <w:szCs w:val="18"/>
                  <w:b w:val="1"/>
                  <w:bCs w:val="1"/>
                  <w:color w:val="0000FF"/>
                  <w:w w:val="98"/>
                </w:rPr>
                <w:t>PART II - OTHER INFORMATION</w:t>
              </w:r>
            </w:hyperlink>
          </w:p>
        </w:tc>
        <w:tc>
          <w:tcPr>
            <w:tcW w:w="12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60" w:type="dxa"/>
            <w:vAlign w:val="bottom"/>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 xml:space="preserve">Item </w:t>
              </w:r>
            </w:hyperlink>
            <w:r>
              <w:rPr>
                <w:rFonts w:ascii="Arial" w:cs="Arial" w:eastAsia="Arial" w:hAnsi="Arial"/>
                <w:sz w:val="18"/>
                <w:szCs w:val="18"/>
                <w:color w:val="0000FF"/>
                <w:w w:val="94"/>
              </w:rPr>
              <w:t>1.</w:t>
            </w:r>
          </w:p>
        </w:tc>
        <w:tc>
          <w:tcPr>
            <w:tcW w:w="820" w:type="dxa"/>
            <w:vAlign w:val="bottom"/>
            <w:gridSpan w:val="2"/>
          </w:tcPr>
          <w:p>
            <w:pPr>
              <w:spacing w:after="0"/>
              <w:rPr>
                <w:sz w:val="24"/>
                <w:szCs w:val="24"/>
                <w:color w:val="auto"/>
              </w:rPr>
            </w:pPr>
          </w:p>
        </w:tc>
        <w:tc>
          <w:tcPr>
            <w:tcW w:w="2900" w:type="dxa"/>
            <w:vAlign w:val="bottom"/>
            <w:gridSpan w:val="1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2720" w:type="dxa"/>
            <w:vAlign w:val="bottom"/>
            <w:tcBorders>
              <w:top w:val="single" w:sz="8" w:color="0000FF"/>
            </w:tcBorders>
            <w:gridSpan w:val="4"/>
          </w:tcPr>
          <w:p>
            <w:pPr>
              <w:spacing w:after="0"/>
              <w:rPr>
                <w:sz w:val="24"/>
                <w:szCs w:val="24"/>
                <w:color w:val="auto"/>
              </w:rPr>
            </w:pPr>
          </w:p>
        </w:tc>
        <w:tc>
          <w:tcPr>
            <w:tcW w:w="2760" w:type="dxa"/>
            <w:vAlign w:val="bottom"/>
            <w:gridSpan w:val="6"/>
          </w:tcPr>
          <w:p>
            <w:pPr>
              <w:spacing w:after="0"/>
              <w:rPr>
                <w:sz w:val="24"/>
                <w:szCs w:val="24"/>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Item 1A.</w:t>
              </w:r>
            </w:hyperlink>
          </w:p>
        </w:tc>
        <w:tc>
          <w:tcPr>
            <w:tcW w:w="700" w:type="dxa"/>
            <w:vAlign w:val="bottom"/>
          </w:tcPr>
          <w:p>
            <w:pPr>
              <w:spacing w:after="0"/>
              <w:rPr>
                <w:sz w:val="18"/>
                <w:szCs w:val="18"/>
                <w:color w:val="auto"/>
              </w:rPr>
            </w:pPr>
          </w:p>
        </w:tc>
        <w:tc>
          <w:tcPr>
            <w:tcW w:w="980" w:type="dxa"/>
            <w:vAlign w:val="bottom"/>
            <w:gridSpan w:val="3"/>
          </w:tcPr>
          <w:p>
            <w:pP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Risk Factors</w:t>
              </w:r>
            </w:hyperlink>
          </w:p>
        </w:tc>
        <w:tc>
          <w:tcPr>
            <w:tcW w:w="7400" w:type="dxa"/>
            <w:vAlign w:val="bottom"/>
            <w:gridSpan w:val="19"/>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2.</w:t>
              </w:r>
            </w:hyperlink>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380" w:type="dxa"/>
            <w:vAlign w:val="bottom"/>
            <w:gridSpan w:val="2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3.</w:t>
              </w:r>
            </w:hyperlink>
          </w:p>
        </w:tc>
        <w:tc>
          <w:tcPr>
            <w:tcW w:w="820" w:type="dxa"/>
            <w:vAlign w:val="bottom"/>
            <w:gridSpan w:val="2"/>
          </w:tcPr>
          <w:p>
            <w:pPr>
              <w:spacing w:after="0"/>
              <w:rPr>
                <w:sz w:val="18"/>
                <w:szCs w:val="18"/>
                <w:color w:val="auto"/>
              </w:rPr>
            </w:pPr>
          </w:p>
        </w:tc>
        <w:tc>
          <w:tcPr>
            <w:tcW w:w="4820" w:type="dxa"/>
            <w:vAlign w:val="bottom"/>
            <w:gridSpan w:val="1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Defaults Upon Senior Securities</w:t>
              </w:r>
            </w:hyperlink>
          </w:p>
        </w:tc>
        <w:tc>
          <w:tcPr>
            <w:tcW w:w="3560" w:type="dxa"/>
            <w:vAlign w:val="bottom"/>
            <w:gridSpan w:val="7"/>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860" w:type="dxa"/>
            <w:vAlign w:val="bottom"/>
            <w:gridSpan w:val="1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4.</w:t>
              </w:r>
            </w:hyperlink>
          </w:p>
        </w:tc>
        <w:tc>
          <w:tcPr>
            <w:tcW w:w="820" w:type="dxa"/>
            <w:vAlign w:val="bottom"/>
            <w:gridSpan w:val="2"/>
          </w:tcPr>
          <w:p>
            <w:pPr>
              <w:spacing w:after="0"/>
              <w:rPr>
                <w:sz w:val="18"/>
                <w:szCs w:val="18"/>
                <w:color w:val="auto"/>
              </w:rPr>
            </w:pPr>
          </w:p>
        </w:tc>
        <w:tc>
          <w:tcPr>
            <w:tcW w:w="2520" w:type="dxa"/>
            <w:vAlign w:val="bottom"/>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Mine Safety Disclosures</w:t>
              </w:r>
            </w:hyperlink>
          </w:p>
        </w:tc>
        <w:tc>
          <w:tcPr>
            <w:tcW w:w="5860" w:type="dxa"/>
            <w:vAlign w:val="bottom"/>
            <w:gridSpan w:val="13"/>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 xml:space="preserve">Item </w:t>
              </w:r>
            </w:hyperlink>
            <w:r>
              <w:rPr>
                <w:rFonts w:ascii="Arial" w:cs="Arial" w:eastAsia="Arial" w:hAnsi="Arial"/>
                <w:sz w:val="18"/>
                <w:szCs w:val="18"/>
                <w:color w:val="0000FF"/>
                <w:w w:val="94"/>
              </w:rPr>
              <w:t>5.</w:t>
            </w:r>
          </w:p>
        </w:tc>
        <w:tc>
          <w:tcPr>
            <w:tcW w:w="820" w:type="dxa"/>
            <w:vAlign w:val="bottom"/>
            <w:tcBorders>
              <w:top w:val="single" w:sz="8" w:color="0000FF"/>
            </w:tcBorders>
            <w:gridSpan w:val="2"/>
          </w:tcPr>
          <w:p>
            <w:pPr>
              <w:spacing w:after="0"/>
              <w:rPr>
                <w:sz w:val="18"/>
                <w:szCs w:val="18"/>
                <w:color w:val="auto"/>
              </w:rPr>
            </w:pPr>
          </w:p>
        </w:tc>
        <w:tc>
          <w:tcPr>
            <w:tcW w:w="1380" w:type="dxa"/>
            <w:vAlign w:val="bottom"/>
            <w:tcBorders>
              <w:top w:val="single" w:sz="8" w:color="0000FF"/>
            </w:tcBorders>
            <w:gridSpan w:val="4"/>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Other Information</w:t>
              </w:r>
            </w:hyperlink>
          </w:p>
        </w:tc>
        <w:tc>
          <w:tcPr>
            <w:tcW w:w="520" w:type="dxa"/>
            <w:vAlign w:val="bottom"/>
            <w:tcBorders>
              <w:top w:val="single" w:sz="8" w:color="0000FF"/>
            </w:tcBorders>
            <w:gridSpan w:val="3"/>
          </w:tcPr>
          <w:p>
            <w:pPr>
              <w:spacing w:after="0"/>
              <w:rPr>
                <w:sz w:val="18"/>
                <w:szCs w:val="18"/>
                <w:color w:val="auto"/>
              </w:rPr>
            </w:pPr>
          </w:p>
        </w:tc>
        <w:tc>
          <w:tcPr>
            <w:tcW w:w="6480" w:type="dxa"/>
            <w:vAlign w:val="bottom"/>
            <w:gridSpan w:val="15"/>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8"/>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 xml:space="preserve">Item </w:t>
              </w:r>
            </w:hyperlink>
            <w:r>
              <w:rPr>
                <w:rFonts w:ascii="Arial" w:cs="Arial" w:eastAsia="Arial" w:hAnsi="Arial"/>
                <w:sz w:val="18"/>
                <w:szCs w:val="18"/>
                <w:color w:val="0000FF"/>
                <w:w w:val="94"/>
              </w:rPr>
              <w:t>6.</w:t>
            </w:r>
          </w:p>
        </w:tc>
        <w:tc>
          <w:tcPr>
            <w:tcW w:w="820" w:type="dxa"/>
            <w:vAlign w:val="bottom"/>
            <w:gridSpan w:val="2"/>
          </w:tcPr>
          <w:p>
            <w:pPr>
              <w:spacing w:after="0"/>
              <w:rPr>
                <w:sz w:val="18"/>
                <w:szCs w:val="18"/>
                <w:color w:val="auto"/>
              </w:rPr>
            </w:pPr>
          </w:p>
        </w:tc>
        <w:tc>
          <w:tcPr>
            <w:tcW w:w="1380" w:type="dxa"/>
            <w:vAlign w:val="bottom"/>
            <w:gridSpan w:val="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7000" w:type="dxa"/>
            <w:vAlign w:val="bottom"/>
            <w:gridSpan w:val="18"/>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Signatures</w:t>
              </w:r>
            </w:hyperlink>
          </w:p>
        </w:tc>
        <w:tc>
          <w:tcPr>
            <w:tcW w:w="7540" w:type="dxa"/>
            <w:vAlign w:val="bottom"/>
            <w:gridSpan w:val="20"/>
          </w:tcPr>
          <w:p>
            <w:pPr>
              <w:spacing w:after="0"/>
              <w:rPr>
                <w:sz w:val="18"/>
                <w:szCs w:val="18"/>
                <w:color w:val="auto"/>
              </w:rPr>
            </w:pPr>
          </w:p>
        </w:tc>
        <w:tc>
          <w:tcPr>
            <w:tcW w:w="142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9" w:lineRule="exact"/>
        <w:rPr>
          <w:sz w:val="20"/>
          <w:szCs w:val="20"/>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9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3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400" w:type="dxa"/>
            <w:vAlign w:val="bottom"/>
            <w:tcBorders>
              <w:top w:val="single" w:sz="8" w:color="0000FF"/>
            </w:tcBorders>
          </w:tcPr>
          <w:p>
            <w:pPr>
              <w:spacing w:after="0"/>
              <w:rPr>
                <w:sz w:val="24"/>
                <w:szCs w:val="24"/>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PART I — FINANCIAL INFORMATION</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b w:val="1"/>
                <w:bCs w:val="1"/>
                <w:color w:val="auto"/>
                <w:w w:val="98"/>
              </w:rPr>
              <w:t>ECHOSTAR CORPORATION</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700" w:type="dxa"/>
            <w:vAlign w:val="bottom"/>
            <w:gridSpan w:val="2"/>
          </w:tcPr>
          <w:p>
            <w:pPr>
              <w:jc w:val="center"/>
              <w:ind w:left="1650"/>
              <w:spacing w:after="0"/>
              <w:rPr>
                <w:sz w:val="20"/>
                <w:szCs w:val="20"/>
                <w:color w:val="auto"/>
              </w:rPr>
            </w:pPr>
            <w:r>
              <w:rPr>
                <w:rFonts w:ascii="Arial" w:cs="Arial" w:eastAsia="Arial" w:hAnsi="Arial"/>
                <w:sz w:val="18"/>
                <w:szCs w:val="18"/>
                <w:color w:val="auto"/>
                <w:w w:val="99"/>
              </w:rPr>
              <w:t>(Amounts in thousands, except share and per share amounts)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color w:val="auto"/>
                <w:w w:val="99"/>
              </w:rPr>
              <w:t>(Unaudited)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896,005</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Marketable investment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735,418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1,638,271</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2,908,086</w:t>
            </w:r>
          </w:p>
        </w:tc>
        <w:tc>
          <w:tcPr>
            <w:tcW w:w="0" w:type="dxa"/>
            <w:vAlign w:val="bottom"/>
          </w:tcPr>
          <w:p>
            <w:pPr>
              <w:spacing w:after="0"/>
              <w:rPr>
                <w:sz w:val="1"/>
                <w:szCs w:val="1"/>
                <w:color w:val="auto"/>
              </w:rPr>
            </w:pPr>
          </w:p>
        </w:tc>
      </w:tr>
      <w:tr>
        <w:trPr>
          <w:trHeight w:val="221"/>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2,420,917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2,390,313</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128,303</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511,597</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Regulatory authorizations,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476,092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18,433</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Other investments,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4,254,406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4,165,266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0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122,366</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808,758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898,237</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1,331,783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1,425,171</w:t>
            </w:r>
          </w:p>
        </w:tc>
        <w:tc>
          <w:tcPr>
            <w:tcW w:w="0" w:type="dxa"/>
            <w:vAlign w:val="bottom"/>
          </w:tcPr>
          <w:p>
            <w:pPr>
              <w:spacing w:after="0"/>
              <w:rPr>
                <w:sz w:val="1"/>
                <w:szCs w:val="1"/>
                <w:color w:val="auto"/>
              </w:rPr>
            </w:pPr>
          </w:p>
        </w:tc>
      </w:tr>
      <w:tr>
        <w:trPr>
          <w:trHeight w:val="221"/>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1,495,436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378,271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359,896</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114,886</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70,893</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2,040,931</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3,393,944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3,466,102</w:t>
            </w:r>
          </w:p>
        </w:tc>
        <w:tc>
          <w:tcPr>
            <w:tcW w:w="0" w:type="dxa"/>
            <w:vAlign w:val="bottom"/>
          </w:tcPr>
          <w:p>
            <w:pPr>
              <w:spacing w:after="0"/>
              <w:rPr>
                <w:sz w:val="1"/>
                <w:szCs w:val="1"/>
                <w:color w:val="auto"/>
              </w:rPr>
            </w:pPr>
          </w:p>
        </w:tc>
      </w:tr>
      <w:tr>
        <w:trPr>
          <w:trHeight w:val="237"/>
        </w:trPr>
        <w:tc>
          <w:tcPr>
            <w:tcW w:w="140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8"/>
        </w:trPr>
        <w:tc>
          <w:tcPr>
            <w:tcW w:w="8080" w:type="dxa"/>
            <w:vAlign w:val="bottom"/>
          </w:tcPr>
          <w:p>
            <w:pPr>
              <w:ind w:left="280"/>
              <w:spacing w:after="0" w:line="189" w:lineRule="exact"/>
              <w:rPr>
                <w:sz w:val="20"/>
                <w:szCs w:val="20"/>
                <w:color w:val="auto"/>
              </w:rPr>
            </w:pPr>
            <w:r>
              <w:rPr>
                <w:rFonts w:ascii="Arial" w:cs="Arial" w:eastAsia="Arial" w:hAnsi="Arial"/>
                <w:sz w:val="18"/>
                <w:szCs w:val="18"/>
                <w:color w:val="auto"/>
              </w:rPr>
              <w:t>Preferred stock, $0.001 par value, 20,000,000 shares authorized, none issued and outstanding</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8080" w:type="dxa"/>
            <w:vAlign w:val="bottom"/>
          </w:tcPr>
          <w:p>
            <w:pPr>
              <w:ind w:left="280"/>
              <w:spacing w:after="0"/>
              <w:rPr>
                <w:sz w:val="20"/>
                <w:szCs w:val="20"/>
                <w:color w:val="auto"/>
              </w:rPr>
            </w:pPr>
            <w:r>
              <w:rPr>
                <w:rFonts w:ascii="Arial" w:cs="Arial" w:eastAsia="Arial" w:hAnsi="Arial"/>
                <w:sz w:val="18"/>
                <w:szCs w:val="18"/>
                <w:color w:val="auto"/>
              </w:rPr>
              <w:t>at both March 31, 2021 and December 31, 2020</w:t>
            </w:r>
          </w:p>
        </w:tc>
        <w:tc>
          <w:tcPr>
            <w:tcW w:w="3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8"/>
        </w:trPr>
        <w:tc>
          <w:tcPr>
            <w:tcW w:w="8080" w:type="dxa"/>
            <w:vAlign w:val="bottom"/>
          </w:tcPr>
          <w:p>
            <w:pPr>
              <w:ind w:left="480"/>
              <w:spacing w:after="0" w:line="189" w:lineRule="exact"/>
              <w:rPr>
                <w:sz w:val="20"/>
                <w:szCs w:val="20"/>
                <w:color w:val="auto"/>
              </w:rPr>
            </w:pPr>
            <w:r>
              <w:rPr>
                <w:rFonts w:ascii="Arial" w:cs="Arial" w:eastAsia="Arial" w:hAnsi="Arial"/>
                <w:sz w:val="18"/>
                <w:szCs w:val="18"/>
                <w:color w:val="auto"/>
              </w:rPr>
              <w:t>Class A common stock, $0.001 par value, 1,600,000,000 shares authorized, 57,712,888</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6"/>
        </w:trPr>
        <w:tc>
          <w:tcPr>
            <w:tcW w:w="8080" w:type="dxa"/>
            <w:vAlign w:val="bottom"/>
          </w:tcPr>
          <w:p>
            <w:pPr>
              <w:ind w:left="480"/>
              <w:spacing w:after="0" w:line="176" w:lineRule="exact"/>
              <w:rPr>
                <w:sz w:val="20"/>
                <w:szCs w:val="20"/>
                <w:color w:val="auto"/>
              </w:rPr>
            </w:pPr>
            <w:r>
              <w:rPr>
                <w:rFonts w:ascii="Arial" w:cs="Arial" w:eastAsia="Arial" w:hAnsi="Arial"/>
                <w:sz w:val="18"/>
                <w:szCs w:val="18"/>
                <w:color w:val="auto"/>
              </w:rPr>
              <w:t>shares issued and 44,551,347 shares outstanding at March 31, 2021 and 57,254,201 shares</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8080" w:type="dxa"/>
            <w:vAlign w:val="bottom"/>
          </w:tcPr>
          <w:p>
            <w:pPr>
              <w:ind w:left="480"/>
              <w:spacing w:after="0"/>
              <w:rPr>
                <w:sz w:val="20"/>
                <w:szCs w:val="20"/>
                <w:color w:val="auto"/>
              </w:rPr>
            </w:pPr>
            <w:r>
              <w:rPr>
                <w:rFonts w:ascii="Arial" w:cs="Arial" w:eastAsia="Arial" w:hAnsi="Arial"/>
                <w:sz w:val="18"/>
                <w:szCs w:val="18"/>
                <w:color w:val="auto"/>
              </w:rPr>
              <w:t>issued and 48,863,374 shares outstanding at December 31, 2020</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88"/>
        </w:trPr>
        <w:tc>
          <w:tcPr>
            <w:tcW w:w="80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47,687,039 shares issued and outstanding at both March 31, 2021 and December 31, 2020</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8"/>
        </w:trPr>
        <w:tc>
          <w:tcPr>
            <w:tcW w:w="8080" w:type="dxa"/>
            <w:vAlign w:val="bottom"/>
          </w:tcPr>
          <w:p>
            <w:pPr>
              <w:ind w:left="480"/>
              <w:spacing w:after="0" w:line="189" w:lineRule="exact"/>
              <w:rPr>
                <w:sz w:val="20"/>
                <w:szCs w:val="20"/>
                <w:color w:val="auto"/>
              </w:rPr>
            </w:pPr>
            <w:r>
              <w:rPr>
                <w:rFonts w:ascii="Arial" w:cs="Arial" w:eastAsia="Arial" w:hAnsi="Arial"/>
                <w:sz w:val="18"/>
                <w:szCs w:val="18"/>
                <w:color w:val="auto"/>
              </w:rPr>
              <w:t>Class C convertible common stock, $0.001 par value, 800,000,000 shares authorized, none</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8080" w:type="dxa"/>
            <w:vAlign w:val="bottom"/>
          </w:tcPr>
          <w:p>
            <w:pPr>
              <w:ind w:left="480"/>
              <w:spacing w:after="0"/>
              <w:rPr>
                <w:sz w:val="20"/>
                <w:szCs w:val="20"/>
                <w:color w:val="auto"/>
              </w:rPr>
            </w:pPr>
            <w:r>
              <w:rPr>
                <w:rFonts w:ascii="Arial" w:cs="Arial" w:eastAsia="Arial" w:hAnsi="Arial"/>
                <w:sz w:val="18"/>
                <w:szCs w:val="18"/>
                <w:color w:val="auto"/>
              </w:rPr>
              <w:t>issued and outstanding at both March 31, 2021 and December 31, 2020</w:t>
            </w:r>
          </w:p>
        </w:tc>
        <w:tc>
          <w:tcPr>
            <w:tcW w:w="3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0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Class D common stock, $0.001 par value, 800,000,000 shares authorized, none issued and</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7"/>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 at both March 31, 2021 and December 31, 2020</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3,333,047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3,321,426</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(187,876)</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662,110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583,591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(174,912)</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Total EchoStar Corporation stockholders' equity</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3,494,106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3,542,334</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64,916</w:t>
            </w:r>
          </w:p>
        </w:tc>
      </w:tr>
      <w:tr>
        <w:trPr>
          <w:trHeight w:val="223"/>
        </w:trPr>
        <w:tc>
          <w:tcPr>
            <w:tcW w:w="8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3,557,865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3,607,250</w:t>
            </w:r>
          </w:p>
        </w:tc>
      </w:tr>
      <w:tr>
        <w:trPr>
          <w:trHeight w:val="248"/>
        </w:trPr>
        <w:tc>
          <w:tcPr>
            <w:tcW w:w="8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6,951,809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7,073,352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767"/>
        </w:trPr>
        <w:tc>
          <w:tcPr>
            <w:tcW w:w="1400" w:type="dxa"/>
            <w:vAlign w:val="bottom"/>
            <w:tcBorders>
              <w:top w:val="single" w:sz="8" w:color="0000FF"/>
            </w:tcBorders>
          </w:tcPr>
          <w:p>
            <w:pPr>
              <w:spacing w:after="0"/>
              <w:rPr>
                <w:sz w:val="24"/>
                <w:szCs w:val="24"/>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b w:val="1"/>
                <w:bCs w:val="1"/>
                <w:color w:val="auto"/>
                <w:w w:val="98"/>
              </w:rPr>
              <w:t>ECHOSTAR CORPORATION</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1400" w:type="dxa"/>
            <w:vAlign w:val="bottom"/>
          </w:tcPr>
          <w:p>
            <w:pPr>
              <w:spacing w:after="0"/>
              <w:rPr>
                <w:sz w:val="18"/>
                <w:szCs w:val="18"/>
                <w:color w:val="auto"/>
              </w:rPr>
            </w:pPr>
          </w:p>
        </w:tc>
        <w:tc>
          <w:tcPr>
            <w:tcW w:w="6540" w:type="dxa"/>
            <w:vAlign w:val="bottom"/>
          </w:tcPr>
          <w:p>
            <w:pPr>
              <w:jc w:val="center"/>
              <w:ind w:left="1810"/>
              <w:spacing w:after="0"/>
              <w:rPr>
                <w:sz w:val="20"/>
                <w:szCs w:val="20"/>
                <w:color w:val="auto"/>
              </w:rPr>
            </w:pPr>
            <w:r>
              <w:rPr>
                <w:rFonts w:ascii="Arial" w:cs="Arial" w:eastAsia="Arial" w:hAnsi="Arial"/>
                <w:sz w:val="18"/>
                <w:szCs w:val="18"/>
                <w:color w:val="auto"/>
                <w:w w:val="99"/>
              </w:rPr>
              <w:t>(Amounts in thousands, except per share amounts)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1400" w:type="dxa"/>
            <w:vAlign w:val="bottom"/>
          </w:tcPr>
          <w:p>
            <w:pPr>
              <w:spacing w:after="0"/>
              <w:rPr>
                <w:sz w:val="18"/>
                <w:szCs w:val="18"/>
                <w:color w:val="auto"/>
              </w:rPr>
            </w:pPr>
          </w:p>
        </w:tc>
        <w:tc>
          <w:tcPr>
            <w:tcW w:w="6540" w:type="dxa"/>
            <w:vAlign w:val="bottom"/>
          </w:tcPr>
          <w:p>
            <w:pPr>
              <w:jc w:val="center"/>
              <w:ind w:left="1830"/>
              <w:spacing w:after="0"/>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97"/>
        </w:trPr>
        <w:tc>
          <w:tcPr>
            <w:tcW w:w="14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For the three months ended March</w:t>
            </w:r>
          </w:p>
        </w:tc>
      </w:tr>
      <w:tr>
        <w:trPr>
          <w:trHeight w:val="229"/>
        </w:trPr>
        <w:tc>
          <w:tcPr>
            <w:tcW w:w="14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31,</w:t>
            </w:r>
          </w:p>
        </w:tc>
        <w:tc>
          <w:tcPr>
            <w:tcW w:w="1240" w:type="dxa"/>
            <w:vAlign w:val="bottom"/>
            <w:tcBorders>
              <w:bottom w:val="single" w:sz="8" w:color="auto"/>
            </w:tcBorders>
          </w:tcPr>
          <w:p>
            <w:pPr>
              <w:spacing w:after="0"/>
              <w:rPr>
                <w:sz w:val="19"/>
                <w:szCs w:val="19"/>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Services and other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430,337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408,357</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57,309</w:t>
            </w:r>
          </w:p>
        </w:tc>
      </w:tr>
      <w:tr>
        <w:trPr>
          <w:trHeight w:val="223"/>
        </w:trPr>
        <w:tc>
          <w:tcPr>
            <w:tcW w:w="7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465,666</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145,252</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125,281</w:t>
            </w: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129,286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132,368</w:t>
            </w: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455,063</w:t>
            </w:r>
          </w:p>
        </w:tc>
      </w:tr>
      <w:tr>
        <w:trPr>
          <w:trHeight w:val="22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r>
      <w:tr>
        <w:trPr>
          <w:trHeight w:val="221"/>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2"/>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w:t>
            </w:r>
          </w:p>
        </w:tc>
      </w:tr>
      <w:tr>
        <w:trPr>
          <w:trHeight w:val="229"/>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(36,233)</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(46,672)</w:t>
            </w:r>
          </w:p>
        </w:tc>
      </w:tr>
      <w:tr>
        <w:trPr>
          <w:trHeight w:val="230"/>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w:t>
            </w:r>
          </w:p>
        </w:tc>
      </w:tr>
      <w:tr>
        <w:trPr>
          <w:trHeight w:val="230"/>
        </w:trPr>
        <w:tc>
          <w:tcPr>
            <w:tcW w:w="7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7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(75,832)</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(65,229)</w:t>
            </w:r>
          </w:p>
        </w:tc>
      </w:tr>
      <w:tr>
        <w:trPr>
          <w:trHeight w:val="229"/>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(57,737)</w:t>
            </w:r>
          </w:p>
        </w:tc>
      </w:tr>
      <w:tr>
        <w:trPr>
          <w:trHeight w:val="230"/>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(54,295)</w:t>
            </w: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1400" w:type="dxa"/>
            <w:vAlign w:val="bottom"/>
            <w:shd w:val="clear" w:color="auto" w:fill="CCEEFF"/>
          </w:tcPr>
          <w:p>
            <w:pPr>
              <w:spacing w:after="0"/>
              <w:rPr>
                <w:sz w:val="19"/>
                <w:szCs w:val="19"/>
                <w:color w:val="auto"/>
              </w:rPr>
            </w:pPr>
          </w:p>
        </w:tc>
        <w:tc>
          <w:tcPr>
            <w:tcW w:w="6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5"/>
        </w:trPr>
        <w:tc>
          <w:tcPr>
            <w:tcW w:w="7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 earnings (losses)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3"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(80,362)</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Unrealized gains (losses) on available-for-sale securities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(3,366)</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b w:val="1"/>
                <w:bCs w:val="1"/>
                <w:color w:val="auto"/>
              </w:rPr>
              <w:t>Amounts reclassified to net income (loss):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income (loss), net of tax</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(86,403)</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(144,140)</w:t>
            </w:r>
          </w:p>
        </w:tc>
      </w:tr>
      <w:tr>
        <w:trPr>
          <w:trHeight w:val="229"/>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19,765</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(124,375)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1"/>
                <w:szCs w:val="11"/>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75,748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3,745,553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Cumulative effect of accounting changes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(9,308)</w:t>
            </w:r>
          </w:p>
        </w:tc>
        <w:tc>
          <w:tcPr>
            <w:tcW w:w="0" w:type="dxa"/>
            <w:vAlign w:val="bottom"/>
          </w:tcPr>
          <w:p>
            <w:pPr>
              <w:spacing w:after="0"/>
              <w:rPr>
                <w:sz w:val="1"/>
                <w:szCs w:val="1"/>
                <w:color w:val="auto"/>
              </w:rPr>
            </w:pPr>
          </w:p>
        </w:tc>
      </w:tr>
      <w:tr>
        <w:trPr>
          <w:trHeight w:val="18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2020</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3,290,483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(122,138)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623,741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75,508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3,736,245</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 of stock options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Employee benefits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Employee Stock Purchase Plan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153"/>
        </w:trPr>
        <w:tc>
          <w:tcPr>
            <w:tcW w:w="35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Issuance of equity and contribution of assets</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2,824</w:t>
            </w:r>
          </w:p>
        </w:tc>
        <w:tc>
          <w:tcPr>
            <w:tcW w:w="0" w:type="dxa"/>
            <w:vAlign w:val="bottom"/>
          </w:tcPr>
          <w:p>
            <w:pPr>
              <w:spacing w:after="0"/>
              <w:rPr>
                <w:sz w:val="1"/>
                <w:szCs w:val="1"/>
                <w:color w:val="auto"/>
              </w:rPr>
            </w:pPr>
          </w:p>
        </w:tc>
      </w:tr>
      <w:tr>
        <w:trPr>
          <w:trHeight w:val="171"/>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pursuant to the Yahsat JV formation</w:t>
            </w: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(86,403)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(54,295)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(57,737)</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3,307,360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58,229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3,605,575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b w:val="1"/>
                <w:bCs w:val="1"/>
                <w:color w:val="auto"/>
              </w:rPr>
              <w:t>Issuances of Class A 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Employee benefits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89"/>
        </w:trPr>
        <w:tc>
          <w:tcPr>
            <w:tcW w:w="3540" w:type="dxa"/>
            <w:vAlign w:val="bottom"/>
          </w:tcPr>
          <w:p>
            <w:pPr>
              <w:ind w:left="260"/>
              <w:spacing w:after="0"/>
              <w:rPr>
                <w:sz w:val="20"/>
                <w:szCs w:val="20"/>
                <w:color w:val="auto"/>
              </w:rPr>
            </w:pPr>
            <w:r>
              <w:rPr>
                <w:rFonts w:ascii="Arial" w:cs="Arial" w:eastAsia="Arial" w:hAnsi="Arial"/>
                <w:sz w:val="14"/>
                <w:szCs w:val="14"/>
                <w:color w:val="auto"/>
              </w:rPr>
              <w:t>Employee Stock Purchase Plan</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2,486</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Contribution by non-controlling interest holder</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5,400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 (loss)</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(33,210)</w:t>
            </w:r>
          </w:p>
        </w:tc>
        <w:tc>
          <w:tcPr>
            <w:tcW w:w="0" w:type="dxa"/>
            <w:vAlign w:val="bottom"/>
          </w:tcPr>
          <w:p>
            <w:pPr>
              <w:spacing w:after="0"/>
              <w:rPr>
                <w:sz w:val="1"/>
                <w:szCs w:val="1"/>
                <w:color w:val="auto"/>
              </w:rPr>
            </w:pPr>
          </w:p>
        </w:tc>
      </w:tr>
      <w:tr>
        <w:trPr>
          <w:trHeight w:val="189"/>
        </w:trPr>
        <w:tc>
          <w:tcPr>
            <w:tcW w:w="354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78,519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77,572</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share repurchase</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(110,769)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(110,769)</w:t>
            </w:r>
          </w:p>
        </w:tc>
        <w:tc>
          <w:tcPr>
            <w:tcW w:w="0" w:type="dxa"/>
            <w:vAlign w:val="bottom"/>
          </w:tcPr>
          <w:p>
            <w:pPr>
              <w:spacing w:after="0"/>
              <w:rPr>
                <w:sz w:val="1"/>
                <w:szCs w:val="1"/>
                <w:color w:val="auto"/>
              </w:rPr>
            </w:pP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3,333,047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(215,476)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662,110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(285,681)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63,759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3,557,865</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2"/>
        </w:trPr>
        <w:tc>
          <w:tcPr>
            <w:tcW w:w="7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77,572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(57,737)</w:t>
            </w:r>
          </w:p>
        </w:tc>
      </w:tr>
      <w:tr>
        <w:trPr>
          <w:trHeight w:val="165"/>
        </w:trPr>
        <w:tc>
          <w:tcPr>
            <w:tcW w:w="7960" w:type="dxa"/>
            <w:vAlign w:val="bottom"/>
            <w:shd w:val="clear" w:color="auto" w:fill="CCEEFF"/>
          </w:tcPr>
          <w:p>
            <w:pPr>
              <w:ind w:left="240"/>
              <w:spacing w:after="0" w:line="165"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activities: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9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129,286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132,368</w:t>
            </w:r>
          </w:p>
        </w:tc>
      </w:tr>
      <w:tr>
        <w:trPr>
          <w:trHeight w:val="232"/>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Impairment of long-lived assets</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960" w:type="dxa"/>
            <w:vAlign w:val="bottom"/>
          </w:tcPr>
          <w:p>
            <w:pPr>
              <w:ind w:left="460"/>
              <w:spacing w:after="0"/>
              <w:rPr>
                <w:sz w:val="20"/>
                <w:szCs w:val="20"/>
                <w:color w:val="auto"/>
              </w:rPr>
            </w:pPr>
            <w:r>
              <w:rPr>
                <w:rFonts w:ascii="Arial" w:cs="Arial" w:eastAsia="Arial" w:hAnsi="Arial"/>
                <w:sz w:val="16"/>
                <w:szCs w:val="16"/>
                <w:color w:val="auto"/>
              </w:rPr>
              <w:t>Losses (gains) on investments,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46,672</w:t>
            </w:r>
          </w:p>
        </w:tc>
      </w:tr>
      <w:tr>
        <w:trPr>
          <w:trHeight w:val="219"/>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r>
      <w:tr>
        <w:trPr>
          <w:trHeight w:val="213"/>
        </w:trPr>
        <w:tc>
          <w:tcPr>
            <w:tcW w:w="7960" w:type="dxa"/>
            <w:vAlign w:val="bottom"/>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10,844</w:t>
            </w:r>
          </w:p>
        </w:tc>
      </w:tr>
      <w:tr>
        <w:trPr>
          <w:trHeight w:val="219"/>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provision (benefit),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(10,064)</w:t>
            </w:r>
          </w:p>
        </w:tc>
      </w:tr>
      <w:tr>
        <w:trPr>
          <w:trHeight w:val="213"/>
        </w:trPr>
        <w:tc>
          <w:tcPr>
            <w:tcW w:w="796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2,384</w:t>
            </w:r>
          </w:p>
        </w:tc>
      </w:tr>
      <w:tr>
        <w:trPr>
          <w:trHeight w:val="219"/>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3"/>
        </w:trPr>
        <w:tc>
          <w:tcPr>
            <w:tcW w:w="7960" w:type="dxa"/>
            <w:vAlign w:val="bottom"/>
          </w:tcPr>
          <w:p>
            <w:pPr>
              <w:ind w:left="46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(4,899)</w:t>
            </w:r>
          </w:p>
        </w:tc>
      </w:tr>
      <w:tr>
        <w:trPr>
          <w:trHeight w:val="219"/>
        </w:trPr>
        <w:tc>
          <w:tcPr>
            <w:tcW w:w="796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Trade accounts receivable and contract assets,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(7,664)</w:t>
            </w:r>
          </w:p>
        </w:tc>
      </w:tr>
      <w:tr>
        <w:trPr>
          <w:trHeight w:val="219"/>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w:t>
            </w: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Trade accounts payable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(18,375)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(9,559)</w:t>
            </w:r>
          </w:p>
        </w:tc>
      </w:tr>
      <w:tr>
        <w:trPr>
          <w:trHeight w:val="219"/>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w:t>
            </w: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(4,922)</w:t>
            </w:r>
          </w:p>
        </w:tc>
      </w:tr>
      <w:tr>
        <w:trPr>
          <w:trHeight w:val="219"/>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Non-current assets and non-current liabilities, net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(5,226)</w:t>
            </w:r>
          </w:p>
        </w:tc>
      </w:t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r>
      <w:tr>
        <w:trPr>
          <w:trHeight w:val="240"/>
        </w:trPr>
        <w:tc>
          <w:tcPr>
            <w:tcW w:w="7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(550,891)</w:t>
            </w: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1,361,632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687,579</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(104,604)</w:t>
            </w: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(8,638)</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other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3"/>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Sales of other investments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736,980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17,946</w:t>
            </w:r>
          </w:p>
        </w:tc>
      </w:tr>
      <w:tr>
        <w:trPr>
          <w:trHeight w:val="239"/>
        </w:trPr>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Repurchase of the 2021 Senior Unsecured Notes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(62,588)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finance lease obligations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proceeds from Class A common stock options exercised</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Net proceeds from Class A common stock issued under the Employee Stock Purchase Plan</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Treasury share repurchase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w:t>
            </w:r>
          </w:p>
        </w:tc>
      </w:tr>
      <w:tr>
        <w:trPr>
          <w:trHeight w:val="213"/>
        </w:trPr>
        <w:tc>
          <w:tcPr>
            <w:tcW w:w="7960" w:type="dxa"/>
            <w:vAlign w:val="bottom"/>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9"/>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06"/>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(164,289)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r>
      <w:tr>
        <w:trPr>
          <w:trHeight w:val="240"/>
        </w:trPr>
        <w:tc>
          <w:tcPr>
            <w:tcW w:w="7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w:t>
            </w: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85,414</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3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1,584,582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1,607,303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2" w:lineRule="exact"/>
        <w:rPr>
          <w:sz w:val="20"/>
          <w:szCs w:val="20"/>
          <w:color w:val="auto"/>
        </w:rPr>
      </w:pPr>
    </w:p>
    <w:p>
      <w:pPr>
        <w:jc w:val="both"/>
        <w:ind w:left="660" w:hanging="328"/>
        <w:spacing w:after="0" w:line="25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ESS </w:t>
      </w:r>
      <w:r>
        <w:rPr>
          <w:rFonts w:ascii="Arial" w:cs="Arial" w:eastAsia="Arial" w:hAnsi="Arial"/>
          <w:sz w:val="18"/>
          <w:szCs w:val="18"/>
          <w:color w:val="auto"/>
        </w:rPr>
        <w:t>— which uses certain of our owned and leased in-orbit satellites and related licenses to provide satellite services on a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occasional-use basis to United States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 We also divide our operations by primary geographic market as follows: (i) North America (the U.S. and its territories, Mexico, and Canada); (ii) South and Central America and (iii) Other (Asia, Africa, Australia, Europe, India, and the Middle East). Refer to Note 14. Segment Reporting for further detail.</w:t>
      </w:r>
    </w:p>
    <w:p>
      <w:pPr>
        <w:spacing w:after="0" w:line="2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 impairment testing.</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On January 1, 2021, we adopted Accounting Standard Update (“ASU”) No. 2019-12 - </w:t>
      </w:r>
      <w:r>
        <w:rPr>
          <w:rFonts w:ascii="Arial" w:cs="Arial" w:eastAsia="Arial" w:hAnsi="Arial"/>
          <w:sz w:val="18"/>
          <w:szCs w:val="18"/>
          <w:i w:val="1"/>
          <w:iCs w:val="1"/>
          <w:color w:val="auto"/>
        </w:rPr>
        <w:t>Income Taxes (Topic 740): 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Income Taxes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 is part of the Financial Accounting Standards Board (“FASB”) overall simplification initiative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seeks to simplify the accounting for income taxes by updating certain guidance and removing certain exceptions. Our adoption of this ASU did not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March 2020, the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Trade accounts receivable and contract assets, net:</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150,021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149,513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0" w:type="dxa"/>
            <w:vAlign w:val="bottom"/>
          </w:tcPr>
          <w:p>
            <w:pPr>
              <w:spacing w:after="0"/>
              <w:rPr>
                <w:sz w:val="1"/>
                <w:szCs w:val="1"/>
                <w:color w:val="auto"/>
              </w:rPr>
            </w:pP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trade accounts receivable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154,067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trade accounts receivable and contract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112,507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104,569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0" w:type="dxa"/>
            <w:vAlign w:val="bottom"/>
          </w:tcPr>
          <w:p>
            <w:pPr>
              <w:spacing w:after="0"/>
              <w:rPr>
                <w:sz w:val="1"/>
                <w:szCs w:val="1"/>
                <w:color w:val="auto"/>
              </w:rPr>
            </w:pP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contract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presents the revenue recognized in the Consolidated Statement of Operations that was previously included within contract liabilities: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Costs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in our contract acquisition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beginning of period</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expense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end of period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99,837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113,592</w:t>
            </w:r>
          </w:p>
        </w:tc>
      </w:tr>
      <w:tr>
        <w:trPr>
          <w:trHeight w:val="229"/>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26,474</w:t>
            </w:r>
          </w:p>
        </w:tc>
      </w:tr>
      <w:tr>
        <w:trPr>
          <w:trHeight w:val="230"/>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(25,675)</w:t>
            </w:r>
          </w:p>
        </w:tc>
      </w:tr>
      <w:tr>
        <w:trPr>
          <w:trHeight w:val="229"/>
        </w:trPr>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110,397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35"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2021, the remaining performance obligations for our customer contracts with original expected durations of more than one year was $939.7 million. Performance obligations expected to be satisfied within one year and greater than one year are 37% and 63%, respectively. This amount and percentages exclude agreements with consumer customers in our Hughes segment, our leasing arrangements and agreements with certain customers under which collectability of all amounts due through the term of contracts is uncertain.</w:t>
      </w:r>
    </w:p>
    <w:p>
      <w:pPr>
        <w:sectPr>
          <w:pgSz w:w="11900" w:h="16838" w:orient="portrait"/>
          <w:cols w:equalWidth="0" w:num="1">
            <w:col w:w="1124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from customer contracts disaggregated by primary geographic market and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398,759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405,460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43,030</w:t>
            </w: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34,092</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382,715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389,807</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 and Central America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41,811</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465,666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the nature of products and services and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17"/>
                <w:szCs w:val="17"/>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ESS</w:t>
            </w: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9"/>
                <w:szCs w:val="19"/>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417,300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430,337</w:t>
            </w:r>
          </w:p>
        </w:tc>
        <w:tc>
          <w:tcPr>
            <w:tcW w:w="0" w:type="dxa"/>
            <w:vAlign w:val="bottom"/>
          </w:tcPr>
          <w:p>
            <w:pPr>
              <w:spacing w:after="0"/>
              <w:rPr>
                <w:sz w:val="1"/>
                <w:szCs w:val="1"/>
                <w:color w:val="auto"/>
              </w:rPr>
            </w:pPr>
          </w:p>
        </w:tc>
      </w:tr>
      <w:tr>
        <w:trPr>
          <w:trHeight w:val="210"/>
        </w:trPr>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0" w:type="dxa"/>
            <w:vAlign w:val="bottom"/>
          </w:tcPr>
          <w:p>
            <w:pPr>
              <w:spacing w:after="0"/>
              <w:rPr>
                <w:sz w:val="1"/>
                <w:szCs w:val="1"/>
                <w:color w:val="auto"/>
              </w:rPr>
            </w:pPr>
          </w:p>
        </w:tc>
      </w:tr>
      <w:tr>
        <w:trPr>
          <w:trHeight w:val="229"/>
        </w:trPr>
        <w:tc>
          <w:tcPr>
            <w:tcW w:w="476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21,636</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23"/>
        </w:trPr>
        <w:tc>
          <w:tcPr>
            <w:tcW w:w="4760" w:type="dxa"/>
            <w:vAlign w:val="bottom"/>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52,245</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482,582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Services and other revenue:</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394,053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14,304</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408,357</w:t>
            </w:r>
          </w:p>
        </w:tc>
        <w:tc>
          <w:tcPr>
            <w:tcW w:w="0" w:type="dxa"/>
            <w:vAlign w:val="bottom"/>
          </w:tcPr>
          <w:p>
            <w:pPr>
              <w:spacing w:after="0"/>
              <w:rPr>
                <w:sz w:val="1"/>
                <w:szCs w:val="1"/>
                <w:color w:val="auto"/>
              </w:rPr>
            </w:pPr>
          </w:p>
        </w:tc>
      </w:tr>
      <w:tr>
        <w:trPr>
          <w:trHeight w:val="210"/>
        </w:trPr>
        <w:tc>
          <w:tcPr>
            <w:tcW w:w="4760" w:type="dxa"/>
            <w:vAlign w:val="bottom"/>
          </w:tcPr>
          <w:p>
            <w:pPr>
              <w:ind w:left="240"/>
              <w:spacing w:after="0"/>
              <w:rPr>
                <w:sz w:val="20"/>
                <w:szCs w:val="20"/>
                <w:color w:val="auto"/>
              </w:rPr>
            </w:pPr>
            <w:r>
              <w:rPr>
                <w:rFonts w:ascii="Arial" w:cs="Arial" w:eastAsia="Arial" w:hAnsi="Arial"/>
                <w:sz w:val="18"/>
                <w:szCs w:val="18"/>
                <w:b w:val="1"/>
                <w:bCs w:val="1"/>
                <w:color w:val="auto"/>
              </w:rPr>
              <w:t>Equipment revenue: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Arial" w:cs="Arial" w:eastAsia="Arial" w:hAnsi="Arial"/>
                <w:sz w:val="18"/>
                <w:szCs w:val="18"/>
                <w:color w:val="auto"/>
              </w:rPr>
              <w:t>Design, development and construction services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31,557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revenue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4760" w:type="dxa"/>
            <w:vAlign w:val="bottom"/>
          </w:tcPr>
          <w:p>
            <w:pPr>
              <w:ind w:left="680"/>
              <w:spacing w:after="0"/>
              <w:rPr>
                <w:sz w:val="20"/>
                <w:szCs w:val="20"/>
                <w:color w:val="auto"/>
              </w:rPr>
            </w:pPr>
            <w:r>
              <w:rPr>
                <w:rFonts w:ascii="Arial" w:cs="Arial" w:eastAsia="Arial" w:hAnsi="Arial"/>
                <w:sz w:val="18"/>
                <w:szCs w:val="18"/>
                <w:color w:val="auto"/>
              </w:rPr>
              <w:t>Total equipment revenue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57,309</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465,666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113" w:lineRule="exact"/>
        <w:rPr>
          <w:sz w:val="20"/>
          <w:szCs w:val="20"/>
          <w:color w:val="auto"/>
        </w:rPr>
      </w:pPr>
    </w:p>
    <w:p>
      <w:pPr>
        <w:jc w:val="center"/>
        <w:ind w:left="794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4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Sales-type lease revenue: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7960" w:type="dxa"/>
            <w:vAlign w:val="bottom"/>
          </w:tcPr>
          <w:p>
            <w:pPr>
              <w:ind w:left="460"/>
              <w:spacing w:after="0"/>
              <w:rPr>
                <w:sz w:val="20"/>
                <w:szCs w:val="20"/>
                <w:color w:val="auto"/>
              </w:rPr>
            </w:pPr>
            <w:r>
              <w:rPr>
                <w:rFonts w:ascii="Arial" w:cs="Arial" w:eastAsia="Arial" w:hAnsi="Arial"/>
                <w:sz w:val="18"/>
                <w:szCs w:val="18"/>
                <w:color w:val="auto"/>
              </w:rPr>
              <w:t>Total sales-type lease revenue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r>
      <w:tr>
        <w:trPr>
          <w:trHeight w:val="223"/>
        </w:trPr>
        <w:tc>
          <w:tcPr>
            <w:tcW w:w="7960" w:type="dxa"/>
            <w:vAlign w:val="bottom"/>
          </w:tcPr>
          <w:p>
            <w:pPr>
              <w:ind w:left="260"/>
              <w:spacing w:after="0"/>
              <w:rPr>
                <w:sz w:val="20"/>
                <w:szCs w:val="20"/>
                <w:color w:val="auto"/>
              </w:rPr>
            </w:pPr>
            <w:r>
              <w:rPr>
                <w:rFonts w:ascii="Arial" w:cs="Arial" w:eastAsia="Arial" w:hAnsi="Arial"/>
                <w:sz w:val="18"/>
                <w:szCs w:val="18"/>
                <w:color w:val="auto"/>
              </w:rPr>
              <w:t>Total lease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$13.4 million and $13.0 million as of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8980" w:type="dxa"/>
            <w:vAlign w:val="bottom"/>
          </w:tcPr>
          <w:p>
            <w:pPr>
              <w:jc w:val="center"/>
              <w:ind w:left="2110"/>
              <w:spacing w:after="0" w:line="202" w:lineRule="exact"/>
              <w:rPr>
                <w:sz w:val="20"/>
                <w:szCs w:val="20"/>
                <w:color w:val="auto"/>
              </w:rPr>
            </w:pPr>
            <w:r>
              <w:rPr>
                <w:rFonts w:ascii="Arial" w:cs="Arial" w:eastAsia="Arial" w:hAnsi="Arial"/>
                <w:sz w:val="18"/>
                <w:szCs w:val="18"/>
                <w:b w:val="1"/>
                <w:bCs w:val="1"/>
                <w:color w:val="auto"/>
                <w:w w:val="98"/>
              </w:rPr>
              <w:t>ECHOSTAR CORPORATION</w:t>
            </w: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898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NOTES TO CONSOLIDATED FINANCIAL STATEMENTS - CONTINUED</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9"/>
        </w:trPr>
        <w:tc>
          <w:tcPr>
            <w:tcW w:w="40" w:type="dxa"/>
            <w:vAlign w:val="bottom"/>
          </w:tcPr>
          <w:p>
            <w:pPr>
              <w:spacing w:after="0"/>
              <w:rPr>
                <w:sz w:val="20"/>
                <w:szCs w:val="20"/>
                <w:color w:val="auto"/>
              </w:rPr>
            </w:pPr>
          </w:p>
        </w:tc>
        <w:tc>
          <w:tcPr>
            <w:tcW w:w="898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(Unaudited)</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648"/>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presents future operating lease payments to be received as of March 31, 2021:</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09"/>
        </w:trPr>
        <w:tc>
          <w:tcPr>
            <w:tcW w:w="4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2021 (remainder)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36,118</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34,082</w:t>
            </w: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29,740</w:t>
            </w:r>
          </w:p>
        </w:tc>
      </w:tr>
      <w:tr>
        <w:trPr>
          <w:trHeight w:val="229"/>
        </w:trPr>
        <w:tc>
          <w:tcPr>
            <w:tcW w:w="9020" w:type="dxa"/>
            <w:vAlign w:val="bottom"/>
            <w:gridSpan w:val="2"/>
          </w:tcPr>
          <w:p>
            <w:pPr>
              <w:ind w:left="26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28,482</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2026 and beyond</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47,562</w:t>
            </w:r>
          </w:p>
        </w:tc>
      </w:tr>
      <w:tr>
        <w:trPr>
          <w:trHeight w:val="223"/>
        </w:trPr>
        <w:tc>
          <w:tcPr>
            <w:tcW w:w="4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Total lease payments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207,984</w:t>
            </w:r>
          </w:p>
        </w:tc>
      </w:tr>
      <w:tr>
        <w:trPr>
          <w:trHeight w:val="21"/>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amounts for assets subject to operating leases, which are included in </w:t>
      </w:r>
      <w:r>
        <w:rPr>
          <w:rFonts w:ascii="Arial" w:cs="Arial" w:eastAsia="Arial" w:hAnsi="Arial"/>
          <w:sz w:val="18"/>
          <w:szCs w:val="18"/>
          <w:i w:val="1"/>
          <w:iCs w:val="1"/>
          <w:color w:val="auto"/>
        </w:rPr>
        <w:t>Property and equipment,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9"/>
              </w:rPr>
              <w:t>March 31, 2021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December 31, 2020</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4"/>
                <w:szCs w:val="14"/>
                <w:color w:val="auto"/>
              </w:rPr>
            </w:pPr>
          </w:p>
        </w:tc>
        <w:tc>
          <w:tcPr>
            <w:tcW w:w="14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32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14"/>
                <w:szCs w:val="14"/>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Depreciation</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Depreciation</w:t>
            </w: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24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premises</w:t>
            </w: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(1,316,511)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351,924</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66,285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0" w:type="dxa"/>
            <w:vAlign w:val="bottom"/>
          </w:tcPr>
          <w:p>
            <w:pPr>
              <w:spacing w:after="0"/>
              <w:rPr>
                <w:sz w:val="1"/>
                <w:szCs w:val="1"/>
                <w:color w:val="auto"/>
              </w:rPr>
            </w:pPr>
          </w:p>
        </w:tc>
      </w:tr>
      <w:tr>
        <w:trPr>
          <w:trHeight w:val="223"/>
        </w:trPr>
        <w:tc>
          <w:tcPr>
            <w:tcW w:w="22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1,804,582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(1,373,925)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430,657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1,769,948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(1,320,558)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449,390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depreciation expense for assets subject to operating leases, which is included in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79"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79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47,697</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tab/>
        <w:t>EARNINGS PER SHARE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present basic and diluted earnings or losses per share (“EPS”) for our Class A and Class B common stock. Basic EPS for our Class A and Class B common stock excludes potential dilution and is computed by dividing Net income (loss) attributable to EchoStar Corporation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is computed using the treasury stock method based on the average market value of our Class A common stock during the period. The calculation of our diluted weighted-average common shares outstanding excluded options to purchase shares of our Class A common stock, the effect of which would be anti-dilutive.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113"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97,811</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impact of stock awards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97,811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4"/>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earnings (losses)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34" w:lineRule="exact"/>
        <w:rPr>
          <w:sz w:val="20"/>
          <w:szCs w:val="20"/>
          <w:color w:val="auto"/>
        </w:rPr>
      </w:pPr>
    </w:p>
    <w:p>
      <w:pPr>
        <w:jc w:val="center"/>
        <w:ind w:left="796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6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MARKETABLE INVESTMENT SECURITIES</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7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investment securities: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Corporate bonds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30"/>
        </w:trPr>
        <w:tc>
          <w:tcPr>
            <w:tcW w:w="7940" w:type="dxa"/>
            <w:vAlign w:val="bottom"/>
          </w:tcPr>
          <w:p>
            <w:pPr>
              <w:ind w:left="460"/>
              <w:spacing w:after="0"/>
              <w:rPr>
                <w:sz w:val="20"/>
                <w:szCs w:val="20"/>
                <w:color w:val="auto"/>
              </w:rPr>
            </w:pPr>
            <w:r>
              <w:rPr>
                <w:rFonts w:ascii="Arial" w:cs="Arial" w:eastAsia="Arial" w:hAnsi="Arial"/>
                <w:sz w:val="18"/>
                <w:szCs w:val="18"/>
                <w:color w:val="auto"/>
              </w:rPr>
              <w:t>Commercial paper</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372,623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debt securities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23"/>
        </w:trPr>
        <w:tc>
          <w:tcPr>
            <w:tcW w:w="7940" w:type="dxa"/>
            <w:vAlign w:val="bottom"/>
          </w:tcPr>
          <w:p>
            <w:pPr>
              <w:ind w:left="680"/>
              <w:spacing w:after="0"/>
              <w:rPr>
                <w:sz w:val="20"/>
                <w:szCs w:val="20"/>
                <w:color w:val="auto"/>
              </w:rPr>
            </w:pPr>
            <w:r>
              <w:rPr>
                <w:rFonts w:ascii="Arial" w:cs="Arial" w:eastAsia="Arial" w:hAnsi="Arial"/>
                <w:sz w:val="18"/>
                <w:szCs w:val="18"/>
                <w:color w:val="auto"/>
              </w:rPr>
              <w:t>Total available-for-sale debt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596,011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744,568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1,647,361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23"/>
        </w:trPr>
        <w:tc>
          <w:tcPr>
            <w:tcW w:w="7940" w:type="dxa"/>
            <w:vAlign w:val="bottom"/>
          </w:tcPr>
          <w:p>
            <w:pPr>
              <w:ind w:left="460"/>
              <w:spacing w:after="0"/>
              <w:rPr>
                <w:sz w:val="20"/>
                <w:szCs w:val="20"/>
                <w:color w:val="auto"/>
              </w:rPr>
            </w:pPr>
            <w:r>
              <w:rPr>
                <w:rFonts w:ascii="Arial" w:cs="Arial" w:eastAsia="Arial" w:hAnsi="Arial"/>
                <w:sz w:val="18"/>
                <w:szCs w:val="18"/>
                <w:color w:val="auto"/>
              </w:rPr>
              <w:t>Total marketable investment securities</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1,638,271</w:t>
            </w:r>
          </w:p>
        </w:tc>
        <w:tc>
          <w:tcPr>
            <w:tcW w:w="0" w:type="dxa"/>
            <w:vAlign w:val="bottom"/>
          </w:tcPr>
          <w:p>
            <w:pPr>
              <w:spacing w:after="0"/>
              <w:rPr>
                <w:sz w:val="1"/>
                <w:szCs w:val="1"/>
                <w:color w:val="auto"/>
              </w:rPr>
            </w:pPr>
          </w:p>
        </w:tc>
      </w:tr>
      <w:tr>
        <w:trPr>
          <w:trHeight w:val="21"/>
        </w:trPr>
        <w:tc>
          <w:tcPr>
            <w:tcW w:w="7940" w:type="dxa"/>
            <w:vAlign w:val="bottom"/>
            <w:vMerge w:val="restart"/>
          </w:tcPr>
          <w:p>
            <w:pPr>
              <w:ind w:left="5520"/>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1"/>
        </w:trPr>
        <w:tc>
          <w:tcPr>
            <w:tcW w:w="7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135,456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135,456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372,623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87,932</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596,011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372,746</w:t>
            </w: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1,101,888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148,292</w:t>
            </w:r>
          </w:p>
        </w:tc>
        <w:tc>
          <w:tcPr>
            <w:tcW w:w="0" w:type="dxa"/>
            <w:vAlign w:val="bottom"/>
          </w:tcPr>
          <w:p>
            <w:pPr>
              <w:spacing w:after="0"/>
              <w:rPr>
                <w:sz w:val="1"/>
                <w:szCs w:val="1"/>
                <w:color w:val="auto"/>
              </w:rPr>
            </w:pP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Total available-for-sale debt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1,622,882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1,622,926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6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2021, we have $571.9 million of available-for-sale debt securities with contractual maturities of one year or less and $24.1 million with contractual maturities greater than one year.</w:t>
      </w:r>
    </w:p>
    <w:p>
      <w:pPr>
        <w:sectPr>
          <w:pgSz w:w="11900" w:h="16838" w:orient="portrait"/>
          <w:cols w:equalWidth="0" w:num="1">
            <w:col w:w="11240"/>
          </w:cols>
          <w:pgMar w:left="320" w:top="140"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Option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activity on our fair value option 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Gains (losses) on investments, net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of our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Gains (losses) on investments,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20916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580"/>
        <w:spacing w:after="0"/>
        <w:tabs>
          <w:tab w:leader="none" w:pos="2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58" w:lineRule="exact"/>
        <w:rPr>
          <w:sz w:val="20"/>
          <w:szCs w:val="20"/>
          <w:color w:val="auto"/>
        </w:rPr>
      </w:pPr>
    </w:p>
    <w:p>
      <w:pPr>
        <w:spacing w:after="0"/>
        <w:tabs>
          <w:tab w:leader="none" w:pos="1300" w:val="left"/>
          <w:tab w:leader="none" w:pos="1680" w:val="left"/>
          <w:tab w:leader="none" w:pos="2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(4,208)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2091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wp:posOffset>
            </wp:positionV>
            <wp:extent cx="2091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580"/>
        <w:spacing w:after="0"/>
        <w:tabs>
          <w:tab w:leader="none" w:pos="2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58" w:lineRule="exact"/>
        <w:rPr>
          <w:sz w:val="20"/>
          <w:szCs w:val="20"/>
          <w:color w:val="auto"/>
        </w:rPr>
      </w:pPr>
    </w:p>
    <w:p>
      <w:pPr>
        <w:spacing w:after="0"/>
        <w:tabs>
          <w:tab w:leader="none" w:pos="940" w:val="left"/>
          <w:tab w:leader="none" w:pos="1680" w:val="left"/>
          <w:tab w:leader="none" w:pos="2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65,568</w:t>
        <w:tab/>
        <w:t>$</w:t>
      </w:r>
      <w:r>
        <w:rPr>
          <w:sz w:val="20"/>
          <w:szCs w:val="20"/>
          <w:color w:val="auto"/>
        </w:rPr>
        <w:tab/>
      </w:r>
      <w:r>
        <w:rPr>
          <w:rFonts w:ascii="Arial" w:cs="Arial" w:eastAsia="Arial" w:hAnsi="Arial"/>
          <w:sz w:val="18"/>
          <w:szCs w:val="18"/>
          <w:color w:val="auto"/>
        </w:rPr>
        <w:t>(11,115)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2091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240" w:space="720"/>
            <w:col w:w="32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1,493,034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1,493,839</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135,456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135,456</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372,623</w:t>
            </w:r>
          </w:p>
        </w:tc>
      </w:tr>
      <w:tr>
        <w:trPr>
          <w:trHeight w:val="229"/>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87,932</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596,011</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148,557</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744,568</w:t>
            </w:r>
          </w:p>
        </w:tc>
      </w:tr>
      <w:tr>
        <w:trPr>
          <w:trHeight w:val="229"/>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(9,150)</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735,418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810,114</w:t>
            </w: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6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372,746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372,746</w:t>
            </w: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1,101,888</w:t>
            </w:r>
          </w:p>
        </w:tc>
      </w:tr>
      <w:tr>
        <w:trPr>
          <w:trHeight w:val="230"/>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148,292</w:t>
            </w:r>
          </w:p>
        </w:tc>
      </w:tr>
      <w:tr>
        <w:trPr>
          <w:trHeight w:val="22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1,622,926</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24,435</w:t>
            </w:r>
          </w:p>
        </w:tc>
      </w:tr>
      <w:tr>
        <w:trPr>
          <w:trHeight w:val="223"/>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1,647,361</w:t>
            </w:r>
          </w:p>
        </w:tc>
      </w:tr>
      <w:tr>
        <w:trPr>
          <w:trHeight w:val="229"/>
        </w:trPr>
        <w:tc>
          <w:tcPr>
            <w:tcW w:w="626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48"/>
        </w:trPr>
        <w:tc>
          <w:tcPr>
            <w:tcW w:w="62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2021 and December 31, 2020, we did not have any investments that were categorized within Level 3 of the fair value hierarchy.</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tab/>
        <w:t>PROPERTY AND EQUIPMENT</w:t>
      </w:r>
    </w:p>
    <w:p>
      <w:pPr>
        <w:sectPr>
          <w:pgSz w:w="11900" w:h="16838" w:orient="portrait"/>
          <w:cols w:equalWidth="0" w:num="1">
            <w:col w:w="11240"/>
          </w:cols>
          <w:pgMar w:left="320" w:top="140"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components of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39"/>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1,659,154</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1,602,076</w:t>
            </w:r>
          </w:p>
        </w:tc>
        <w:tc>
          <w:tcPr>
            <w:tcW w:w="0" w:type="dxa"/>
            <w:vAlign w:val="bottom"/>
          </w:tcPr>
          <w:p>
            <w:pPr>
              <w:spacing w:after="0"/>
              <w:rPr>
                <w:sz w:val="1"/>
                <w:szCs w:val="1"/>
                <w:color w:val="auto"/>
              </w:rPr>
            </w:pPr>
          </w:p>
        </w:tc>
      </w:tr>
      <w:tr>
        <w:trPr>
          <w:trHeight w:val="229"/>
        </w:trPr>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761,763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788,237</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2,420,917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2,390,313</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March 31, 2021, our operating satellite fleet consisted of 10 satellites, seven of which are owned and three of which are leased. They are all in geosynchronous orbit, approximately 22,300 miles above the equator.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satellite fleet as of March 31, 2021 which consists of both owned and leased satellites: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Depreciable Life</w:t>
            </w:r>
          </w:p>
        </w:tc>
        <w:tc>
          <w:tcPr>
            <w:tcW w:w="0" w:type="dxa"/>
            <w:vAlign w:val="bottom"/>
          </w:tcPr>
          <w:p>
            <w:pPr>
              <w:spacing w:after="0"/>
              <w:rPr>
                <w:sz w:val="1"/>
                <w:szCs w:val="1"/>
                <w:color w:val="auto"/>
              </w:rPr>
            </w:pPr>
          </w:p>
        </w:tc>
      </w:tr>
      <w:tr>
        <w:trPr>
          <w:trHeight w:val="176"/>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Satellite</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Segment</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Launch Date</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Orbital Location</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4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3"/>
                <w:szCs w:val="23"/>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3"/>
                <w:szCs w:val="23"/>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3"/>
                <w:szCs w:val="23"/>
                <w:color w:val="auto"/>
                <w:vertAlign w:val="superscript"/>
              </w:rPr>
              <w:t>(3)</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3"/>
                <w:szCs w:val="23"/>
                <w:color w:val="auto"/>
                <w:vertAlign w:val="superscript"/>
              </w:rPr>
              <w:t>(4)</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Corporate and Other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June 2017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line="241" w:lineRule="auto"/>
        <w:tabs>
          <w:tab w:leader="none" w:pos="377"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line="241" w:lineRule="auto"/>
        <w:tabs>
          <w:tab w:leader="none" w:pos="232"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Yahsat in Brazil in November 2019, we acquired the Brazilian Ka-band payload on this satellite. Depreciable life represents the remaining useful life as of November 2019.</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40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260" w:type="dxa"/>
            <w:vAlign w:val="bottom"/>
          </w:tcPr>
          <w:p>
            <w:pPr>
              <w:spacing w:after="0"/>
              <w:rPr>
                <w:sz w:val="15"/>
                <w:szCs w:val="15"/>
                <w:color w:val="auto"/>
              </w:rPr>
            </w:pPr>
          </w:p>
        </w:tc>
        <w:tc>
          <w:tcPr>
            <w:tcW w:w="168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w w:val="99"/>
              </w:rPr>
              <w:t>Depreciable Life</w:t>
            </w:r>
          </w:p>
        </w:tc>
        <w:tc>
          <w:tcPr>
            <w:tcW w:w="140" w:type="dxa"/>
            <w:vAlign w:val="bottom"/>
          </w:tcPr>
          <w:p>
            <w:pPr>
              <w:spacing w:after="0"/>
              <w:rPr>
                <w:sz w:val="15"/>
                <w:szCs w:val="15"/>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5"/>
                <w:szCs w:val="15"/>
                <w:color w:val="auto"/>
              </w:rPr>
            </w:pPr>
          </w:p>
        </w:tc>
        <w:tc>
          <w:tcPr>
            <w:tcW w:w="1400" w:type="dxa"/>
            <w:vAlign w:val="bottom"/>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1,802,072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1,805,590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352,245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2,566,867</w:t>
            </w:r>
          </w:p>
        </w:tc>
        <w:tc>
          <w:tcPr>
            <w:tcW w:w="0" w:type="dxa"/>
            <w:vAlign w:val="bottom"/>
          </w:tcPr>
          <w:p>
            <w:pPr>
              <w:spacing w:after="0"/>
              <w:rPr>
                <w:sz w:val="1"/>
                <w:szCs w:val="1"/>
                <w:color w:val="auto"/>
              </w:rPr>
            </w:pPr>
          </w:p>
        </w:tc>
      </w:tr>
      <w:tr>
        <w:trPr>
          <w:trHeight w:val="230"/>
        </w:trPr>
        <w:tc>
          <w:tcPr>
            <w:tcW w:w="626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(890,783)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(74,008)</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(964,791)</w:t>
            </w:r>
          </w:p>
        </w:tc>
        <w:tc>
          <w:tcPr>
            <w:tcW w:w="0" w:type="dxa"/>
            <w:vAlign w:val="bottom"/>
          </w:tcPr>
          <w:p>
            <w:pPr>
              <w:spacing w:after="0"/>
              <w:rPr>
                <w:sz w:val="1"/>
                <w:szCs w:val="1"/>
                <w:color w:val="auto"/>
              </w:rPr>
            </w:pPr>
          </w:p>
        </w:tc>
      </w:tr>
      <w:tr>
        <w:trPr>
          <w:trHeight w:val="223"/>
        </w:trPr>
        <w:tc>
          <w:tcPr>
            <w:tcW w:w="6260" w:type="dxa"/>
            <w:vAlign w:val="bottom"/>
          </w:tcPr>
          <w:p>
            <w:pPr>
              <w:ind w:left="800"/>
              <w:spacing w:after="0"/>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1,659,154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1,602,076</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depreciation expense associated with our satellites, net: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Satellites -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Satellites - acquired under finance leases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depreciation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091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600"/>
        <w:spacing w:after="0"/>
        <w:tabs>
          <w:tab w:leader="none" w:pos="22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32,161</w:t>
            </w:r>
          </w:p>
        </w:tc>
        <w:tc>
          <w:tcPr>
            <w:tcW w:w="10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32,073</w:t>
            </w:r>
          </w:p>
        </w:tc>
      </w:tr>
      <w:tr>
        <w:trPr>
          <w:trHeight w:val="229"/>
        </w:trPr>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38,086</w:t>
            </w: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6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6350</wp:posOffset>
            </wp:positionV>
            <wp:extent cx="2091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ind w:left="8540"/>
        <w:spacing w:after="0"/>
        <w:tabs>
          <w:tab w:leader="none" w:pos="102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7940" w:val="left"/>
          <w:tab w:leader="none" w:pos="9000" w:val="left"/>
          <w:tab w:leader="none" w:pos="9640" w:val="left"/>
          <w:tab w:leader="none" w:pos="10700" w:val="left"/>
        </w:tabs>
        <w:rPr>
          <w:sz w:val="20"/>
          <w:szCs w:val="20"/>
          <w:color w:val="auto"/>
        </w:rPr>
      </w:pPr>
      <w:r>
        <w:rPr>
          <w:rFonts w:ascii="Arial" w:cs="Arial" w:eastAsia="Arial" w:hAnsi="Arial"/>
          <w:sz w:val="18"/>
          <w:szCs w:val="18"/>
          <w:color w:val="auto"/>
        </w:rPr>
        <w:t>Capitalized interest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8,563</w:t>
        <w:tab/>
        <w:t>$</w:t>
      </w:r>
      <w:r>
        <w:rPr>
          <w:sz w:val="20"/>
          <w:szCs w:val="20"/>
          <w:color w:val="auto"/>
        </w:rPr>
        <w:tab/>
      </w:r>
      <w:r>
        <w:rPr>
          <w:rFonts w:ascii="Arial" w:cs="Arial" w:eastAsia="Arial" w:hAnsi="Arial"/>
          <w:sz w:val="17"/>
          <w:szCs w:val="17"/>
          <w:color w:val="auto"/>
        </w:rPr>
        <w:t>6,681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31750</wp:posOffset>
            </wp:positionV>
            <wp:extent cx="2091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Capital expenditures associated with the construction and launch of the EchoStar XXIV satellite are included in Corporate and Other in our segment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7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March 31, 2021 and December 31, 2020 our satellite-related commitments were $ 389.7 million and $487.7 million, respectively. These include payments pursuant to agreements for the construction of the EchoStar XXIV satellite, payments pursuant to the EchoStar XXIV launch contract, payments pursuant to regulatory authorizations,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months ended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2021 and December 31, 2020, the fair values of our in-orbit incentive obligations approximated their carrying amounts of $54.3 million and $55.4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REGULATORY AUTHORIZATIONS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Finite lived</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5"/>
            <w:vMerge w:val="restart"/>
          </w:tcPr>
          <w:p>
            <w:pPr>
              <w:jc w:val="right"/>
              <w:ind w:right="60"/>
              <w:spacing w:after="0"/>
              <w:rPr>
                <w:sz w:val="20"/>
                <w:szCs w:val="20"/>
                <w:color w:val="auto"/>
              </w:rPr>
            </w:pPr>
            <w:r>
              <w:rPr>
                <w:rFonts w:ascii="Arial" w:cs="Arial" w:eastAsia="Arial" w:hAnsi="Arial"/>
                <w:sz w:val="18"/>
                <w:szCs w:val="18"/>
                <w:b w:val="1"/>
                <w:bCs w:val="1"/>
                <w:color w:val="auto"/>
              </w:rPr>
              <w:t>Indefinite lived</w:t>
            </w:r>
          </w:p>
        </w:tc>
        <w:tc>
          <w:tcPr>
            <w:tcW w:w="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Amortization</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gridSpan w:val="5"/>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440,291</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478,598</w:t>
            </w: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56,623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(20,742)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35,881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435,283</w:t>
            </w:r>
          </w:p>
        </w:tc>
        <w:tc>
          <w:tcPr>
            <w:tcW w:w="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471,164</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(26,639)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34,742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444,020</w:t>
            </w:r>
          </w:p>
        </w:tc>
        <w:tc>
          <w:tcPr>
            <w:tcW w:w="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443,705</w:t>
            </w: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476,092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8.  OTHER INVESTMENTS</w:t>
            </w: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8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rPr>
              <w:t>As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4"/>
            <w:vMerge w:val="restart"/>
          </w:tcPr>
          <w:p>
            <w:pPr>
              <w:jc w:val="right"/>
              <w:ind w:right="10"/>
              <w:spacing w:after="0"/>
              <w:rPr>
                <w:sz w:val="20"/>
                <w:szCs w:val="20"/>
                <w:color w:val="auto"/>
              </w:rPr>
            </w:pPr>
            <w:r>
              <w:rPr>
                <w:rFonts w:ascii="Arial" w:cs="Arial" w:eastAsia="Arial" w:hAnsi="Arial"/>
                <w:sz w:val="18"/>
                <w:szCs w:val="18"/>
                <w:b w:val="1"/>
                <w:bCs w:val="1"/>
                <w:color w:val="auto"/>
              </w:rPr>
              <w:t>March 31, 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4"/>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151,545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151,070</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31,662</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102,205</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284,937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own 49% of DISH Mexico, S. de R.L. de C.V. and its subsidiaries (“Dish Mexico”), a joint venture that we entered into in 2008 to provide direct-to-home satellite services in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40" w:type="dxa"/>
            <w:vAlign w:val="bottom"/>
          </w:tcPr>
          <w:p>
            <w:pPr>
              <w:spacing w:after="0"/>
              <w:rPr>
                <w:sz w:val="20"/>
                <w:szCs w:val="20"/>
                <w:color w:val="auto"/>
              </w:rPr>
            </w:pPr>
            <w:r>
              <w:rPr>
                <w:rFonts w:ascii="Arial" w:cs="Arial" w:eastAsia="Arial" w:hAnsi="Arial"/>
                <w:sz w:val="18"/>
                <w:szCs w:val="18"/>
                <w:i w:val="1"/>
                <w:iCs w:val="1"/>
                <w:color w:val="auto"/>
              </w:rPr>
              <w:t>Financial Information for Our Equity Method Investments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9"/>
              </w:rPr>
              <w:t>For the three months ended March</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rPr>
              <w:t>31,</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1,348</w:t>
            </w:r>
          </w:p>
        </w:tc>
        <w:tc>
          <w:tcPr>
            <w:tcW w:w="3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
        </w:trPr>
        <w:tc>
          <w:tcPr>
            <w:tcW w:w="794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1170"/>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March 31, 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tcPr>
          <w:p>
            <w:pPr>
              <w:ind w:left="20"/>
              <w:spacing w:after="0" w:line="203" w:lineRule="exact"/>
              <w:rPr>
                <w:sz w:val="20"/>
                <w:szCs w:val="20"/>
                <w:color w:val="auto"/>
              </w:rPr>
            </w:pPr>
            <w:r>
              <w:rPr>
                <w:rFonts w:ascii="Arial" w:cs="Arial" w:eastAsia="Arial" w:hAnsi="Arial"/>
                <w:sz w:val="18"/>
                <w:szCs w:val="18"/>
                <w:color w:val="auto"/>
              </w:rPr>
              <w:t>BCS</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5,043</w:t>
            </w:r>
          </w:p>
        </w:tc>
        <w:tc>
          <w:tcPr>
            <w:tcW w:w="38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investments:</w:t>
      </w:r>
    </w:p>
    <w:p>
      <w:pPr>
        <w:spacing w:after="0" w:line="261"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4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0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carrying amount and fair values of our </w:t>
      </w:r>
      <w:r>
        <w:rPr>
          <w:rFonts w:ascii="Arial" w:cs="Arial" w:eastAsia="Arial" w:hAnsi="Arial"/>
          <w:sz w:val="18"/>
          <w:szCs w:val="18"/>
          <w:i w:val="1"/>
          <w:iCs w:val="1"/>
          <w:color w:val="auto"/>
        </w:rPr>
        <w:t>Current portion of long-term debt,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December 31, 2020</w:t>
            </w:r>
          </w:p>
        </w:tc>
      </w:tr>
      <w:tr>
        <w:trPr>
          <w:trHeight w:val="183"/>
        </w:trPr>
        <w:tc>
          <w:tcPr>
            <w:tcW w:w="2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80" w:type="dxa"/>
            <w:vAlign w:val="bottom"/>
            <w:gridSpan w:val="2"/>
          </w:tcPr>
          <w:p>
            <w:pPr>
              <w:jc w:val="center"/>
              <w:ind w:right="100"/>
              <w:spacing w:after="0" w:line="182" w:lineRule="exact"/>
              <w:rPr>
                <w:sz w:val="20"/>
                <w:szCs w:val="20"/>
                <w:color w:val="auto"/>
              </w:rPr>
            </w:pPr>
            <w:r>
              <w:rPr>
                <w:rFonts w:ascii="Arial" w:cs="Arial" w:eastAsia="Arial" w:hAnsi="Arial"/>
                <w:sz w:val="18"/>
                <w:szCs w:val="18"/>
                <w:b w:val="1"/>
                <w:bCs w:val="1"/>
                <w:color w:val="auto"/>
              </w:rPr>
              <w:t>Effective</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120" w:type="dxa"/>
            <w:vAlign w:val="bottom"/>
            <w:gridSpan w:val="2"/>
          </w:tcPr>
          <w:p>
            <w:pPr>
              <w:ind w:left="220"/>
              <w:spacing w:after="0" w:line="182" w:lineRule="exact"/>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5"/>
                <w:szCs w:val="15"/>
                <w:color w:val="auto"/>
              </w:rPr>
            </w:pPr>
          </w:p>
        </w:tc>
        <w:tc>
          <w:tcPr>
            <w:tcW w:w="1160" w:type="dxa"/>
            <w:vAlign w:val="bottom"/>
            <w:gridSpan w:val="2"/>
          </w:tcPr>
          <w:p>
            <w:pPr>
              <w:jc w:val="center"/>
              <w:ind w:right="340"/>
              <w:spacing w:after="0" w:line="182"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Fair</w:t>
            </w:r>
          </w:p>
        </w:tc>
      </w:tr>
      <w:tr>
        <w:trPr>
          <w:trHeight w:val="229"/>
        </w:trPr>
        <w:tc>
          <w:tcPr>
            <w:tcW w:w="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Interest Rate</w:t>
            </w:r>
          </w:p>
        </w:tc>
        <w:tc>
          <w:tcPr>
            <w:tcW w:w="18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26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240" w:type="dxa"/>
            <w:vAlign w:val="bottom"/>
          </w:tcPr>
          <w:p>
            <w:pPr>
              <w:ind w:left="140"/>
              <w:spacing w:after="0"/>
              <w:rPr>
                <w:sz w:val="20"/>
                <w:szCs w:val="20"/>
                <w:color w:val="auto"/>
              </w:rPr>
            </w:pPr>
            <w:r>
              <w:rPr>
                <w:rFonts w:ascii="Arial" w:cs="Arial" w:eastAsia="Arial" w:hAnsi="Arial"/>
                <w:sz w:val="18"/>
                <w:szCs w:val="18"/>
                <w:color w:val="auto"/>
                <w:w w:val="79"/>
              </w:rPr>
              <w:t>5</w:t>
            </w:r>
          </w:p>
        </w:tc>
        <w:tc>
          <w:tcPr>
            <w:tcW w:w="4200" w:type="dxa"/>
            <w:vAlign w:val="bottom"/>
          </w:tcPr>
          <w:p>
            <w:pPr>
              <w:ind w:left="4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830,933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834,045</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40" w:type="dxa"/>
            <w:vAlign w:val="bottom"/>
          </w:tcPr>
          <w:p>
            <w:pPr>
              <w:ind w:left="140"/>
              <w:spacing w:after="0"/>
              <w:rPr>
                <w:sz w:val="20"/>
                <w:szCs w:val="20"/>
                <w:color w:val="auto"/>
              </w:rPr>
            </w:pPr>
            <w:r>
              <w:rPr>
                <w:rFonts w:ascii="Arial" w:cs="Arial" w:eastAsia="Arial" w:hAnsi="Arial"/>
                <w:sz w:val="18"/>
                <w:szCs w:val="18"/>
                <w:color w:val="auto"/>
                <w:w w:val="79"/>
              </w:rPr>
              <w:t>7</w:t>
            </w:r>
          </w:p>
        </w:tc>
        <w:tc>
          <w:tcPr>
            <w:tcW w:w="4200" w:type="dxa"/>
            <w:vAlign w:val="bottom"/>
          </w:tcPr>
          <w:p>
            <w:pPr>
              <w:ind w:left="4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8.062%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924,003</w:t>
            </w:r>
          </w:p>
        </w:tc>
      </w:tr>
      <w:tr>
        <w:trPr>
          <w:trHeight w:val="229"/>
        </w:trPr>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w:t>
            </w:r>
          </w:p>
        </w:tc>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852,810</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2,304,194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2,486,871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2,610,858</w:t>
            </w:r>
          </w:p>
        </w:tc>
      </w:tr>
      <w:tr>
        <w:trPr>
          <w:trHeight w:val="230"/>
        </w:trPr>
        <w:tc>
          <w:tcPr>
            <w:tcW w:w="4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Current portion, net</w:t>
            </w: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(821,555)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(898,237)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(924,003)</w:t>
            </w: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1,686,855</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have repurchased a total of $90.5 million in principal of the 2021 Senior Unsecured Notes in open market trades.</w:t>
      </w: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income tax provision was $ 22.1 million for the three months ended March 31, 2021 compared to our income tax benefit of $ 7.5 million for the three months ended March 31, 2020. Our estimated effective income tax rate was 22.2% and 11.5% for the three months ended March 31, 2021 and 2020, respectively. The variations in our effective tax rate from the U.S. federal statutory rate for the three months ended March 31, 2021 were primarily due to excluded foreign losses where the company carries a full valuation allowance and by the change in net unrealized gains that are capital in nature. The variations in our effective tax rate from the U.S. federal statutory rate for the three months ended March 31, 2020 were primarily due to the increase in our valuation allowance associated with certain foreign losses and the impact of state and local taxes, partially offset by the change in net unrealized losses that are capital in nature and research and experimentation credits.</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RELATED PARTY TRANSACTIONS - DISH NETWORK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2017, we and certain of our subsidiaries entered into a share exchange agreement (the “Share Exchange Agreement”) with DISH and certain of its subsidiaries pursuant to which, in February 2017, we received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 EchoStar Technologies businesses and certain other assets (collectively,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“Share Exchange”). The Tracking Stock was retired in March 2017.</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 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joint venture Dish Mexico, and (2) telemetry, tracking and control (“TT&amp;C”) services for satellites owned by DISH Network and a portion of our other businesses (collectively, the “BSS Business”) to one of our former subsidiaries, EchoStar BSS Corporation (“BSS Corp.”),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ectPr>
          <w:pgSz w:w="11900" w:h="16838" w:orient="portrait"/>
          <w:cols w:equalWidth="0" w:num="1">
            <w:col w:w="11240"/>
          </w:cols>
          <w:pgMar w:left="320" w:top="140" w:right="3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Services and other revenue - DISH Network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accounts receivable - DISH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IX satellite. Subject to availability, DISH Network generally has the right to continue leasing satellite capacity from us on the EchoStar IX satellite on a month-to-month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Telesat Obligation Agreement. </w:t>
      </w:r>
      <w:r>
        <w:rPr>
          <w:rFonts w:ascii="Arial" w:cs="Arial" w:eastAsia="Arial" w:hAnsi="Arial"/>
          <w:sz w:val="18"/>
          <w:szCs w:val="18"/>
          <w:color w:val="auto"/>
        </w:rPr>
        <w:t>In September 2009, we entered into an agreement with Telesat Canada to lease satellite capacity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w:t>
      </w:r>
    </w:p>
    <w:p>
      <w:pPr>
        <w:jc w:val="both"/>
        <w:spacing w:after="0" w:line="247" w:lineRule="auto"/>
        <w:rPr>
          <w:sz w:val="20"/>
          <w:szCs w:val="20"/>
          <w:color w:val="auto"/>
        </w:rPr>
      </w:pPr>
      <w:r>
        <w:rPr>
          <w:rFonts w:ascii="Arial" w:cs="Arial" w:eastAsia="Arial" w:hAnsi="Arial"/>
          <w:sz w:val="18"/>
          <w:szCs w:val="18"/>
          <w:color w:val="auto"/>
        </w:rPr>
        <w:t>location (the “Telesat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76" w:lineRule="exact"/>
        <w:rPr>
          <w:sz w:val="20"/>
          <w:szCs w:val="20"/>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to use certain of our space at 100 Inverness Terrace East, Englewood, Colorado for an initial period ending in December 2020. Effective December 2020, we amended this agreement to extend the license until December 2021. This agreement may be terminated by either party upon 180 days’ prior notice. Subsequent to December 2021,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11" w:lineRule="exact"/>
        <w:rPr>
          <w:rFonts w:ascii="Arial" w:cs="Arial" w:eastAsia="Arial" w:hAnsi="Arial"/>
          <w:sz w:val="18"/>
          <w:szCs w:val="18"/>
          <w:b w:val="1"/>
          <w:bCs w:val="1"/>
          <w:i w:val="1"/>
          <w:iCs w:val="1"/>
          <w:color w:val="auto"/>
        </w:rPr>
      </w:pPr>
    </w:p>
    <w:p>
      <w:pPr>
        <w:jc w:val="both"/>
        <w:ind w:left="660" w:hanging="328"/>
        <w:spacing w:after="0" w:line="262"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December 2016. We and DISH Network have amended this lease over time to, among other things, extend the term through December 2021. After December 2021, this agreement may be converted by mutual consent to a month-to-month lease agreement with either party having the right to terminate upon 30 days’ notice.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ectPr>
          <w:pgSz w:w="11900" w:h="16838" w:orient="portrait"/>
          <w:cols w:equalWidth="0" w:num="1">
            <w:col w:w="11240"/>
          </w:cols>
          <w:pgMar w:left="320" w:top="140"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 - DISH Network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related 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accounts payable - DISH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w:t>
      </w:r>
    </w:p>
    <w:p>
      <w:pPr>
        <w:jc w:val="center"/>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2022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Real Estate Leases from DISH Network. </w:t>
      </w:r>
      <w:r>
        <w:rPr>
          <w:rFonts w:ascii="Arial" w:cs="Arial" w:eastAsia="Arial" w:hAnsi="Arial"/>
          <w:sz w:val="18"/>
          <w:szCs w:val="18"/>
          <w:color w:val="auto"/>
        </w:rPr>
        <w:t>Effective March 2017, we entered into a lease with DISH Network for certain space at 530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The rent on a per square foot basis is comparable to per square foot rental rates of similar commercial property in the same geographic area at the time of the lease or subsequent amendments and includes our portion of the taxes, insurance, utilities and/or maintenance of the premises.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us with collocation space in El Paso, Texas. This agreement was for an initial period ending in August 2015, and provided us with renewal options for two consecutive three-year terms.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us in Monee, Illinois and Spokane, Washington through August 2022.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2020. The fees for the services provided under these agreements depend on the number of racks located at the location.</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Also in connection with the BSS Transaction, in September 2019, we entered into an agreement pursuant to which DISH Network provides us with antenna space and power in Cheyenne, Wyoming for a period of five years commencing in August 2020, with four three-year renewal terms, with prior written notice of renewal required no more than 120 days but no less than 90 days prior to the end of the then-current term. In March 2021, we entered into additional agreements pursuant to which DISH Network provides us with a gateway, including antenna space in Cheyenne, Wyoming and Gilbert, Arizona. Both agreements are for a period of five years with four three-year renewal terms, with prior written notice of renewal required no more than 120 days but no less than 90 days prior to the end of the then-current term.</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through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$1.9 million and $4.6 million for the three months ended March 31, 2021 and 2020, respectively.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provides TT&amp;C services to us for a period ending in September 2021, with the option for us to renew for a one-year period upon written notice at least 90 days prior to the initial expiration (the “2019 TT&amp;C Agreement”).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later of the full period of all applicable statutes of limitations, including extensions, or once all rights and obligations are fully effectuated or performed.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Other receivables - DISH Network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September 2013.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This tax matters agreement supplements the Tax Sharing Agreement outlined above and the Share Exchange Tax Matters Agreement outlined below, both of which continue in full force and effect.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Share Exchange Intellectual Property and Technology License Agreement</w:t>
      </w:r>
      <w:r>
        <w:rPr>
          <w:rFonts w:ascii="Arial" w:cs="Arial" w:eastAsia="Arial" w:hAnsi="Arial"/>
          <w:sz w:val="18"/>
          <w:szCs w:val="18"/>
          <w:color w:val="auto"/>
        </w:rPr>
        <w:t>. Effective March 2017, in connection with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 -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43% ownership in Hughes Systique, Mr. Pradman Kaul, the President of our subsidiary Hughes Communications, Inc. and a member of our board of directors, and his brother, who is the Chief Executive Officer and President of Hughes Systique, own in the aggregate approximately 25%, on an undiluted basis, of Hughes Systique’s outstanding shares as of March 31, 2021.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$0.4 million and $2.2 million, for the three months ended March 31, 2021 and 2020, respectively. As of March 31, 2021 and December 31, 2020, we had $1.5 million and $0.4 million trade accounts receivable from TSI.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and HSSC’s boards of directors 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We intend to vigorously defend this case. We cannot predict its outcome with any degree of certainty</w:t>
      </w:r>
      <w:r>
        <w:rPr>
          <w:rFonts w:ascii="Arial" w:cs="Arial" w:eastAsia="Arial" w:hAnsi="Arial"/>
          <w:sz w:val="18"/>
          <w:szCs w:val="18"/>
          <w:i w:val="1"/>
          <w:i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an additional payment on March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license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Payments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Business segments are components of an enterprise for which separate financial information is available and regularly evaluated by our chief operating decision maker (“CODM”), who is our Chief Executive Officer. We operate in two business segments, Hughes and ESS, as described in </w:t>
      </w:r>
      <w:r>
        <w:rPr>
          <w:rFonts w:ascii="Arial" w:cs="Arial" w:eastAsia="Arial" w:hAnsi="Arial"/>
          <w:sz w:val="18"/>
          <w:szCs w:val="18"/>
          <w:i w:val="1"/>
          <w:iCs w:val="1"/>
          <w:color w:val="auto"/>
        </w:rPr>
        <w:t>Note 1. Organization and Business Activities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business segments: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Pr>
          <w:p>
            <w:pPr>
              <w:spacing w:after="0"/>
              <w:rPr>
                <w:sz w:val="17"/>
                <w:szCs w:val="17"/>
                <w:color w:val="auto"/>
              </w:rPr>
            </w:pPr>
          </w:p>
        </w:tc>
        <w:tc>
          <w:tcPr>
            <w:tcW w:w="11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ESS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9"/>
                <w:szCs w:val="19"/>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475,859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475,859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4,089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198,578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1,919</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58,173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258,670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shd w:val="clear" w:color="auto" w:fill="CCEEFF"/>
          </w:tcPr>
          <w:p>
            <w:pPr>
              <w:ind w:left="240"/>
              <w:spacing w:after="0" w:line="197" w:lineRule="exact"/>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458,482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4,367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465,666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Intersegment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458,482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465,666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154,641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(65,440)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40" w:type="dxa"/>
            <w:vAlign w:val="bottom"/>
            <w:tcBorders>
              <w:bottom w:val="single" w:sz="8" w:color="CCEEFF"/>
            </w:tcBorders>
            <w:shd w:val="clear" w:color="auto" w:fill="CCEEFF"/>
          </w:tcPr>
          <w:p>
            <w:pPr>
              <w:ind w:left="240"/>
              <w:spacing w:after="0" w:line="197" w:lineRule="exact"/>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640" w:type="dxa"/>
            <w:vAlign w:val="bottom"/>
            <w:gridSpan w:val="11"/>
          </w:tcPr>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in the Consolidated Statements of Operations to EBITDA:</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For the three months ended March</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w:t>
            </w:r>
          </w:p>
        </w:tc>
        <w:tc>
          <w:tcPr>
            <w:tcW w:w="1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(57,737)</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(15,583)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40"/>
              <w:spacing w:after="0"/>
              <w:rPr>
                <w:sz w:val="20"/>
                <w:szCs w:val="20"/>
                <w:color w:val="auto"/>
              </w:rPr>
            </w:pPr>
            <w:r>
              <w:rPr>
                <w:rFonts w:ascii="Arial" w:cs="Arial" w:eastAsia="Arial" w:hAnsi="Arial"/>
                <w:sz w:val="18"/>
                <w:szCs w:val="18"/>
                <w:color w:val="auto"/>
              </w:rPr>
              <w:t>Income tax provision (benefit), net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9"/>
              </w:rPr>
              <w:t>Net loss (income) attributable to non-controlling interests</w:t>
            </w: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 net:</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Prepaids and deposits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55,381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189,821</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116,661</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Contract acquisition costs, net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94,593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99,837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fulfillment costs, net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non-current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Trade accounts payable - DISH Network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42,388</w:t>
            </w:r>
          </w:p>
        </w:tc>
        <w:tc>
          <w:tcPr>
            <w:tcW w:w="0" w:type="dxa"/>
            <w:vAlign w:val="bottom"/>
          </w:tcPr>
          <w:p>
            <w:pPr>
              <w:spacing w:after="0"/>
              <w:rPr>
                <w:sz w:val="1"/>
                <w:szCs w:val="1"/>
                <w:color w:val="auto"/>
              </w:rPr>
            </w:pPr>
          </w:p>
        </w:tc>
      </w:tr>
      <w:tr>
        <w:trPr>
          <w:trHeight w:val="229"/>
        </w:trPr>
        <w:tc>
          <w:tcPr>
            <w:tcW w:w="794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62,299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w:t>
            </w: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159,564</w:t>
            </w:r>
          </w:p>
        </w:tc>
        <w:tc>
          <w:tcPr>
            <w:tcW w:w="0" w:type="dxa"/>
            <w:vAlign w:val="bottom"/>
          </w:tcPr>
          <w:p>
            <w:pPr>
              <w:spacing w:after="0"/>
              <w:rPr>
                <w:sz w:val="1"/>
                <w:szCs w:val="1"/>
                <w:color w:val="auto"/>
              </w:rPr>
            </w:pPr>
          </w:p>
        </w:tc>
      </w:tr>
      <w:tr>
        <w:trPr>
          <w:trHeight w:val="223"/>
        </w:trPr>
        <w:tc>
          <w:tcPr>
            <w:tcW w:w="7940" w:type="dxa"/>
            <w:vAlign w:val="bottom"/>
          </w:tcPr>
          <w:p>
            <w:pPr>
              <w:ind w:left="48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299,999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4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85,148</w:t>
            </w:r>
          </w:p>
        </w:tc>
        <w:tc>
          <w:tcPr>
            <w:tcW w:w="0" w:type="dxa"/>
            <w:vAlign w:val="bottom"/>
          </w:tcPr>
          <w:p>
            <w:pPr>
              <w:spacing w:after="0"/>
              <w:rPr>
                <w:sz w:val="1"/>
                <w:szCs w:val="1"/>
                <w:color w:val="auto"/>
              </w:rPr>
            </w:pPr>
          </w:p>
        </w:tc>
      </w:tr>
      <w:tr>
        <w:trPr>
          <w:trHeight w:val="223"/>
        </w:trPr>
        <w:tc>
          <w:tcPr>
            <w:tcW w:w="794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97,992</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13"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For the three months ended March</w:t>
      </w:r>
    </w:p>
    <w:p>
      <w:pPr>
        <w:jc w:val="center"/>
        <w:ind w:left="792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Cash paid for interest, net of amounts capitalized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Employee benefits paid in Class A common stock</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140"/>
              <w:spacing w:after="0" w:line="176" w:lineRule="exact"/>
              <w:rPr>
                <w:sz w:val="20"/>
                <w:szCs w:val="20"/>
                <w:color w:val="auto"/>
              </w:rPr>
            </w:pPr>
            <w:r>
              <w:rPr>
                <w:rFonts w:ascii="Arial" w:cs="Arial" w:eastAsia="Arial" w:hAnsi="Arial"/>
                <w:sz w:val="18"/>
                <w:szCs w:val="18"/>
                <w:color w:val="auto"/>
              </w:rPr>
              <w:t>Non-cash net assets received in exchange for a 20% ownership interest in our existing Brazilian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940" w:type="dxa"/>
            <w:vAlign w:val="bottom"/>
            <w:vMerge w:val="continue"/>
          </w:tcPr>
          <w:p>
            <w:pPr>
              <w:spacing w:after="0"/>
              <w:rPr>
                <w:sz w:val="11"/>
                <w:szCs w:val="11"/>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190"/>
        </w:trPr>
        <w:tc>
          <w:tcPr>
            <w:tcW w:w="7940" w:type="dxa"/>
            <w:vAlign w:val="bottom"/>
          </w:tcPr>
          <w:p>
            <w:pPr>
              <w:ind w:left="140"/>
              <w:spacing w:after="0" w:line="190" w:lineRule="exact"/>
              <w:rPr>
                <w:sz w:val="20"/>
                <w:szCs w:val="20"/>
                <w:color w:val="auto"/>
              </w:rPr>
            </w:pPr>
            <w:r>
              <w:rPr>
                <w:rFonts w:ascii="Arial" w:cs="Arial" w:eastAsia="Arial" w:hAnsi="Arial"/>
                <w:sz w:val="18"/>
                <w:szCs w:val="18"/>
                <w:color w:val="auto"/>
              </w:rPr>
              <w:t>subsidiary</w:t>
            </w:r>
          </w:p>
        </w:tc>
        <w:tc>
          <w:tcPr>
            <w:tcW w:w="3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29, 2020, our Board of Directors authorized us to repurchase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below have been converted to treasury shares. The following table presents information with respect to purchases made by the Company: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w:t>
            </w: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620" w:type="dxa"/>
            <w:vAlign w:val="bottom"/>
            <w:gridSpan w:val="3"/>
            <w:vMerge w:val="continue"/>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 Disclosed</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Be Purchased under</w:t>
            </w:r>
          </w:p>
        </w:tc>
        <w:tc>
          <w:tcPr>
            <w:tcW w:w="0" w:type="dxa"/>
            <w:vAlign w:val="bottom"/>
          </w:tcPr>
          <w:p>
            <w:pPr>
              <w:spacing w:after="0"/>
              <w:rPr>
                <w:sz w:val="1"/>
                <w:szCs w:val="1"/>
                <w:color w:val="auto"/>
              </w:rPr>
            </w:pPr>
          </w:p>
        </w:tc>
      </w:tr>
      <w:tr>
        <w:trPr>
          <w:trHeight w:val="175"/>
        </w:trPr>
        <w:tc>
          <w:tcPr>
            <w:tcW w:w="4820" w:type="dxa"/>
            <w:vAlign w:val="bottom"/>
            <w:vMerge w:val="continue"/>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Per Share (or Unit)</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Plans or Program</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the Plans or Program</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2,108,312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2,108,312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408,759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1500" w:type="dxa"/>
            <w:vAlign w:val="bottom"/>
          </w:tcPr>
          <w:p>
            <w:pPr>
              <w:jc w:val="right"/>
              <w:spacing w:after="0"/>
              <w:rPr>
                <w:sz w:val="20"/>
                <w:szCs w:val="20"/>
                <w:color w:val="auto"/>
              </w:rPr>
            </w:pPr>
            <w:r>
              <w:rPr>
                <w:rFonts w:ascii="Arial" w:cs="Arial" w:eastAsia="Arial" w:hAnsi="Arial"/>
                <w:sz w:val="18"/>
                <w:szCs w:val="18"/>
                <w:color w:val="auto"/>
              </w:rPr>
              <w:t>1,668,399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1,668,399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370,148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345,772</w:t>
            </w:r>
          </w:p>
        </w:tc>
        <w:tc>
          <w:tcPr>
            <w:tcW w:w="0" w:type="dxa"/>
            <w:vAlign w:val="bottom"/>
          </w:tcPr>
          <w:p>
            <w:pPr>
              <w:spacing w:after="0"/>
              <w:rPr>
                <w:sz w:val="1"/>
                <w:szCs w:val="1"/>
                <w:color w:val="auto"/>
              </w:rPr>
            </w:pPr>
          </w:p>
        </w:tc>
      </w:tr>
      <w:tr>
        <w:trPr>
          <w:trHeight w:val="223"/>
        </w:trPr>
        <w:tc>
          <w:tcPr>
            <w:tcW w:w="4820" w:type="dxa"/>
            <w:vAlign w:val="bottom"/>
          </w:tcPr>
          <w:p>
            <w:pPr>
              <w:ind w:left="430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4,770,714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4,770,714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(“Accompanying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provider of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operations also include various corporate departments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United States (“U.S.”) dollars, except share and per share amounts and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March 31, 2021:</w:t>
      </w:r>
    </w:p>
    <w:p>
      <w:pPr>
        <w:spacing w:after="0" w:line="27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$482.6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(loss) of $53.5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(loss) of $77.6 million</w:t>
      </w:r>
    </w:p>
    <w:p>
      <w:pPr>
        <w:spacing w:after="0" w:line="90" w:lineRule="exact"/>
        <w:rPr>
          <w:rFonts w:ascii="Arial" w:cs="Arial" w:eastAsia="Arial" w:hAnsi="Arial"/>
          <w:sz w:val="18"/>
          <w:szCs w:val="18"/>
          <w:color w:val="auto"/>
        </w:rPr>
      </w:pPr>
    </w:p>
    <w:p>
      <w:pPr>
        <w:ind w:left="660" w:right="20" w:hanging="328"/>
        <w:spacing w:after="0" w:line="261" w:lineRule="auto"/>
        <w:tabs>
          <w:tab w:leader="none" w:pos="697"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(loss) attributable to EchoStar common stock of $78.5 million and basic and diluted earnings (losses) per share of common stock of $0.84</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(loss) attributable to non-controlling interests (“EBITDA”) of $258.7 million (see reconciliation of this non-GAAP measure in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2021:</w:t>
      </w:r>
    </w:p>
    <w:p>
      <w:pPr>
        <w:spacing w:after="0" w:line="27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of $7.0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liabilities of $3.4 billion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stockholders’ equity of $3.6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$2.3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consumer customers and broadband network technologies, managed services, equipment, hardware, satellite services and communications solutions to consumer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across wholesale and retail channels, as well as increasing our Average Revenue Per User/subscriber (“ARPU”). Service costs related to ongoing support for our direct and indirect customers and partners are typically impacted most significantly by our growth. The growth of our enterprise businesses relies heavily on global economic conditions and the competitive landscape for pricing relative to competitors and alternative technologies. We have seen a limited number of our enterprise customers file for bankruptcy protection. We have reserved an amount related to pre-petition receivables and are working closely with these customers on providing post-petition services and products, as well as working with the customer regarding collection of pre-petition amounts.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our Al Yah 3 Brazilian payload and additional satellite capacity acquired from third-party providers to provide services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our customers. Growth of our consumer subscriber base in the U.S. continues to be constrained where we are nearing or have reached maximum capacity in most areas. While these constraints are not expected to be resolved until we launch new satellites, we continue to focus on revenue growth in all areas and consumer subscriber growth in the areas where we have available capacity.</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(“HughesNet service”) in North, Central and South America as well as enterprise broadband services. The EchoStar XXIV satellite is expected to be launched in the second half of 2022. Further delays or impediments could have a material adverse impact on our business operations, future revenues, financial position and prospects, the completion of manufacture of the EchoStar XXIV satellite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w:t>
      </w:r>
      <w:r>
        <w:rPr>
          <w:rFonts w:ascii="Arial" w:cs="Arial" w:eastAsia="Arial" w:hAnsi="Arial"/>
          <w:sz w:val="18"/>
          <w:szCs w:val="18"/>
          <w:i w:val="1"/>
          <w:iCs w:val="1"/>
          <w:color w:val="auto"/>
        </w:rPr>
        <w:t>Corporate and Other</w:t>
      </w:r>
      <w:r>
        <w:rPr>
          <w:rFonts w:ascii="Arial" w:cs="Arial" w:eastAsia="Arial" w:hAnsi="Arial"/>
          <w:sz w:val="18"/>
          <w:szCs w:val="18"/>
          <w:color w:val="auto"/>
        </w:rPr>
        <w:t xml:space="preserve"> in our segment reporting.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We have been delivering high-speed consumer satellite broadband services in Brazil since July 2016 and are also providing satellite broadband internet service in several other Latin American countries.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satellite and the EchoStar XIX satellite in South America. In March 2021, we entered into an agreement for additional capacity on the Telesat T19V satellite over Puerto Rico.</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approximate number of broadband subscribers: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80" w:type="dxa"/>
            <w:vAlign w:val="bottom"/>
          </w:tcPr>
          <w:p>
            <w:pPr>
              <w:spacing w:after="0"/>
              <w:rPr>
                <w:sz w:val="20"/>
                <w:szCs w:val="20"/>
                <w:color w:val="auto"/>
              </w:rPr>
            </w:pPr>
          </w:p>
        </w:tc>
        <w:tc>
          <w:tcPr>
            <w:tcW w:w="1860" w:type="dxa"/>
            <w:vAlign w:val="bottom"/>
            <w:tcBorders>
              <w:bottom w:val="single" w:sz="8" w:color="auto"/>
            </w:tcBorders>
            <w:gridSpan w:val="3"/>
          </w:tcPr>
          <w:p>
            <w:pPr>
              <w:ind w:left="1400"/>
              <w:spacing w:after="0"/>
              <w:rPr>
                <w:sz w:val="20"/>
                <w:szCs w:val="20"/>
                <w:color w:val="auto"/>
              </w:rPr>
            </w:pPr>
            <w:r>
              <w:rPr>
                <w:rFonts w:ascii="Arial" w:cs="Arial" w:eastAsia="Arial" w:hAnsi="Arial"/>
                <w:sz w:val="18"/>
                <w:szCs w:val="18"/>
                <w:b w:val="1"/>
                <w:bCs w:val="1"/>
                <w:color w:val="auto"/>
                <w:w w:val="97"/>
              </w:rPr>
              <w:t>As of</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18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March 31, 2021</w:t>
            </w:r>
          </w:p>
        </w:tc>
        <w:tc>
          <w:tcPr>
            <w:tcW w:w="14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1,189,000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80" w:type="dxa"/>
            <w:vAlign w:val="bottom"/>
          </w:tcPr>
          <w:p>
            <w:pPr>
              <w:spacing w:after="0"/>
              <w:rPr>
                <w:sz w:val="24"/>
                <w:szCs w:val="24"/>
                <w:color w:val="auto"/>
              </w:rPr>
            </w:pPr>
          </w:p>
        </w:tc>
        <w:tc>
          <w:tcPr>
            <w:tcW w:w="32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18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March 31, 2021</w:t>
            </w:r>
          </w:p>
        </w:tc>
        <w:tc>
          <w:tcPr>
            <w:tcW w:w="140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U.S. consumer subscriber base in certain areas continues to be capacity constrained and we are managing the available capacity to maintain service quality to our existing subscribers. While the balancing of total subscribers relative to capacity utilization in the first quarter resulted in lower total subscribers, ARPU increased.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Latin America, we continued to see growth in our subscriber base and net subscriber additions compared to the fourth quarter of 2020, mainly due to higher gross subscriber additions.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2021 and December 31, 2020, our Hughes segment had $1.4 billion and $1.3 billion of contracted revenue backlog, respectively. We define Hughes contracted revenue backlog as our expected future revenue under enterprise customer contracts that are non-cancelable, including lease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2021 and December 31, 2020, our ESS segment had contracted revenue backlog of $9.2 million and $6.7 million, respectively. We define contracted revenue backlog for our ESS segment as contracted future satellite lease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The current COVID-19 pandemic has made even more evident the worldwide need and demand for connectivity and communications to facilitate an ever-increasing virtual global community and workplace. In addition to fiber and wireless systems, technologies such as geostationary high throughput satellites, low-earth orbit (“LEO”) networks, medium-earth orbit (“MEO”) systems, balloons and High Altitude Platform Systems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intend to continue to explore the development and deployment of S-band technologies that we expect will reduce the cost of satellite communications for internet of 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deploy a mobile satellite service (“MSS”) and complementary ground component (“CGC”) network in the European Union and its member states (“E.U.”), the United Kingdom (“U.K.”) and other European countries through our EchoStar XXI satellite, which was placed into service in November 2017, and the EUTELSAT 10A payload. We have positioned ourselves to continue to develop the S-band spectrum globally by acquiring Sirion Global Pty Ltd., which we have renamed EchoStar Global which holds global S-band non-geostationary satellite spectrum rights for MSS. Additionally, we entered into a contract with Tyvak Nano-Satellite Systems, Inc. for the design and construction of S-band nano-satellites. We launched two nano-satellites in the third quarter of 2020. Following launch, both nano-satellites experienced technical anomalies that precluded them from fulfilling their intended regulatory milestone missions. We obtained milestone relief due to these force majeure events. We expect to launch our third nano-satellite mid-year 2021. Our nano-satellites are designed to facilitate our continued growth in the global S-band market and enable us to leverage our acquisition of EchoStar Global. In addition, in Mexico we hold licenses for S-band MSS and terrestrial services.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8, 2020, the cyber security company FireEye announced that they detected a sophisticated nation state level cyber campaign that targeted FireEye, other public and private companies, and government organizations. FireEye reported that the attack against them was facilitated through the Orion IT management software owned by a company called SolarWinds. Based on information from FireEye, we reviewed all instances of SolarWinds software in use at the Company and have determined that the version we are using is not susceptible to the malware within the version that is compromised.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SolarWinds hack continues to evolve. Specifically, there have been many reports of intrusions into Microsoft Exchange on-premise systems possibly due to the SolarWinds issue and other unrelated matters. While we are customers of Microsoft, to date, our investigations into the announced issues indicate that we were not detrimentally affected by the vulnerabilities due to our security controls and other proactive measures which include security patching. We continue to receive information about these breaches from the U.S. government and private security firms, and we use this data to update our defense systems and to investigate our own networks for compromise. We will continue to update our systems as more information comes to light in reference to these issues.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additional cyber-incidents with respect to our owned or leased satellites or other networks, equipment or systems that have had a material adverse effect on our business, costs, operations, prospects, results of operation or financial position during the three months ended March 31, 2021 and through May 6, 2021.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the Three Months Ended March 31, 2020</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our consolidated results of operations for the three months ended March 31, 2021 compared to the three months ended March 31,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b w:val="1"/>
                <w:bCs w:val="1"/>
                <w:color w:val="auto"/>
              </w:rPr>
              <w:t>For the three months ended March 31,</w:t>
            </w:r>
          </w:p>
        </w:tc>
        <w:tc>
          <w:tcPr>
            <w:tcW w:w="26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80" w:type="dxa"/>
            <w:vAlign w:val="bottom"/>
          </w:tcPr>
          <w:p>
            <w:pPr>
              <w:jc w:val="right"/>
              <w:ind w:right="177"/>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430,337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408,357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21,980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57,309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6"/>
        </w:trPr>
        <w:tc>
          <w:tcPr>
            <w:tcW w:w="4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482,582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465,666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132,789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145,252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services and other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45,151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45,908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equipment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114,119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125,281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6,254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129,286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132,368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429,120</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455,063</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(25,943)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53,462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10,603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(34,667)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(36,233)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(46,672)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46,257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(75,832)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99,719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(65,229)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164,948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(22,147)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7,492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77,572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(57,737)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135,309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466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Less: Net loss (income) attributable to non-controlling</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157"/>
        </w:trPr>
        <w:tc>
          <w:tcPr>
            <w:tcW w:w="466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Net income (loss) attributable to EchoStar Corporation</w:t>
            </w:r>
          </w:p>
        </w:tc>
        <w:tc>
          <w:tcPr>
            <w:tcW w:w="380" w:type="dxa"/>
            <w:vAlign w:val="bottom"/>
            <w:vMerge w:val="restart"/>
          </w:tcPr>
          <w:p>
            <w:pPr>
              <w:jc w:val="right"/>
              <w:ind w:right="177"/>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color w:val="auto"/>
              </w:rPr>
              <w:t>78,519</w:t>
            </w:r>
          </w:p>
        </w:tc>
        <w:tc>
          <w:tcPr>
            <w:tcW w:w="120" w:type="dxa"/>
            <w:vAlign w:val="bottom"/>
          </w:tcPr>
          <w:p>
            <w:pPr>
              <w:spacing w:after="0"/>
              <w:rPr>
                <w:sz w:val="13"/>
                <w:szCs w:val="13"/>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(54,295)</w:t>
            </w:r>
          </w:p>
        </w:tc>
        <w:tc>
          <w:tcPr>
            <w:tcW w:w="1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132,814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60" w:type="dxa"/>
            <w:vAlign w:val="bottom"/>
            <w:gridSpan w:val="2"/>
          </w:tcPr>
          <w:p>
            <w:pPr>
              <w:ind w:left="20"/>
              <w:spacing w:after="0" w:line="174" w:lineRule="exact"/>
              <w:rPr>
                <w:sz w:val="20"/>
                <w:szCs w:val="20"/>
                <w:color w:val="auto"/>
              </w:rPr>
            </w:pPr>
            <w:r>
              <w:rPr>
                <w:rFonts w:ascii="Arial" w:cs="Arial" w:eastAsia="Arial" w:hAnsi="Arial"/>
                <w:sz w:val="16"/>
                <w:szCs w:val="16"/>
                <w:color w:val="auto"/>
              </w:rPr>
              <w:t>common stock</w:t>
            </w:r>
          </w:p>
        </w:tc>
        <w:tc>
          <w:tcPr>
            <w:tcW w:w="38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60" w:type="dxa"/>
            <w:vAlign w:val="bottom"/>
            <w:tcBorders>
              <w:bottom w:val="single" w:sz="8" w:color="CCEEFF"/>
            </w:tcBorders>
            <w:gridSpan w:val="2"/>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258,670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91,231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167,439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1,553,000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1,516,000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line="258" w:lineRule="auto"/>
        <w:tabs>
          <w:tab w:leader="none" w:pos="3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Accompanying Consolidated Financial Statements, is included in Results of Operations. For further information on our use of EBITDA, see Explanation of Key Metrics and Other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March 31, 2021 and 2020.</w:t>
      </w:r>
    </w:p>
    <w:p>
      <w:pPr>
        <w:spacing w:after="0" w:line="2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$430.3 million for the three months ended March 31, 2021,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$22.0 million, or 5.4%, as compared to 2020.</w:t>
      </w:r>
    </w:p>
    <w:p>
      <w:pPr>
        <w:spacing w:after="0" w:line="202" w:lineRule="exact"/>
        <w:rPr>
          <w:sz w:val="20"/>
          <w:szCs w:val="20"/>
          <w:color w:val="auto"/>
        </w:rPr>
      </w:pPr>
    </w:p>
    <w:p>
      <w:pPr>
        <w:jc w:val="both"/>
        <w:ind w:left="900" w:hanging="406"/>
        <w:spacing w:after="0" w:line="253" w:lineRule="auto"/>
        <w:tabs>
          <w:tab w:leader="none" w:pos="89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Services and other revenue from our Hughes segment for the three months ended March 31, 2021 increased by $22.4 million, or 5.6%, to $423.6 million compared to 2020. The increase was primarily attributable to increases in sales of broadband services to our consumer customers of $27.0 million, partially offset by a decrease in sales of services to our enterprise customers of $3.1 million. These variances reflect the negative impact of exchange rate fluctuations of $5.4 million, primarily attributable to our consumer customers.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$52.2 million for the three months ended March 31, 2021, a decrease of $5.1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8.8%, as compared to 2020. The decrease was primarily attributable to decreases in hardware sales of $4.8 million to our mobile satellite systems customers.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$132.8 million for the three months ended March 31, 2021,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$12.5 million, or 8.6%, as compared to 2020. The decrease was attributable to lower costs of services provided to our consumer and enterprise customers primarily associated with field services and leased satellite capacity as well as a non-recurring decrease in a certain international regulatory fee of $4.5 million.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$45.2 million for the three months ended March 31, 2021, a decrease of $0.8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1.6%, as compared to 2020.</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$114.1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 decrease of $11.2 million, or 8.9%, as compared to 2020. The decrease was primarily attributable to decreased sales and marketing expenses of $9.6 million from our Hughes segment mainly associated with our consumer customers and decreases in bad debt expense of $2.4 million.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$129.3 million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 decrease of $3.1 million, or 2.3%, as compared to 2020. The decrease was primarily attributable to decreases in other property and equipment depreciation expense of $2.0 million and decreases in amortization of intangibles of $1.5 million.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$5.9 million for the three months ended March 31, 2021, a decrease of $9.6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61.8%, as compared to 2020, primarily attributable to decreases in the yield on our marketable investment securities.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$34.7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2021, a decrease of $1.6 million, or 4.3%, as compared to 2020. The decrease was primarily attributable to an increase of $1.3 million in capitalized interest relating to the construction of the EchoStar XXIV satellite and its related infrastructure.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$78.6 million in gains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2021, an increase of $125.3 million, as compared to 2020. The change was primarily attributable to the gains on marketable investment securities and other equity securities of $98.2 million in 2021 and a $21.3 million impairment loss in 2020.</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totaled $1.4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earnings for the three months ended March 31, 2021, a decrease in earnings of $1.2 million, or 47.4%, as compared to 2020. The decrease was related to decreased earnings from our investments in our equity method investees.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$4.1 million in losses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2021, as compared to $10.8 million in losses for the three months ended March 31, 2020, a positive change of $6.8 million. The change was due to the net impact of foreign exchange rate fluctuations of certain foreign currencies during the quarter.</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$(22.1) million for the three months ended March 31,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$7.5 million for the three months ended March 31, 2020. Our effective income tax rate was 22.2% and 11.5% for the three months ended March 31, 2021 and 2020, respectively. The variations in our effective tax rate from the U.S. federal statutory rate for the three months ended March 31, 2021 were primarily due to excluded foreign losses where the company carries a full valuation allowance and the change in net unrealized gains that are capital in nature. The variations in our current year effective tax rate from the U.S. federal statutory rate for the three months ended March 31, 2020 were primarily due to the increase in our valuation allowance associated with certain foreign losses and by the impact of state and local taxes partially offset by the change in net unrealized gains that are capital in nature and research and experimentation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The following table reconciles the change in Net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March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(54,295)</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(29,639)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42,859</w:t>
            </w:r>
          </w:p>
        </w:tc>
      </w:tr>
      <w:tr>
        <w:trPr>
          <w:trHeight w:val="229"/>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125,272</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March 31,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table reconciles EBITDA to Net income (loss), the most directly comparable U.S. GAAP measure in our Accompanying Consolidated Financial Statements: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three months ended March</w:t>
            </w:r>
          </w:p>
        </w:tc>
        <w:tc>
          <w:tcPr>
            <w:tcW w:w="280" w:type="dxa"/>
            <w:vAlign w:val="bottom"/>
          </w:tcPr>
          <w:p>
            <w:pPr>
              <w:spacing w:after="0"/>
              <w:rPr>
                <w:sz w:val="18"/>
                <w:szCs w:val="18"/>
                <w:color w:val="auto"/>
              </w:rPr>
            </w:pPr>
          </w:p>
        </w:tc>
        <w:tc>
          <w:tcPr>
            <w:tcW w:w="184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5"/>
              </w:rPr>
              <w:t>31,</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77,572</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258,670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167,439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March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91,231</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125,272</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39,777</w:t>
            </w:r>
          </w:p>
        </w:tc>
      </w:tr>
      <w:tr>
        <w:trPr>
          <w:trHeight w:val="230"/>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29"/>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March 31, 2021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258,670</w:t>
            </w:r>
          </w:p>
        </w:tc>
      </w:tr>
      <w:tr>
        <w:trPr>
          <w:trHeight w:val="21"/>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tables present our operating results, capital expenditures and EBITDA by segment for the three months ended March 31, 2021, as compared to the three months ended March 31,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ESS</w:t>
            </w:r>
          </w:p>
        </w:tc>
        <w:tc>
          <w:tcPr>
            <w:tcW w:w="40" w:type="dxa"/>
            <w:vAlign w:val="bottom"/>
          </w:tcPr>
          <w:p>
            <w:pPr>
              <w:spacing w:after="0"/>
              <w:rPr>
                <w:sz w:val="17"/>
                <w:szCs w:val="17"/>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Corporate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Other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March 31, 2021</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475,859</w:t>
            </w:r>
          </w:p>
        </w:tc>
        <w:tc>
          <w:tcPr>
            <w:tcW w:w="50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482,582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198,578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 2020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458,482</w:t>
            </w:r>
          </w:p>
        </w:tc>
        <w:tc>
          <w:tcPr>
            <w:tcW w:w="5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104,604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10"/>
          </w:tcPr>
          <w:p>
            <w:pPr>
              <w:ind w:left="100"/>
              <w:spacing w:after="0"/>
              <w:rPr>
                <w:sz w:val="20"/>
                <w:szCs w:val="20"/>
                <w:color w:val="auto"/>
              </w:rPr>
            </w:pPr>
            <w:r>
              <w:rPr>
                <w:rFonts w:ascii="Arial" w:cs="Arial" w:eastAsia="Arial" w:hAnsi="Arial"/>
                <w:sz w:val="18"/>
                <w:szCs w:val="18"/>
                <w:b w:val="1"/>
                <w:bCs w:val="1"/>
                <w:color w:val="auto"/>
              </w:rPr>
              <w:t>For the three months ended March</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7"/>
            <w:vMerge w:val="restart"/>
          </w:tcPr>
          <w:p>
            <w:pPr>
              <w:jc w:val="right"/>
              <w:ind w:right="1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87"/>
              </w:rPr>
              <w:t>31,</w:t>
            </w: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475,859</w:t>
            </w:r>
          </w:p>
        </w:tc>
        <w:tc>
          <w:tcPr>
            <w:tcW w:w="5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91,517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198,578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 was $475.9 million for the three months ended March 31, 2021, an increase of $17.4 million, or 3.8%, as compared to 2020. Services and other revenue increased primarily due to increases in sales of broadband services to our consumer customers of $27.0 million, partially offset by a decrease in sales of services to our enterprise customers of $3.1 million. Equipment revenue decreased primarily due to decreases in hardware sales of $4.8 million to our mobile satellite systems customers. These variances reflect the negative impact of exchange rate fluctuations of $5.9 million.</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were $82.2 million for the three months ended March 31, 2021, a decrease of $9.3 million, or 10.2%, as compared to 2020, primarily due to decreases in expenditures associated with our consumer business, partially offset by increased expenditures related to construction of our satellite-related ground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Amounts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gridSpan w:val="9"/>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41,297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Increase (decrease) in other,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20" w:type="dxa"/>
            <w:vAlign w:val="bottom"/>
            <w:gridSpan w:val="7"/>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2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EBITDA for the three months ended March 31, 2021</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198,578</w:t>
            </w:r>
          </w:p>
        </w:tc>
        <w:tc>
          <w:tcPr>
            <w:tcW w:w="0" w:type="dxa"/>
            <w:vAlign w:val="bottom"/>
          </w:tcPr>
          <w:p>
            <w:pPr>
              <w:spacing w:after="0"/>
              <w:rPr>
                <w:sz w:val="1"/>
                <w:szCs w:val="1"/>
                <w:color w:val="auto"/>
              </w:rPr>
            </w:pPr>
          </w:p>
        </w:tc>
      </w:tr>
      <w:tr>
        <w:trPr>
          <w:trHeight w:val="21"/>
        </w:trPr>
        <w:tc>
          <w:tcPr>
            <w:tcW w:w="48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ESS Segment</w:t>
            </w: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8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 March</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3"/>
            <w:vMerge w:val="restart"/>
          </w:tcPr>
          <w:p>
            <w:pPr>
              <w:jc w:val="right"/>
              <w:ind w:right="11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87"/>
              </w:rPr>
              <w:t>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revenue was $4.1 million for the three months ended March 31, 2021, a decrease of $0.6 million, or 12.1%, as compared to 2020, primarily due to a decrease in transponder services provided to third parties.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was $1.9 million for the three months ended March 31, 2021, a decrease of $0.1 million, or 5.5%, as compared to 2020, primarily due to the decrease in overall ESS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00" w:type="dxa"/>
            <w:vAlign w:val="bottom"/>
            <w:gridSpan w:val="2"/>
          </w:tcPr>
          <w:p>
            <w:pPr>
              <w:spacing w:after="0"/>
              <w:rPr>
                <w:sz w:val="20"/>
                <w:szCs w:val="20"/>
                <w:color w:val="auto"/>
              </w:rPr>
            </w:pPr>
            <w:r>
              <w:rPr>
                <w:rFonts w:ascii="Arial" w:cs="Arial" w:eastAsia="Arial" w:hAnsi="Arial"/>
                <w:sz w:val="18"/>
                <w:szCs w:val="18"/>
                <w:i w:val="1"/>
                <w:iCs w:val="1"/>
                <w:color w:val="auto"/>
              </w:rPr>
              <w:t>Corporate and Other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6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9"/>
              </w:rPr>
              <w:t>For the three months ended March</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87"/>
              </w:rPr>
              <w:t>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83,952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Capital expenditures were $97.0 million for the three months ended March 31, 2021, an increase of $84.0 million, as compared to 2020, primarily due to increases in expenditures related to the EchoStar XXIV satellite program.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89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40" w:type="dxa"/>
            <w:vAlign w:val="bottom"/>
          </w:tcPr>
          <w:p>
            <w:pPr>
              <w:spacing w:after="0"/>
              <w:rPr>
                <w:sz w:val="19"/>
                <w:szCs w:val="19"/>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(65,440)</w:t>
            </w:r>
          </w:p>
        </w:tc>
      </w:tr>
      <w:tr>
        <w:trPr>
          <w:trHeight w:val="229"/>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(1,538)</w:t>
            </w:r>
          </w:p>
        </w:tc>
      </w:tr>
      <w:tr>
        <w:trPr>
          <w:trHeight w:val="230"/>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30"/>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29"/>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229"/>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125,109</w:t>
            </w:r>
          </w:p>
        </w:tc>
      </w:tr>
      <w:tr>
        <w:trPr>
          <w:trHeight w:val="248"/>
        </w:trPr>
        <w:tc>
          <w:tcPr>
            <w:tcW w:w="40" w:type="dxa"/>
            <w:vAlign w:val="bottom"/>
          </w:tcPr>
          <w:p>
            <w:pPr>
              <w:spacing w:after="0"/>
              <w:rPr>
                <w:sz w:val="21"/>
                <w:szCs w:val="21"/>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three months ended March 31, 2021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r>
      <w:tr>
        <w:trPr>
          <w:trHeight w:val="20"/>
        </w:trPr>
        <w:tc>
          <w:tcPr>
            <w:tcW w:w="4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2021 our cash, cash equivalents and marketable investment securities totaled $2.3 billion, of which $0.7 billion, we held as marketable investment securities, consisting of various debt and equity instruments including corporate bonds, corporate equity securities, government bonds and mutual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5"/>
          </w:tcPr>
          <w:p>
            <w:pPr>
              <w:ind w:left="20"/>
              <w:spacing w:after="0"/>
              <w:rPr>
                <w:sz w:val="20"/>
                <w:szCs w:val="20"/>
                <w:color w:val="auto"/>
              </w:rPr>
            </w:pPr>
            <w:r>
              <w:rPr>
                <w:rFonts w:ascii="Arial" w:cs="Arial" w:eastAsia="Arial" w:hAnsi="Arial"/>
                <w:sz w:val="18"/>
                <w:szCs w:val="18"/>
                <w:b w:val="1"/>
                <w:bCs w:val="1"/>
                <w:color w:val="auto"/>
              </w:rPr>
              <w:t>For the three months ended March</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31,</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0"/>
        </w:trPr>
        <w:tc>
          <w:tcPr>
            <w:tcW w:w="6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736,980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719,034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(165,271)</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602,356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provided by (used for) operating activities increased by $45.6 million primarily attributable to changes in net income (loss) of $135.3 million and deferred tax provision (benefit), net of $28.4 million, partially offset by changes in losses (gains) on investments, net of $125.3 million.</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Cash flows provided by (used for) investing activities increased by $719.0 million primarily attributable to our marketable investment securities net activity, increase in expenditures for property and equipment and increase in purchases of other investments.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provided by (used for) financing activities decreased by $165.3 million primarily attributable to repurchases of our 2021 senior unsecured notes and from increased treasury share repurchases.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2021, our satellite-related commitments were $389.7 million. These primarily include payments pursuant to agreements for the construction of the EchoStar XXIV satellite, payments pursuant to the EchoStar XXIV launch contract, payments pursuant to regulatory authorizations, non-lease costs associated with our finance lease satellites, in-orbit incentives relating to certain satellites and commitments for satellite service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March 31, 2021</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89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31,357</w:t>
            </w:r>
          </w:p>
        </w:tc>
      </w:tr>
      <w:tr>
        <w:trPr>
          <w:trHeight w:val="223"/>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44,750</w:t>
            </w:r>
          </w:p>
        </w:tc>
      </w:tr>
      <w:tr>
        <w:trPr>
          <w:trHeight w:val="21"/>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the agreements governing certain portions of our long-term debt and our joint venture agreements with Al Yah Satellite Communications Company PrJSC (“Yahsat”), we are required, subject to certain limitations on coverage, to maintain only for the SPACEWAY 3 satellite, the EchoStar XVII satellite and the Al Yah 3 Brazilian payload, insurance or other contractual arrangements during the commercial in-orbit service of such satellite or payload. Our other satellites and payloads, either in orbit or under construction, are not covered by launch or in-orbit insurance or other contractual arrangements. We will continue to assess circumstances going forward and make insurance-related decisions on a case-by-case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 significant amount of outstanding indebtedness. As of March 31, 2021, our total indebtedness was $2.3 billion. Refer to our Form 10-K for a discussion of the terms of our long-term debt. Our liquidity requirements will continue to be significant, primarily due to our remaining debt service requirements and the design and construction of our new EchoStar XXIV satellite. Our 7 5/8% Senior Unsecured Notes due 2021 (the “2021 Notes”) with an outstanding principal balance of $809.5 million mature and are due and payable in June 2021. As of March 31, 2021, we have repurchased a total of $90.5 million in principal of the 2021 Senior Unsecured Notes in open market trades.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technologies or joint ventures to support and expand our business, or if we decide to purchase or build additional satellites or other technologies or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Other aspects of our business operations may also require additional capital. We also expect to owe U.S. Federal income tax for 2021.</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anticipate that our existing cash and marketable investment securities are sufficient to repay our 2021 Notes that mature and are due and payable in June 2021 and to fund the currently anticipated operations of our business through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Board of Directors previously authorized us to repurchase up to $500.0 million of our Class A common stock through and including December 31, 2020. On October 29, 2020, our Board of Directors terminated its prior authorization and authorized us to repurchase, pursuant to its new authorization,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 During the three months ended March 31, 2021, we repurchased 4,770,714 shares of our Class A common stock for $110.8 million under this program. The remaining authorization under this program was $345.8 million as of March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critical accounting policies are those that involve a high degree of estimation, judgment and complexity. Our critical accounting policies are those related to (i) contingent liabilities, (ii) revenue recognition and (iii) impairment of assets.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critical accounting policies are described in our Form 10-K under the heading Part II - Item 7. Management’s Discussion and Analysis of Financial Condition and Results of Operations. There have been no significant changes in our critical accounting policies from those presented in our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Accompanying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cannot predict with any certainty whether these trends will continue in the near future as the economy and our customers react to the COVID-19 pandemic and experience associated disruptions and dislocations.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has not materially affected our operations during the past three years, but we are unable to predict the extent or nature of any future inflationary pressure at this time. We believe that our ability to increase the prices charged for our products and services in future periods will depend primarily on competitive pressures or contractual terms. However, we may not be able to maintain pricing levels consistent with inflationary pressure 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losses from our investments accounted for using the equity method.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Accompanying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9"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service channels.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March 31, 2021, our market risk has not changed materially from those presented in our Form 10-K.</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March 31, 2021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13. Contingencies</w:t>
      </w:r>
      <w:r>
        <w:rPr>
          <w:rFonts w:ascii="Arial" w:cs="Arial" w:eastAsia="Arial" w:hAnsi="Arial"/>
          <w:sz w:val="18"/>
          <w:szCs w:val="18"/>
          <w:color w:val="auto"/>
        </w:rPr>
        <w:t xml:space="preserve"> - Litigation in this Form 10-Q.</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2020 includes a detailed discussion of our risk factors.</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through December 31, 2021. During the year ended December 31, 2020, we repurchased 1,905,906 shares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March 31,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1"/>
                <w:szCs w:val="11"/>
                <w:color w:val="auto"/>
              </w:rPr>
            </w:pPr>
          </w:p>
        </w:tc>
        <w:tc>
          <w:tcPr>
            <w:tcW w:w="15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Value) of Shares (or</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1"/>
                <w:szCs w:val="11"/>
                <w:color w:val="auto"/>
              </w:rPr>
            </w:pPr>
          </w:p>
        </w:tc>
        <w:tc>
          <w:tcPr>
            <w:tcW w:w="1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Publicly Disclosed</w:t>
            </w:r>
          </w:p>
        </w:tc>
        <w:tc>
          <w:tcPr>
            <w:tcW w:w="16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5"/>
        </w:trPr>
        <w:tc>
          <w:tcPr>
            <w:tcW w:w="4760" w:type="dxa"/>
            <w:vAlign w:val="bottom"/>
            <w:vMerge w:val="continue"/>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(or Unit)</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5"/>
                <w:szCs w:val="15"/>
                <w:color w:val="auto"/>
              </w:rPr>
            </w:pPr>
          </w:p>
        </w:tc>
        <w:tc>
          <w:tcPr>
            <w:tcW w:w="1520" w:type="dxa"/>
            <w:vAlign w:val="bottom"/>
          </w:tcPr>
          <w:p>
            <w:pPr>
              <w:jc w:val="center"/>
              <w:ind w:right="38"/>
              <w:spacing w:after="0" w:line="176" w:lineRule="exact"/>
              <w:rPr>
                <w:sz w:val="20"/>
                <w:szCs w:val="20"/>
                <w:color w:val="auto"/>
              </w:rPr>
            </w:pPr>
            <w:r>
              <w:rPr>
                <w:rFonts w:ascii="Arial" w:cs="Arial" w:eastAsia="Arial" w:hAnsi="Arial"/>
                <w:sz w:val="14"/>
                <w:szCs w:val="14"/>
                <w:b w:val="1"/>
                <w:bCs w:val="1"/>
                <w:color w:val="auto"/>
              </w:rPr>
              <w:t xml:space="preserve">Plans or Program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w:t>
            </w:r>
          </w:p>
        </w:tc>
        <w:tc>
          <w:tcPr>
            <w:tcW w:w="1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2,108,312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2,108,312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408,759</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1520" w:type="dxa"/>
            <w:vAlign w:val="bottom"/>
          </w:tcPr>
          <w:p>
            <w:pPr>
              <w:jc w:val="right"/>
              <w:spacing w:after="0"/>
              <w:rPr>
                <w:sz w:val="20"/>
                <w:szCs w:val="20"/>
                <w:color w:val="auto"/>
              </w:rPr>
            </w:pPr>
            <w:r>
              <w:rPr>
                <w:rFonts w:ascii="Arial" w:cs="Arial" w:eastAsia="Arial" w:hAnsi="Arial"/>
                <w:sz w:val="18"/>
                <w:szCs w:val="18"/>
                <w:color w:val="auto"/>
              </w:rPr>
              <w:t>1,668,399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1,668,399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370,148</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345,772</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4,770,714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4,770,714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345,772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hanging="332"/>
        <w:spacing w:after="0" w:line="228" w:lineRule="auto"/>
        <w:tabs>
          <w:tab w:leader="none" w:pos="18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On October 29, 2020, our Board of Directors authorized us to repurchase up to $500.0 million of our Class A common stock through and including December 31, 2021.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to purchase some or all, or not to purchase the maximum amount or any of, the remaining shares allowable under this program and we may also enter into additional share repurchase programs authorized by our Board of Directors. All shares repurchased reflected in the table above have been converted to treasury shares.</w:t>
      </w:r>
    </w:p>
    <w:p>
      <w:pPr>
        <w:spacing w:after="0" w:line="2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6, 2021, we issued a press release (the “Press Release”) announcing our financial results for the quarter ended March 31, 2021. A copy of the Press Release is furnished herewith as Exhibit 99.1. The foregoing information, including the exhibit related thereto, is furnished in response to Item 2.02 of Form 8-K and shall not be deemed “filed” for the purposes of Section 18 of the Exchange Act, or otherwise, and shall not be incorporated by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58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1360" w:type="dxa"/>
            <w:vAlign w:val="bottom"/>
            <w:gridSpan w:val="4"/>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31.</w:t>
              </w:r>
              <w:r>
                <w:rPr>
                  <w:rFonts w:ascii="Arial" w:cs="Arial" w:eastAsia="Arial" w:hAnsi="Arial"/>
                  <w:sz w:val="18"/>
                  <w:szCs w:val="18"/>
                  <w:u w:val="single" w:color="auto"/>
                  <w:color w:val="0000FF"/>
                </w:rPr>
                <w:t>1(H)</w:t>
              </w:r>
            </w:hyperlink>
          </w:p>
        </w:tc>
        <w:tc>
          <w:tcPr>
            <w:tcW w:w="980" w:type="dxa"/>
            <w:vAlign w:val="bottom"/>
            <w:gridSpan w:val="3"/>
          </w:tcPr>
          <w:p>
            <w:pPr>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Section 302</w:t>
              </w:r>
            </w:hyperlink>
          </w:p>
        </w:tc>
        <w:tc>
          <w:tcPr>
            <w:tcW w:w="8880" w:type="dxa"/>
            <w:vAlign w:val="bottom"/>
            <w:gridSpan w:val="4"/>
          </w:tcPr>
          <w:p>
            <w:pPr>
              <w:ind w:left="20"/>
              <w:spacing w:after="0" w:line="182"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of Chief Executive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31.</w:t>
              </w:r>
              <w:r>
                <w:rPr>
                  <w:rFonts w:ascii="Arial" w:cs="Arial" w:eastAsia="Arial" w:hAnsi="Arial"/>
                  <w:sz w:val="18"/>
                  <w:szCs w:val="18"/>
                  <w:u w:val="single" w:color="auto"/>
                  <w:color w:val="0000FF"/>
                </w:rPr>
                <w:t>2(H)</w:t>
              </w:r>
            </w:hyperlink>
          </w:p>
        </w:tc>
        <w:tc>
          <w:tcPr>
            <w:tcW w:w="980" w:type="dxa"/>
            <w:vAlign w:val="bottom"/>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Section 302</w:t>
              </w:r>
            </w:hyperlink>
          </w:p>
        </w:tc>
        <w:tc>
          <w:tcPr>
            <w:tcW w:w="8880" w:type="dxa"/>
            <w:vAlign w:val="bottom"/>
            <w:gridSpan w:val="4"/>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Chief Financial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2"/>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32.</w:t>
              </w:r>
              <w:r>
                <w:rPr>
                  <w:rFonts w:ascii="Arial" w:cs="Arial" w:eastAsia="Arial" w:hAnsi="Arial"/>
                  <w:sz w:val="18"/>
                  <w:szCs w:val="18"/>
                  <w:u w:val="single" w:color="auto"/>
                  <w:color w:val="0000FF"/>
                </w:rPr>
                <w:t>1(I)</w:t>
              </w:r>
            </w:hyperlink>
          </w:p>
        </w:tc>
        <w:tc>
          <w:tcPr>
            <w:tcW w:w="760" w:type="dxa"/>
            <w:vAlign w:val="bottom"/>
            <w:gridSpan w:val="2"/>
          </w:tcPr>
          <w:p>
            <w:pPr>
              <w:spacing w:after="0"/>
              <w:rPr>
                <w:sz w:val="18"/>
                <w:szCs w:val="18"/>
                <w:color w:val="auto"/>
              </w:rPr>
            </w:pPr>
          </w:p>
        </w:tc>
        <w:tc>
          <w:tcPr>
            <w:tcW w:w="98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Section 906</w:t>
              </w:r>
            </w:hyperlink>
          </w:p>
        </w:tc>
        <w:tc>
          <w:tcPr>
            <w:tcW w:w="8880" w:type="dxa"/>
            <w:vAlign w:val="bottom"/>
            <w:gridSpan w:val="4"/>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Certifications of Chief Executive Officer and Chief Financial Officer.</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320" w:type="dxa"/>
            <w:vAlign w:val="bottom"/>
            <w:tcBorders>
              <w:left w:val="single" w:sz="8" w:color="0000FF"/>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4"/>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99.</w:t>
              </w:r>
              <w:r>
                <w:rPr>
                  <w:rFonts w:ascii="Arial" w:cs="Arial" w:eastAsia="Arial" w:hAnsi="Arial"/>
                  <w:sz w:val="18"/>
                  <w:szCs w:val="18"/>
                  <w:u w:val="single" w:color="auto"/>
                  <w:color w:val="0000FF"/>
                </w:rPr>
                <w:t>1(I)</w:t>
              </w:r>
            </w:hyperlink>
          </w:p>
        </w:tc>
        <w:tc>
          <w:tcPr>
            <w:tcW w:w="986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Press release dated May 6, 2021 issued by EchoStar Corporation regarding financial results for the period ended March</w:t>
              </w:r>
            </w:hyperlink>
          </w:p>
        </w:tc>
      </w:tr>
      <w:tr>
        <w:trPr>
          <w:trHeight w:val="155"/>
        </w:trPr>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5"/>
              </w:rPr>
            </w:pPr>
            <w:hyperlink w:anchor="page60">
              <w:r>
                <w:rPr>
                  <w:rFonts w:ascii="Arial" w:cs="Arial" w:eastAsia="Arial" w:hAnsi="Arial"/>
                  <w:sz w:val="18"/>
                  <w:szCs w:val="18"/>
                  <w:color w:val="0000FF"/>
                  <w:w w:val="95"/>
                </w:rPr>
                <w:t>31, 2021.</w:t>
              </w:r>
            </w:hyperlink>
          </w:p>
        </w:tc>
        <w:tc>
          <w:tcPr>
            <w:tcW w:w="220" w:type="dxa"/>
            <w:vAlign w:val="bottom"/>
            <w:tcBorders>
              <w:top w:val="single" w:sz="8" w:color="0000FF"/>
            </w:tcBorders>
          </w:tcPr>
          <w:p>
            <w:pPr>
              <w:spacing w:after="0"/>
              <w:rPr>
                <w:sz w:val="13"/>
                <w:szCs w:val="13"/>
                <w:color w:val="auto"/>
              </w:rPr>
            </w:pPr>
          </w:p>
        </w:tc>
        <w:tc>
          <w:tcPr>
            <w:tcW w:w="304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29"/>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7"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69"/>
        </w:trPr>
        <w:tc>
          <w:tcPr>
            <w:tcW w:w="3140" w:type="dxa"/>
            <w:vAlign w:val="bottom"/>
          </w:tcPr>
          <w:p>
            <w:pPr>
              <w:spacing w:after="0"/>
              <w:rPr>
                <w:sz w:val="20"/>
                <w:szCs w:val="20"/>
                <w:color w:val="auto"/>
              </w:rPr>
            </w:pPr>
            <w:r>
              <w:rPr>
                <w:rFonts w:ascii="Arial" w:cs="Arial" w:eastAsia="Arial" w:hAnsi="Arial"/>
                <w:sz w:val="18"/>
                <w:szCs w:val="18"/>
                <w:color w:val="auto"/>
              </w:rPr>
              <w:t>Date: May 6, 2021</w:t>
            </w:r>
          </w:p>
        </w:tc>
        <w:tc>
          <w:tcPr>
            <w:tcW w:w="2300" w:type="dxa"/>
            <w:vAlign w:val="bottom"/>
          </w:tcPr>
          <w:p>
            <w:pPr>
              <w:ind w:left="16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69"/>
        </w:trPr>
        <w:tc>
          <w:tcPr>
            <w:tcW w:w="3140" w:type="dxa"/>
            <w:vAlign w:val="bottom"/>
          </w:tcPr>
          <w:p>
            <w:pPr>
              <w:spacing w:after="0"/>
              <w:rPr>
                <w:sz w:val="20"/>
                <w:szCs w:val="20"/>
                <w:color w:val="auto"/>
              </w:rPr>
            </w:pPr>
            <w:r>
              <w:rPr>
                <w:rFonts w:ascii="Arial" w:cs="Arial" w:eastAsia="Arial" w:hAnsi="Arial"/>
                <w:sz w:val="18"/>
                <w:szCs w:val="18"/>
                <w:color w:val="auto"/>
              </w:rPr>
              <w:t>Date: May 6, 2021</w:t>
            </w:r>
          </w:p>
        </w:tc>
        <w:tc>
          <w:tcPr>
            <w:tcW w:w="2300" w:type="dxa"/>
            <w:vAlign w:val="bottom"/>
          </w:tcPr>
          <w:p>
            <w:pPr>
              <w:ind w:left="166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23"/>
        </w:trPr>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3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1"/>
        </w:trPr>
        <w:tc>
          <w:tcPr>
            <w:tcW w:w="3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31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51"/>
        </w:trPr>
        <w:tc>
          <w:tcPr>
            <w:tcW w:w="3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240"/>
          </w:cols>
          <w:pgMar w:left="320" w:top="1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8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86"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25" w:lineRule="exact"/>
        <w:rPr>
          <w:rFonts w:ascii="Arial" w:cs="Arial" w:eastAsia="Arial" w:hAnsi="Arial"/>
          <w:sz w:val="18"/>
          <w:szCs w:val="18"/>
          <w:color w:val="auto"/>
        </w:rPr>
      </w:pPr>
    </w:p>
    <w:p>
      <w:pPr>
        <w:jc w:val="both"/>
        <w:ind w:firstLine="8"/>
        <w:spacing w:after="0" w:line="256" w:lineRule="auto"/>
        <w:tabs>
          <w:tab w:leader="none" w:pos="3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4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1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1" w:lineRule="auto"/>
        <w:tabs>
          <w:tab w:leader="none" w:pos="7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6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86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3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 Operating</w:t>
            </w:r>
          </w:p>
        </w:tc>
      </w:tr>
      <w:tr>
        <w:trPr>
          <w:trHeight w:val="211"/>
        </w:trPr>
        <w:tc>
          <w:tcPr>
            <w:tcW w:w="8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Officer and Treasurer</w:t>
            </w:r>
          </w:p>
        </w:tc>
      </w:tr>
      <w:tr>
        <w:trPr>
          <w:trHeight w:val="235"/>
        </w:trPr>
        <w:tc>
          <w:tcPr>
            <w:tcW w:w="8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for the quarter ended March 31, 2021 on Form 10-Q (the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204" w:lineRule="exact"/>
        <w:rPr>
          <w:sz w:val="20"/>
          <w:szCs w:val="20"/>
          <w:color w:val="auto"/>
        </w:rPr>
      </w:pPr>
    </w:p>
    <w:p>
      <w:pPr>
        <w:ind w:left="660" w:hanging="328"/>
        <w:spacing w:after="0" w:line="261" w:lineRule="auto"/>
        <w:tabs>
          <w:tab w:leader="none" w:pos="7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7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Michael T. Dugan</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74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David J. Rayner</w:t>
            </w:r>
          </w:p>
        </w:tc>
      </w:tr>
      <w:tr>
        <w:trPr>
          <w:trHeight w:val="223"/>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188"/>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Chief Financial Officer, Chief</w:t>
            </w:r>
          </w:p>
        </w:tc>
      </w:tr>
      <w:tr>
        <w:trPr>
          <w:trHeight w:val="211"/>
        </w:trPr>
        <w:tc>
          <w:tcPr>
            <w:tcW w:w="98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Operating Officer and Treasurer</w:t>
            </w:r>
          </w:p>
        </w:tc>
      </w:tr>
      <w:tr>
        <w:trPr>
          <w:trHeight w:val="235"/>
        </w:trPr>
        <w:tc>
          <w:tcPr>
            <w:tcW w:w="98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Months Ended March 31, 2021</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May 6, 2021—</w:t>
      </w:r>
      <w:r>
        <w:rPr>
          <w:rFonts w:ascii="Arial" w:cs="Arial" w:eastAsia="Arial" w:hAnsi="Arial"/>
          <w:sz w:val="18"/>
          <w:szCs w:val="18"/>
          <w:color w:val="auto"/>
        </w:rPr>
        <w:t>EchoStar Corporation (NASDAQ: SATS) today announced its financial results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Financial Highlights:</w:t>
      </w:r>
    </w:p>
    <w:p>
      <w:pPr>
        <w:spacing w:after="0" w:line="27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revenues of $482.6 million.</w:t>
      </w:r>
    </w:p>
    <w:p>
      <w:pPr>
        <w:spacing w:after="0" w:line="130"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of $77.6 million, consolidated net income attributable to EchoStar common stock of $78.5 million, and basic and diluted earnings per share of $0.84.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Adjusted EBITDA of $185.7 million (see discussion and the reconciliation of GAAP to this non-GAAP measure below).</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am pleased with the company’s financial performance in the first quarter of 2021,” commented Michael Dugan, CEO and President of EchoStar. “We grew revenue, net income, and Adjusted EBITDA over the same period last year by focusing on meeting our customers’ needs for connectivity and prudently managing all areas of the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 Additional Information:</w:t>
      </w:r>
    </w:p>
    <w:p>
      <w:pPr>
        <w:spacing w:after="0" w:line="274"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revenue increased 3.6% or $16.9 million year over year primarily driven by higher sales of broadband services to our consumer customers. This increase included an estimated negative foreign exchange impact of $5.9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increased 25% or $37.1 million year over year.</w:t>
      </w:r>
    </w:p>
    <w:p>
      <w:pPr>
        <w:spacing w:after="0" w:line="130"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Hughes segment Adjusted EBITDA increased $39.7 million year over year. The increase was driven primarily by the higher gross margin associated with the growth in our consumer broadband service revenue and lower selling, general and administrative expenses.</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ESS segment Adjusted EBITDA was essentially flat year over year.</w:t>
      </w:r>
    </w:p>
    <w:p>
      <w:pPr>
        <w:spacing w:after="0" w:line="130" w:lineRule="exact"/>
        <w:rPr>
          <w:rFonts w:ascii="Arial" w:cs="Arial" w:eastAsia="Arial" w:hAnsi="Arial"/>
          <w:sz w:val="18"/>
          <w:szCs w:val="18"/>
          <w:color w:val="auto"/>
        </w:rPr>
      </w:pPr>
    </w:p>
    <w:p>
      <w:pPr>
        <w:ind w:left="1300" w:hanging="320"/>
        <w:spacing w:after="0" w:line="261" w:lineRule="auto"/>
        <w:tabs>
          <w:tab w:leader="none" w:pos="1296"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by $2.5 million year over year. The decrease was primarily due to lower equity in earnings of unconsolidated affiliates, net, and higher legal expense.</w:t>
      </w:r>
    </w:p>
    <w:p>
      <w:pPr>
        <w:spacing w:after="0" w:line="10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increased $135.3 million to $77.6 million. The increase was primarily due to higher operating income of $42.9 million and higher gains on investments, net, of $125.3 million, partially offset by higher income tax expense, net, of $29.6 million.</w:t>
      </w:r>
    </w:p>
    <w:p>
      <w:pPr>
        <w:spacing w:after="0" w:line="11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Hughes broadband subscribers are approximately 1,553,000 as of March 31, 2021. Subscribers in the US decreased by 25,000 to approximately 1,164,000. In Latin America, subscribers increased by 14,000 to approximately 389,000.</w:t>
      </w:r>
    </w:p>
    <w:p>
      <w:pPr>
        <w:spacing w:after="0" w:line="224"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three months ended March 31, 2021, approximately 70% of Hughes segment revenue was attributable to our consumer customers with approximately 30% attributable to our enterprise customers.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$2.3 billion as of March 31,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three months ended March 31, 2021, we purchased 4,770,714 shares of our Class A common stock in open market trades.</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three months ended March 31, 2021, we purchased $90.5 million of our 7.625% Sr. Unsecured Notes due June 2021 in open market trades.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 w:right="33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color w:val="auto"/>
        </w:rPr>
        <w:t>Set forth below is a table highlighting certain of EchoStar’s segment results for the three months ended March 31, 2021 and 2020 (amounts in thousands) (all US GAAP amounts reference results from operations):</w:t>
      </w:r>
    </w:p>
    <w:p>
      <w:pPr>
        <w:spacing w:after="0" w:line="85"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For the three months ended March</w:t>
      </w:r>
    </w:p>
    <w:p>
      <w:pPr>
        <w:jc w:val="center"/>
        <w:ind w:left="800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79"/>
        </w:trPr>
        <w:tc>
          <w:tcPr>
            <w:tcW w:w="80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0" w:type="dxa"/>
            <w:vAlign w:val="bottom"/>
          </w:tcPr>
          <w:p>
            <w:pPr>
              <w:ind w:left="200"/>
              <w:spacing w:after="0"/>
              <w:rPr>
                <w:sz w:val="20"/>
                <w:szCs w:val="20"/>
                <w:color w:val="auto"/>
              </w:rPr>
            </w:pPr>
            <w:r>
              <w:rPr>
                <w:rFonts w:ascii="Arial" w:cs="Arial" w:eastAsia="Arial" w:hAnsi="Arial"/>
                <w:sz w:val="18"/>
                <w:szCs w:val="18"/>
                <w:color w:val="auto"/>
              </w:rPr>
              <w:t>Hughes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475,859</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458,482</w:t>
            </w:r>
          </w:p>
        </w:tc>
        <w:tc>
          <w:tcPr>
            <w:tcW w:w="0" w:type="dxa"/>
            <w:vAlign w:val="bottom"/>
          </w:tcPr>
          <w:p>
            <w:pPr>
              <w:spacing w:after="0"/>
              <w:rPr>
                <w:sz w:val="1"/>
                <w:szCs w:val="1"/>
                <w:color w:val="auto"/>
              </w:rPr>
            </w:pP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80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465,666</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0" w:type="dxa"/>
            <w:vAlign w:val="bottom"/>
          </w:tcPr>
          <w:p>
            <w:pPr>
              <w:ind w:left="200"/>
              <w:spacing w:after="0"/>
              <w:rPr>
                <w:sz w:val="20"/>
                <w:szCs w:val="20"/>
                <w:color w:val="auto"/>
              </w:rPr>
            </w:pPr>
            <w:r>
              <w:rPr>
                <w:rFonts w:ascii="Arial" w:cs="Arial" w:eastAsia="Arial" w:hAnsi="Arial"/>
                <w:sz w:val="18"/>
                <w:szCs w:val="18"/>
                <w:color w:val="auto"/>
              </w:rPr>
              <w:t>Hughes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201,937</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162,219</w:t>
            </w:r>
          </w:p>
        </w:tc>
        <w:tc>
          <w:tcPr>
            <w:tcW w:w="0" w:type="dxa"/>
            <w:vAlign w:val="bottom"/>
          </w:tcPr>
          <w:p>
            <w:pPr>
              <w:spacing w:after="0"/>
              <w:rPr>
                <w:sz w:val="1"/>
                <w:szCs w:val="1"/>
                <w:color w:val="auto"/>
              </w:rPr>
            </w:pPr>
          </w:p>
        </w:tc>
      </w:tr>
      <w:tr>
        <w:trPr>
          <w:trHeight w:val="270"/>
        </w:trPr>
        <w:tc>
          <w:tcPr>
            <w:tcW w:w="800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8000" w:type="dxa"/>
            <w:vAlign w:val="bottom"/>
          </w:tcPr>
          <w:p>
            <w:pPr>
              <w:ind w:left="460"/>
              <w:spacing w:after="0"/>
              <w:rPr>
                <w:sz w:val="20"/>
                <w:szCs w:val="20"/>
                <w:color w:val="auto"/>
              </w:rPr>
            </w:pPr>
            <w:r>
              <w:rPr>
                <w:rFonts w:ascii="Arial" w:cs="Arial" w:eastAsia="Arial" w:hAnsi="Arial"/>
                <w:sz w:val="18"/>
                <w:szCs w:val="18"/>
                <w:color w:val="auto"/>
              </w:rPr>
              <w:t>Corporate overhead, operating and other</w:t>
            </w: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70"/>
        </w:trPr>
        <w:tc>
          <w:tcPr>
            <w:tcW w:w="8000" w:type="dxa"/>
            <w:vAlign w:val="bottom"/>
          </w:tcPr>
          <w:p>
            <w:pPr>
              <w:ind w:left="460"/>
              <w:spacing w:after="0"/>
              <w:rPr>
                <w:sz w:val="20"/>
                <w:szCs w:val="20"/>
                <w:color w:val="auto"/>
              </w:rPr>
            </w:pPr>
            <w:r>
              <w:rPr>
                <w:rFonts w:ascii="Arial" w:cs="Arial" w:eastAsia="Arial" w:hAnsi="Arial"/>
                <w:sz w:val="18"/>
                <w:szCs w:val="18"/>
                <w:color w:val="auto"/>
              </w:rPr>
              <w:t>Equity in earnings (losses) of unconsolidated affiliates,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50"/>
        </w:trPr>
        <w:tc>
          <w:tcPr>
            <w:tcW w:w="8000" w:type="dxa"/>
            <w:vAlign w:val="bottom"/>
          </w:tcPr>
          <w:p>
            <w:pPr>
              <w:ind w:left="660"/>
              <w:spacing w:after="0"/>
              <w:rPr>
                <w:sz w:val="20"/>
                <w:szCs w:val="20"/>
                <w:color w:val="auto"/>
              </w:rPr>
            </w:pPr>
            <w:r>
              <w:rPr>
                <w:rFonts w:ascii="Arial" w:cs="Arial" w:eastAsia="Arial" w:hAnsi="Arial"/>
                <w:sz w:val="18"/>
                <w:szCs w:val="18"/>
                <w:color w:val="auto"/>
              </w:rPr>
              <w:t>Total Corporate &amp; Other</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(18,115)</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223"/>
        </w:trPr>
        <w:tc>
          <w:tcPr>
            <w:tcW w:w="8000" w:type="dxa"/>
            <w:vAlign w:val="bottom"/>
          </w:tcPr>
          <w:p>
            <w:pPr>
              <w:ind w:left="860"/>
              <w:spacing w:after="0"/>
              <w:rPr>
                <w:sz w:val="20"/>
                <w:szCs w:val="20"/>
                <w:color w:val="auto"/>
              </w:rPr>
            </w:pPr>
            <w:r>
              <w:rPr>
                <w:rFonts w:ascii="Arial" w:cs="Arial" w:eastAsia="Arial" w:hAnsi="Arial"/>
                <w:sz w:val="18"/>
                <w:szCs w:val="18"/>
                <w:color w:val="auto"/>
              </w:rPr>
              <w:t>Total 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148,637</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77,572</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(57,737)</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0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104,604</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0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113"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For the three months ended March</w:t>
      </w:r>
    </w:p>
    <w:p>
      <w:pPr>
        <w:jc w:val="center"/>
        <w:ind w:left="8000"/>
        <w:spacing w:after="0"/>
        <w:rPr>
          <w:sz w:val="20"/>
          <w:szCs w:val="20"/>
          <w:color w:val="auto"/>
        </w:rPr>
      </w:pPr>
      <w:r>
        <w:rPr>
          <w:rFonts w:ascii="Arial" w:cs="Arial" w:eastAsia="Arial" w:hAnsi="Arial"/>
          <w:sz w:val="18"/>
          <w:szCs w:val="18"/>
          <w:b w:val="1"/>
          <w:bCs w:val="1"/>
          <w:color w:val="auto"/>
        </w:rPr>
        <w:t>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479"/>
        </w:trPr>
        <w:tc>
          <w:tcPr>
            <w:tcW w:w="800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77,572</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(57,737)</w:t>
            </w: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(15,583)</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36,233</w:t>
            </w:r>
          </w:p>
        </w:tc>
      </w:tr>
      <w:tr>
        <w:trPr>
          <w:trHeight w:val="229"/>
        </w:trPr>
        <w:tc>
          <w:tcPr>
            <w:tcW w:w="800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(7,492)</w:t>
            </w:r>
          </w:p>
        </w:tc>
      </w:tr>
      <w:tr>
        <w:trPr>
          <w:trHeight w:val="230"/>
        </w:trPr>
        <w:tc>
          <w:tcPr>
            <w:tcW w:w="8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132,368</w:t>
            </w: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r>
      <w:tr>
        <w:trPr>
          <w:trHeight w:val="250"/>
        </w:trPr>
        <w:tc>
          <w:tcPr>
            <w:tcW w:w="8000" w:type="dxa"/>
            <w:vAlign w:val="bottom"/>
          </w:tcPr>
          <w:p>
            <w:pPr>
              <w:ind w:left="46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258,670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91,231</w:t>
            </w:r>
          </w:p>
        </w:tc>
      </w:tr>
      <w:tr>
        <w:trPr>
          <w:trHeight w:val="270"/>
        </w:trPr>
        <w:tc>
          <w:tcPr>
            <w:tcW w:w="8000" w:type="dxa"/>
            <w:vAlign w:val="bottom"/>
          </w:tcPr>
          <w:p>
            <w:pPr>
              <w:ind w:left="460"/>
              <w:spacing w:after="0"/>
              <w:rPr>
                <w:sz w:val="20"/>
                <w:szCs w:val="20"/>
                <w:color w:val="auto"/>
              </w:rPr>
            </w:pPr>
            <w:r>
              <w:rPr>
                <w:rFonts w:ascii="Arial" w:cs="Arial" w:eastAsia="Arial" w:hAnsi="Arial"/>
                <w:sz w:val="18"/>
                <w:szCs w:val="18"/>
                <w:color w:val="auto"/>
              </w:rPr>
              <w:t>(Gains) losses on investments, net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(78,600)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46,672</w:t>
            </w:r>
          </w:p>
        </w:tc>
      </w:tr>
      <w:tr>
        <w:trPr>
          <w:trHeight w:val="230"/>
        </w:trPr>
        <w:tc>
          <w:tcPr>
            <w:tcW w:w="8000" w:type="dxa"/>
            <w:vAlign w:val="bottom"/>
          </w:tcPr>
          <w:p>
            <w:pPr>
              <w:ind w:left="460"/>
              <w:spacing w:after="0"/>
              <w:rPr>
                <w:sz w:val="20"/>
                <w:szCs w:val="20"/>
                <w:color w:val="auto"/>
              </w:rPr>
            </w:pPr>
            <w:r>
              <w:rPr>
                <w:rFonts w:ascii="Arial" w:cs="Arial" w:eastAsia="Arial" w:hAnsi="Arial"/>
                <w:sz w:val="18"/>
                <w:szCs w:val="18"/>
                <w:color w:val="auto"/>
              </w:rPr>
              <w:t>Impairment of long-lived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00" w:type="dxa"/>
            <w:vAlign w:val="bottom"/>
          </w:tcPr>
          <w:p>
            <w:pPr>
              <w:ind w:left="460"/>
              <w:spacing w:after="0"/>
              <w:rPr>
                <w:sz w:val="20"/>
                <w:szCs w:val="20"/>
                <w:color w:val="auto"/>
              </w:rPr>
            </w:pPr>
            <w:r>
              <w:rPr>
                <w:rFonts w:ascii="Arial" w:cs="Arial" w:eastAsia="Arial" w:hAnsi="Arial"/>
                <w:sz w:val="18"/>
                <w:szCs w:val="18"/>
                <w:color w:val="auto"/>
              </w:rPr>
              <w:t>License fee dispute - India, net of non-controlling interests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000" w:type="dxa"/>
            <w:vAlign w:val="bottom"/>
          </w:tcPr>
          <w:p>
            <w:pPr>
              <w:ind w:left="460"/>
              <w:spacing w:after="0"/>
              <w:rPr>
                <w:sz w:val="20"/>
                <w:szCs w:val="20"/>
                <w:color w:val="auto"/>
              </w:rPr>
            </w:pPr>
            <w:r>
              <w:rPr>
                <w:rFonts w:ascii="Arial" w:cs="Arial" w:eastAsia="Arial" w:hAnsi="Arial"/>
                <w:sz w:val="18"/>
                <w:szCs w:val="18"/>
                <w:color w:val="auto"/>
              </w:rPr>
              <w:t>Loss on Debt Repurchase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00" w:type="dxa"/>
            <w:vAlign w:val="bottom"/>
          </w:tcPr>
          <w:p>
            <w:pPr>
              <w:ind w:left="460"/>
              <w:spacing w:after="0"/>
              <w:rPr>
                <w:sz w:val="20"/>
                <w:szCs w:val="20"/>
                <w:color w:val="auto"/>
              </w:rPr>
            </w:pPr>
            <w:r>
              <w:rPr>
                <w:rFonts w:ascii="Arial" w:cs="Arial" w:eastAsia="Arial" w:hAnsi="Arial"/>
                <w:sz w:val="18"/>
                <w:szCs w:val="18"/>
                <w:color w:val="auto"/>
              </w:rPr>
              <w:t>Foreign currency transaction (gains) losses,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w:t>
            </w:r>
          </w:p>
        </w:tc>
      </w:tr>
      <w:tr>
        <w:trPr>
          <w:trHeight w:val="223"/>
        </w:trPr>
        <w:tc>
          <w:tcPr>
            <w:tcW w:w="8000" w:type="dxa"/>
            <w:vAlign w:val="bottom"/>
          </w:tcPr>
          <w:p>
            <w:pPr>
              <w:ind w:left="66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148,637</w:t>
            </w:r>
          </w:p>
        </w:tc>
      </w:tr>
      <w:tr>
        <w:trPr>
          <w:trHeight w:val="21"/>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March 31, 2021 and 2020 are attached to this press release. Detailed financial data and other information are available in EchoStar’s Quarterly Report on Form 10-Q for the period ended March 31, 2021 filed today with the Securities and Exchange Commission.</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will host a conference call to discuss its earnings on Thursday, May 6, 2021 at 11:00 a.m. Eastern Time. The conference call will be broadcast live in listen-only mode on EchoStar’s investor relations website at ir.echostar.com. To ask a question, the dial in numbers are (833) 562-0124 (toll-free) and (661) 567-1102 (international), Conference ID 1976218.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0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About EchoStar Corporation</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7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2020 as filed with the Securities and Exchange Commission and in the other documents EchoStar files with the Securities and Exchange Commission from time to time.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84" w:right="339" w:bottom="1440" w:gutter="0" w:footer="0" w:header="0"/>
        </w:sectPr>
      </w:pP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380"/>
        <w:spacing w:after="0"/>
        <w:rPr>
          <w:sz w:val="20"/>
          <w:szCs w:val="20"/>
          <w:color w:val="auto"/>
        </w:rPr>
      </w:pPr>
      <w:r>
        <w:rPr>
          <w:rFonts w:ascii="Arial" w:cs="Arial" w:eastAsia="Arial" w:hAnsi="Arial"/>
          <w:sz w:val="17"/>
          <w:szCs w:val="17"/>
          <w:b w:val="1"/>
          <w:bCs w:val="1"/>
          <w:color w:val="auto"/>
        </w:rPr>
        <w:t>EchoStar Media Relations</w:t>
      </w:r>
    </w:p>
    <w:p>
      <w:pPr>
        <w:spacing w:after="0" w:line="92"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203" w:lineRule="auto"/>
        <w:rPr>
          <w:sz w:val="20"/>
          <w:szCs w:val="20"/>
          <w:color w:val="auto"/>
        </w:rPr>
      </w:pPr>
      <w:r>
        <w:rPr>
          <w:rFonts w:ascii="Arial" w:cs="Arial" w:eastAsia="Arial" w:hAnsi="Arial"/>
          <w:sz w:val="18"/>
          <w:szCs w:val="18"/>
          <w:color w:val="auto"/>
        </w:rPr>
        <w:t>Phone: +1 303-728-5179</w:t>
      </w: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203" w:lineRule="auto"/>
        <w:rPr>
          <w:sz w:val="20"/>
          <w:szCs w:val="20"/>
          <w:color w:val="auto"/>
        </w:rPr>
      </w:pPr>
      <w:r>
        <w:rPr>
          <w:rFonts w:ascii="Arial" w:cs="Arial" w:eastAsia="Arial" w:hAnsi="Arial"/>
          <w:sz w:val="18"/>
          <w:szCs w:val="18"/>
          <w:color w:val="auto"/>
        </w:rPr>
        <w:t>Phone: +1 301-428-7124</w:t>
      </w: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84" w:right="33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84" w:right="339" w:bottom="1440" w:gutter="0" w:footer="0" w:header="0"/>
          <w:type w:val="continuous"/>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1419"/>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8"/>
        </w:trPr>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2021</w:t>
            </w:r>
          </w:p>
        </w:tc>
        <w:tc>
          <w:tcPr>
            <w:tcW w:w="12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1,583,747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896,005</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735,418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1,638,271</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187,280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183,989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190,958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189,821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2,697,403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2,908,086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2,420,917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2,390,313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131,601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128,303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510,945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511,597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476,092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478,762</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347,615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284,937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352,921</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4,254,406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4,165,266</w:t>
            </w:r>
          </w:p>
        </w:tc>
        <w:tc>
          <w:tcPr>
            <w:tcW w:w="0" w:type="dxa"/>
            <w:vAlign w:val="bottom"/>
          </w:tcPr>
          <w:p>
            <w:pPr>
              <w:spacing w:after="0"/>
              <w:rPr>
                <w:sz w:val="1"/>
                <w:szCs w:val="1"/>
                <w:color w:val="auto"/>
              </w:rPr>
            </w:pPr>
          </w:p>
        </w:tc>
      </w:tr>
      <w:tr>
        <w:trPr>
          <w:trHeight w:val="210"/>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6,951,809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c>
          <w:tcPr>
            <w:tcW w:w="0" w:type="dxa"/>
            <w:vAlign w:val="bottom"/>
          </w:tcPr>
          <w:p>
            <w:pPr>
              <w:spacing w:after="0"/>
              <w:rPr>
                <w:sz w:val="1"/>
                <w:szCs w:val="1"/>
                <w:color w:val="auto"/>
              </w:rPr>
            </w:pPr>
          </w:p>
        </w:tc>
      </w:tr>
      <w:tr>
        <w:trPr>
          <w:trHeight w:val="26"/>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106,500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122,366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Current portion of long-term debt,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808,758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898,237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104,569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304,018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299,999</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1,331,783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1,425,171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1,495,436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1,495,256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378,271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359,896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118,569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114,886</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69,885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70,893</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2,062,161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2,040,931</w:t>
            </w:r>
          </w:p>
        </w:tc>
        <w:tc>
          <w:tcPr>
            <w:tcW w:w="0" w:type="dxa"/>
            <w:vAlign w:val="bottom"/>
          </w:tcPr>
          <w:p>
            <w:pPr>
              <w:spacing w:after="0"/>
              <w:rPr>
                <w:sz w:val="1"/>
                <w:szCs w:val="1"/>
                <w:color w:val="auto"/>
              </w:rPr>
            </w:pPr>
          </w:p>
        </w:tc>
      </w:tr>
      <w:tr>
        <w:trPr>
          <w:trHeight w:val="212"/>
        </w:trPr>
        <w:tc>
          <w:tcPr>
            <w:tcW w:w="7760" w:type="dxa"/>
            <w:vAlign w:val="bottom"/>
          </w:tcPr>
          <w:p>
            <w:pPr>
              <w:ind w:left="6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3,393,944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3,466,102</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684" w:right="3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3"/>
        </w:trPr>
        <w:tc>
          <w:tcPr>
            <w:tcW w:w="8200" w:type="dxa"/>
            <w:vAlign w:val="bottom"/>
          </w:tcPr>
          <w:p>
            <w:pPr>
              <w:ind w:left="200"/>
              <w:spacing w:after="0"/>
              <w:rPr>
                <w:sz w:val="20"/>
                <w:szCs w:val="20"/>
                <w:color w:val="auto"/>
              </w:rPr>
            </w:pPr>
            <w:r>
              <w:rPr>
                <w:rFonts w:ascii="Arial" w:cs="Arial" w:eastAsia="Arial" w:hAnsi="Arial"/>
                <w:sz w:val="16"/>
                <w:szCs w:val="16"/>
                <w:color w:val="auto"/>
              </w:rPr>
              <w:t>Preferred stock, $0.001 par value, 20,000,000 shares authorized, none issued and outstanding at both</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1"/>
        </w:trPr>
        <w:tc>
          <w:tcPr>
            <w:tcW w:w="8200" w:type="dxa"/>
            <w:vAlign w:val="bottom"/>
          </w:tcPr>
          <w:p>
            <w:pPr>
              <w:ind w:left="200"/>
              <w:spacing w:after="0"/>
              <w:rPr>
                <w:sz w:val="20"/>
                <w:szCs w:val="20"/>
                <w:color w:val="auto"/>
              </w:rPr>
            </w:pPr>
            <w:r>
              <w:rPr>
                <w:rFonts w:ascii="Arial" w:cs="Arial" w:eastAsia="Arial" w:hAnsi="Arial"/>
                <w:sz w:val="16"/>
                <w:szCs w:val="16"/>
                <w:color w:val="auto"/>
              </w:rPr>
              <w:t>March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820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7"/>
        </w:trPr>
        <w:tc>
          <w:tcPr>
            <w:tcW w:w="8200" w:type="dxa"/>
            <w:vAlign w:val="bottom"/>
          </w:tcPr>
          <w:p>
            <w:pPr>
              <w:ind w:left="460"/>
              <w:spacing w:after="0" w:line="178" w:lineRule="exact"/>
              <w:rPr>
                <w:sz w:val="20"/>
                <w:szCs w:val="20"/>
                <w:color w:val="auto"/>
              </w:rPr>
            </w:pPr>
            <w:r>
              <w:rPr>
                <w:rFonts w:ascii="Arial" w:cs="Arial" w:eastAsia="Arial" w:hAnsi="Arial"/>
                <w:sz w:val="16"/>
                <w:szCs w:val="16"/>
                <w:color w:val="auto"/>
              </w:rPr>
              <w:t>Class A common stock, $0.001 par value, 1,600,000,000 shares authorized, 57,712,888 shares issued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8200" w:type="dxa"/>
            <w:vAlign w:val="bottom"/>
          </w:tcPr>
          <w:p>
            <w:pPr>
              <w:ind w:left="460"/>
              <w:spacing w:after="0" w:line="162" w:lineRule="exact"/>
              <w:rPr>
                <w:sz w:val="20"/>
                <w:szCs w:val="20"/>
                <w:color w:val="auto"/>
              </w:rPr>
            </w:pPr>
            <w:r>
              <w:rPr>
                <w:rFonts w:ascii="Arial" w:cs="Arial" w:eastAsia="Arial" w:hAnsi="Arial"/>
                <w:sz w:val="16"/>
                <w:szCs w:val="16"/>
                <w:color w:val="auto"/>
              </w:rPr>
              <w:t>and 44,551,347 shares outstanding at March 31, 2021 and 57,254,201 shares issued and 48,863,374</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shares outstanding at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B convertible common stock, $0.001 par value, 800,000,000 shares authorized, 47,687,039 shares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issued and outstanding at both March 31, 2021 and December 31, 2020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C convertible common stock, $0.001 par value, 800,000,000 shares authorized, none issued and</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outstanding at both March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8200" w:type="dxa"/>
            <w:vAlign w:val="bottom"/>
          </w:tcPr>
          <w:p>
            <w:pPr>
              <w:ind w:left="460"/>
              <w:spacing w:after="0"/>
              <w:rPr>
                <w:sz w:val="20"/>
                <w:szCs w:val="20"/>
                <w:color w:val="auto"/>
              </w:rPr>
            </w:pPr>
            <w:r>
              <w:rPr>
                <w:rFonts w:ascii="Arial" w:cs="Arial" w:eastAsia="Arial" w:hAnsi="Arial"/>
                <w:sz w:val="16"/>
                <w:szCs w:val="16"/>
                <w:color w:val="auto"/>
              </w:rPr>
              <w:t>Class D common stock, $0.001 par value, 800,000,000 shares authorized, none issued and outstanding at</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5"/>
        </w:trPr>
        <w:tc>
          <w:tcPr>
            <w:tcW w:w="8200" w:type="dxa"/>
            <w:vAlign w:val="bottom"/>
          </w:tcPr>
          <w:p>
            <w:pPr>
              <w:ind w:left="460"/>
              <w:spacing w:after="0"/>
              <w:rPr>
                <w:sz w:val="20"/>
                <w:szCs w:val="20"/>
                <w:color w:val="auto"/>
              </w:rPr>
            </w:pPr>
            <w:r>
              <w:rPr>
                <w:rFonts w:ascii="Arial" w:cs="Arial" w:eastAsia="Arial" w:hAnsi="Arial"/>
                <w:sz w:val="16"/>
                <w:szCs w:val="16"/>
                <w:color w:val="auto"/>
              </w:rPr>
              <w:t>both March 31, 2021 and December 31, 2020</w:t>
            </w:r>
          </w:p>
        </w:tc>
        <w:tc>
          <w:tcPr>
            <w:tcW w:w="3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3,333,047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3,321,426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(215,476)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(187,876)</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662,110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583,591</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(285,681)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(174,912)</w:t>
            </w: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color w:val="auto"/>
              </w:rPr>
              <w:t>Total EchoStar Corporation stockholders' equity</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3,494,106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3,542,334</w:t>
            </w:r>
          </w:p>
        </w:tc>
      </w:tr>
      <w:tr>
        <w:trPr>
          <w:trHeight w:val="216"/>
        </w:trPr>
        <w:tc>
          <w:tcPr>
            <w:tcW w:w="820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63,759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64,916</w:t>
            </w:r>
          </w:p>
        </w:tc>
      </w:tr>
      <w:tr>
        <w:trPr>
          <w:trHeight w:val="209"/>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3,557,865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3,607,250</w:t>
            </w:r>
          </w:p>
        </w:tc>
      </w:tr>
      <w:tr>
        <w:trPr>
          <w:trHeight w:val="21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6,951,809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7,073,352</w:t>
            </w:r>
          </w:p>
        </w:tc>
      </w:tr>
      <w:tr>
        <w:trPr>
          <w:trHeight w:val="23"/>
        </w:trPr>
        <w:tc>
          <w:tcPr>
            <w:tcW w:w="8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684"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spacing w:after="0"/>
              <w:rPr>
                <w:sz w:val="18"/>
                <w:szCs w:val="18"/>
                <w:color w:val="auto"/>
              </w:rPr>
            </w:pPr>
          </w:p>
        </w:tc>
        <w:tc>
          <w:tcPr>
            <w:tcW w:w="346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11"/>
        </w:trPr>
        <w:tc>
          <w:tcPr>
            <w:tcW w:w="77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461"/>
        </w:trPr>
        <w:tc>
          <w:tcPr>
            <w:tcW w:w="77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430,337</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408,357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52,245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57,309</w:t>
            </w:r>
          </w:p>
        </w:tc>
        <w:tc>
          <w:tcPr>
            <w:tcW w:w="0" w:type="dxa"/>
            <w:vAlign w:val="bottom"/>
          </w:tcPr>
          <w:p>
            <w:pPr>
              <w:spacing w:after="0"/>
              <w:rPr>
                <w:sz w:val="1"/>
                <w:szCs w:val="1"/>
                <w:color w:val="auto"/>
              </w:rPr>
            </w:pPr>
          </w:p>
        </w:tc>
      </w:tr>
      <w:tr>
        <w:trPr>
          <w:trHeight w:val="209"/>
        </w:trPr>
        <w:tc>
          <w:tcPr>
            <w:tcW w:w="7760" w:type="dxa"/>
            <w:vAlign w:val="bottom"/>
          </w:tcPr>
          <w:p>
            <w:pPr>
              <w:ind w:left="460"/>
              <w:spacing w:after="0"/>
              <w:rPr>
                <w:sz w:val="20"/>
                <w:szCs w:val="20"/>
                <w:color w:val="auto"/>
              </w:rPr>
            </w:pPr>
            <w:r>
              <w:rPr>
                <w:rFonts w:ascii="Arial" w:cs="Arial" w:eastAsia="Arial" w:hAnsi="Arial"/>
                <w:sz w:val="16"/>
                <w:szCs w:val="16"/>
                <w:color w:val="auto"/>
              </w:rPr>
              <w:t>Total revenue</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482,582</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465,666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Arial" w:cs="Arial" w:eastAsia="Arial" w:hAnsi="Arial"/>
                <w:sz w:val="16"/>
                <w:szCs w:val="16"/>
                <w:color w:val="auto"/>
              </w:rPr>
              <w:t>Cost of sales - services and other (exclusive of depreciation and amortization)</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132,789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145,252</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45,151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45,908</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114,119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125,281</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129,286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132,368</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costs and expenses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455,063</w:t>
            </w: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10,603</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15,583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(34,667)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(36,233)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78,600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(46,672)</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(10,844)</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0"/>
        </w:trPr>
        <w:tc>
          <w:tcPr>
            <w:tcW w:w="7760" w:type="dxa"/>
            <w:vAlign w:val="bottom"/>
          </w:tcPr>
          <w:p>
            <w:pPr>
              <w:ind w:left="460"/>
              <w:spacing w:after="0"/>
              <w:rPr>
                <w:sz w:val="20"/>
                <w:szCs w:val="20"/>
                <w:color w:val="auto"/>
              </w:rPr>
            </w:pPr>
            <w:r>
              <w:rPr>
                <w:rFonts w:ascii="Arial" w:cs="Arial" w:eastAsia="Arial" w:hAnsi="Arial"/>
                <w:sz w:val="16"/>
                <w:szCs w:val="16"/>
                <w:color w:val="auto"/>
              </w:rPr>
              <w:t>Total other income (expense), net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99,719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(65,229)</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Net income (loss)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(57,737)</w:t>
            </w:r>
          </w:p>
        </w:tc>
        <w:tc>
          <w:tcPr>
            <w:tcW w:w="0" w:type="dxa"/>
            <w:vAlign w:val="bottom"/>
          </w:tcPr>
          <w:p>
            <w:pPr>
              <w:spacing w:after="0"/>
              <w:rPr>
                <w:sz w:val="1"/>
                <w:szCs w:val="1"/>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78,519</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(54,295)</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7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60" w:type="dxa"/>
            <w:vAlign w:val="bottom"/>
          </w:tcPr>
          <w:p>
            <w:pPr>
              <w:ind w:left="200"/>
              <w:spacing w:after="0"/>
              <w:rPr>
                <w:sz w:val="20"/>
                <w:szCs w:val="20"/>
                <w:color w:val="auto"/>
              </w:rPr>
            </w:pPr>
            <w:r>
              <w:rPr>
                <w:rFonts w:ascii="Arial" w:cs="Arial" w:eastAsia="Arial" w:hAnsi="Arial"/>
                <w:sz w:val="16"/>
                <w:szCs w:val="16"/>
                <w:color w:val="auto"/>
              </w:rPr>
              <w:t>Basic and diluted earnings (losses) per share</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84"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1"/>
        </w:trPr>
        <w:tc>
          <w:tcPr>
            <w:tcW w:w="7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394"/>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77,572</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(57,737)</w:t>
            </w:r>
          </w:p>
        </w:tc>
      </w:tr>
      <w:tr>
        <w:trPr>
          <w:trHeight w:val="168"/>
        </w:trPr>
        <w:tc>
          <w:tcPr>
            <w:tcW w:w="776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5"/>
        </w:trPr>
        <w:tc>
          <w:tcPr>
            <w:tcW w:w="776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1"/>
        </w:trPr>
        <w:tc>
          <w:tcPr>
            <w:tcW w:w="77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129,286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132,368</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Losses (gains) on investments,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(78,600)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46,672</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Equity in losses (earnings) of unconsolidated affiliates,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(2,613)</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Foreign currency transaction losses (gains),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10,844</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Deferred tax provision (benefit),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18,370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(10,064)</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2,384</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(4,899)</w:t>
            </w:r>
          </w:p>
        </w:tc>
      </w:tr>
      <w:tr>
        <w:trPr>
          <w:trHeight w:val="216"/>
        </w:trPr>
        <w:tc>
          <w:tcPr>
            <w:tcW w:w="7760" w:type="dxa"/>
            <w:vAlign w:val="bottom"/>
          </w:tcPr>
          <w:p>
            <w:pPr>
              <w:ind w:left="460"/>
              <w:spacing w:after="0"/>
              <w:rPr>
                <w:sz w:val="20"/>
                <w:szCs w:val="20"/>
                <w:color w:val="auto"/>
              </w:rPr>
            </w:pPr>
            <w:r>
              <w:rPr>
                <w:rFonts w:ascii="Arial" w:cs="Arial" w:eastAsia="Arial" w:hAnsi="Arial"/>
                <w:sz w:val="16"/>
                <w:szCs w:val="16"/>
                <w:b w:val="1"/>
                <w:bCs w:val="1"/>
                <w:color w:val="auto"/>
              </w:rPr>
              <w:t>Changes in assets and liabilities, net:</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(7,664)</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Other current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(16,127)</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(9,559)</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(3,212)</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(4,922)</w:t>
            </w:r>
          </w:p>
        </w:tc>
      </w:tr>
      <w:tr>
        <w:trPr>
          <w:trHeight w:val="216"/>
        </w:trPr>
        <w:tc>
          <w:tcPr>
            <w:tcW w:w="7760" w:type="dxa"/>
            <w:vAlign w:val="bottom"/>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116,887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71,295</w:t>
            </w:r>
          </w:p>
        </w:tc>
      </w:tr>
      <w:tr>
        <w:trPr>
          <w:trHeight w:val="452"/>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(389,071)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(550,891)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1,361,632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687,579</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(179,235)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(104,604)</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(8,638)</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(5,500)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736,980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17,946</w:t>
            </w:r>
          </w:p>
        </w:tc>
      </w:tr>
      <w:tr>
        <w:trPr>
          <w:trHeight w:val="453"/>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Repurchase of the 2021 Senior Unsecured Notes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(62,588)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Net proceeds from Class A common stock options exercised</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Net proceeds from Class A common stock issued under the Employee Stock Purchase Plan</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(107,862)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(5,893)</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6"/>
        </w:trPr>
        <w:tc>
          <w:tcPr>
            <w:tcW w:w="77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r>
      <w:tr>
        <w:trPr>
          <w:trHeight w:val="213"/>
        </w:trPr>
        <w:tc>
          <w:tcPr>
            <w:tcW w:w="776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(164,289)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r>
      <w:tr>
        <w:trPr>
          <w:trHeight w:val="199"/>
        </w:trPr>
        <w:tc>
          <w:tcPr>
            <w:tcW w:w="7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(4,809)</w:t>
            </w:r>
          </w:p>
        </w:tc>
      </w:tr>
      <w:tr>
        <w:trPr>
          <w:trHeight w:val="207"/>
        </w:trPr>
        <w:tc>
          <w:tcPr>
            <w:tcW w:w="77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687,770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85,414</w:t>
            </w:r>
          </w:p>
        </w:tc>
      </w:tr>
      <w:tr>
        <w:trPr>
          <w:trHeight w:val="219"/>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1,521,889</w:t>
            </w: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1,584,582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1,607,303</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upperLetter"/>
      <w:start w:val="8"/>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2021-05-06T05:47:36Z</dcterms:created>
  <dcterms:modified xsi:type="dcterms:W3CDTF">2021-05-06T05:47:36Z</dcterms:modified>
</cp:coreProperties>
</file>