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 </w:t>
      </w:r>
    </w:p>
    <w:p>
      <w:pPr>
        <w:pStyle w:val="TextBody"/>
        <w:bidi w:val="0"/>
        <w:spacing w:lineRule="auto" w:line="288" w:before="0" w:after="0"/>
        <w:jc w:val="center"/>
        <w:rPr/>
      </w:pPr>
      <w:r>
        <w:rPr>
          <w:rFonts w:ascii="Arial;sans-serif" w:hAnsi="Arial;sans-serif"/>
          <w:b/>
          <w:color w:val="000000"/>
          <w:sz w:val="16"/>
        </w:rPr>
        <w:t>(Mark One)</w:t>
      </w:r>
      <w:r>
        <w:rPr>
          <w:color w:val="000000"/>
        </w:rPr>
        <w:t> </w:t>
      </w:r>
    </w:p>
    <w:p>
      <w:pPr>
        <w:pStyle w:val="TextBody"/>
        <w:bidi w:val="0"/>
        <w:spacing w:lineRule="auto" w:line="288" w:before="0" w:after="0"/>
        <w:jc w:val="center"/>
        <w:rPr/>
      </w:pPr>
      <w:r>
        <w:rPr>
          <w:color w:val="000000"/>
        </w:rPr>
        <w:t>☒    </w:t>
      </w:r>
      <w:r>
        <w:rPr>
          <w:rFonts w:ascii="Arial;sans-serif" w:hAnsi="Arial;sans-serif"/>
          <w:b/>
          <w:color w:val="000000"/>
          <w:sz w:val="16"/>
        </w:rPr>
        <w:t xml:space="preserve">QUARTERLY REPORT PURSUANT TO SECTION 13 OR 15(d) OF THE SECURITIES EXCHANGE ACT OF 1934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 the quarterly period ended September 30, 2023.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color w:val="000000"/>
        </w:rPr>
        <w:t>☐    </w:t>
      </w:r>
      <w:r>
        <w:rPr>
          <w:rFonts w:ascii="Arial;sans-serif" w:hAnsi="Arial;sans-serif"/>
          <w:b/>
          <w:color w:val="000000"/>
          <w:sz w:val="16"/>
        </w:rPr>
        <w:t>TRANSITION REPORT PURSUANT TO SECTION 13 OR 15(d) OF THE SECURITIES EXCHANGE ACT OF 1934</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transition period from to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Commission File Number: 001-33807 </w:t>
      </w:r>
    </w:p>
    <w:p>
      <w:pPr>
        <w:pStyle w:val="TextBody"/>
        <w:bidi w:val="0"/>
        <w:spacing w:before="0" w:after="0"/>
        <w:jc w:val="center"/>
        <w:rPr/>
      </w:pPr>
      <w:r>
        <w:rPr/>
      </w:r>
    </w:p>
    <w:p>
      <w:pPr>
        <w:pStyle w:val="TextBody"/>
        <w:bidi w:val="0"/>
        <w:spacing w:lineRule="auto" w:line="288" w:before="0" w:after="0"/>
        <w:jc w:val="center"/>
        <w:rPr/>
      </w:pPr>
      <w:r>
        <w:rPr>
          <w:color w:val="000000"/>
        </w:rPr>
        <w:t> </w:t>
      </w:r>
      <w:r>
        <w:rPr/>
        <w:drawing>
          <wp:inline distT="0" distB="0" distL="0" distR="0">
            <wp:extent cx="1905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762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EchoStar Corporation </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r>
    </w:p>
    <w:tbl>
      <w:tblPr>
        <w:tblW w:w="10205" w:type="dxa"/>
        <w:jc w:val="center"/>
        <w:tblInd w:w="0" w:type="dxa"/>
        <w:tblLayout w:type="fixed"/>
        <w:tblCellMar>
          <w:top w:w="28" w:type="dxa"/>
          <w:left w:w="28" w:type="dxa"/>
          <w:bottom w:w="28" w:type="dxa"/>
          <w:right w:w="28" w:type="dxa"/>
        </w:tblCellMar>
      </w:tblPr>
      <w:tblGrid>
        <w:gridCol w:w="536"/>
        <w:gridCol w:w="432"/>
        <w:gridCol w:w="428"/>
        <w:gridCol w:w="428"/>
        <w:gridCol w:w="428"/>
        <w:gridCol w:w="428"/>
        <w:gridCol w:w="428"/>
        <w:gridCol w:w="428"/>
        <w:gridCol w:w="451"/>
        <w:gridCol w:w="109"/>
        <w:gridCol w:w="109"/>
        <w:gridCol w:w="109"/>
        <w:gridCol w:w="1829"/>
        <w:gridCol w:w="1829"/>
        <w:gridCol w:w="1853"/>
        <w:gridCol w:w="109"/>
        <w:gridCol w:w="109"/>
        <w:gridCol w:w="162"/>
      </w:tblGrid>
      <w:tr>
        <w:trPr/>
        <w:tc>
          <w:tcPr>
            <w:tcW w:w="53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Nevada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26-1232727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100 Inverness Terrace East, Englewood, Colorado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80112-5308</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(303)</w:t>
            </w:r>
            <w:r>
              <w:rPr>
                <w:color w:val="000000"/>
              </w:rPr>
              <w:t xml:space="preserve"> </w:t>
            </w:r>
            <w:r>
              <w:rPr>
                <w:rFonts w:ascii="Arial;sans-serif" w:hAnsi="Arial;sans-serif"/>
                <w:b/>
                <w:color w:val="000000"/>
                <w:sz w:val="16"/>
              </w:rPr>
              <w:t>706-4000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 Applicable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The NASDAQ Stock Market LLC</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SATS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875"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of November 2, 2023, the registrant’s outstanding common stock consisted of 36,219,803 shares of Class A common stock and 47,687,039 shares of Class B common stock, each $0.001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25780"/>
                <wp:effectExtent l="0" t="0" r="0" b="0"/>
                <wp:wrapNone/>
                <wp:docPr id="2" name="Frame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07"/>
        <w:gridCol w:w="240"/>
        <w:gridCol w:w="240"/>
        <w:gridCol w:w="2936"/>
        <w:gridCol w:w="2821"/>
        <w:gridCol w:w="2830"/>
        <w:gridCol w:w="240"/>
        <w:gridCol w:w="240"/>
        <w:gridCol w:w="351"/>
      </w:tblGrid>
      <w:tr>
        <w:trPr/>
        <w:tc>
          <w:tcPr>
            <w:tcW w:w="3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1d0cc0031bb46768b002011acb2e840_13">
              <w:r>
                <w:rPr>
                  <w:rStyle w:val="InternetLink"/>
                  <w:rFonts w:ascii="Arial;sans-serif" w:hAnsi="Arial;sans-serif"/>
                  <w:b/>
                  <w:color w:val="0000FF"/>
                  <w:sz w:val="20"/>
                  <w:u w:val="single"/>
                </w:rPr>
                <w:t>Part I - Financial Information</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10">
              <w:r>
                <w:rPr>
                  <w:rStyle w:val="InternetLink"/>
                  <w:rFonts w:ascii="Arial;sans-serif" w:hAnsi="Arial;sans-serif"/>
                  <w:b w:val="false"/>
                  <w:color w:val="0000FF"/>
                  <w:sz w:val="20"/>
                  <w:u w:val="single"/>
                </w:rPr>
                <w:t>Disclosure Regarding Forward Looking Statements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10">
              <w:r>
                <w:rPr>
                  <w:rStyle w:val="InternetLink"/>
                  <w:rFonts w:ascii="Arial;sans-serif" w:hAnsi="Arial;sans-serif"/>
                  <w:b w:val="false"/>
                  <w:color w:val="0000FF"/>
                  <w:sz w:val="20"/>
                  <w:u w:val="single"/>
                </w:rPr>
                <w:t>i</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16">
              <w:r>
                <w:rPr>
                  <w:rStyle w:val="InternetLink"/>
                  <w:rFonts w:ascii="Arial;sans-serif" w:hAnsi="Arial;sans-serif"/>
                  <w:b w:val="false"/>
                  <w:color w:val="0000FF"/>
                  <w:sz w:val="20"/>
                  <w:u w:val="single"/>
                </w:rPr>
                <w:t>Item 1.</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16">
              <w:r>
                <w:rPr>
                  <w:rStyle w:val="InternetLink"/>
                  <w:rFonts w:ascii="Arial;sans-serif" w:hAnsi="Arial;sans-serif"/>
                  <w:b w:val="false"/>
                  <w:color w:val="0000FF"/>
                  <w:sz w:val="20"/>
                  <w:u w:val="single"/>
                </w:rPr>
                <w:t>Financial Statements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16">
              <w:bookmarkStart w:id="0" w:name="ie1d49cf1a94b41faa35d792a4d8aba0a_4-2-1-"/>
              <w:bookmarkEnd w:id="0"/>
              <w:r>
                <w:rPr>
                  <w:rStyle w:val="InternetLink"/>
                  <w:rFonts w:ascii="Arial;sans-serif" w:hAnsi="Arial;sans-serif"/>
                  <w:b w:val="false"/>
                  <w:color w:val="0000FF"/>
                  <w:sz w:val="20"/>
                  <w:u w:val="single"/>
                </w:rPr>
                <w:t>1</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19">
              <w:r>
                <w:rPr>
                  <w:rStyle w:val="InternetLink"/>
                  <w:rFonts w:ascii="Arial;sans-serif" w:hAnsi="Arial;sans-serif"/>
                  <w:b w:val="false"/>
                  <w:color w:val="000080"/>
                  <w:sz w:val="20"/>
                  <w:u w:val="single"/>
                </w:rPr>
                <w:t xml:space="preserve">Consolidated Balance Sheets as of </w:t>
              </w:r>
            </w:hyperlink>
            <w:hyperlink w:anchor="i11d0cc0031bb46768b002011acb2e840_19">
              <w:r>
                <w:rPr>
                  <w:rStyle w:val="InternetLink"/>
                  <w:rFonts w:ascii="Arial;sans-serif" w:hAnsi="Arial;sans-serif"/>
                  <w:b w:val="false"/>
                  <w:color w:val="000080"/>
                  <w:sz w:val="20"/>
                  <w:u w:val="single"/>
                </w:rPr>
                <w:t>September</w:t>
              </w:r>
            </w:hyperlink>
            <w:hyperlink w:anchor="i11d0cc0031bb46768b002011acb2e840_19">
              <w:r>
                <w:rPr>
                  <w:rStyle w:val="InternetLink"/>
                  <w:rFonts w:ascii="Arial;sans-serif" w:hAnsi="Arial;sans-serif"/>
                  <w:b w:val="false"/>
                  <w:color w:val="000080"/>
                  <w:sz w:val="20"/>
                  <w:u w:val="single"/>
                </w:rPr>
                <w:t xml:space="preserve"> 30, 2023 (unaudited) and December 31, 2022 (audited)</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19">
              <w:r>
                <w:rPr>
                  <w:rStyle w:val="InternetLink"/>
                  <w:rFonts w:ascii="Arial;sans-serif" w:hAnsi="Arial;sans-serif"/>
                  <w:b w:val="false"/>
                  <w:color w:val="0000FF"/>
                  <w:sz w:val="20"/>
                  <w:u w:val="single"/>
                </w:rPr>
                <w:t>1</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22">
              <w:r>
                <w:rPr>
                  <w:rStyle w:val="InternetLink"/>
                  <w:rFonts w:ascii="Arial;sans-serif" w:hAnsi="Arial;sans-serif"/>
                  <w:b w:val="false"/>
                  <w:color w:val="000080"/>
                  <w:sz w:val="20"/>
                  <w:u w:val="single"/>
                </w:rPr>
                <w:t xml:space="preserve">Consolidated Statements of Operations for the three and </w:t>
              </w:r>
            </w:hyperlink>
            <w:hyperlink w:anchor="i11d0cc0031bb46768b002011acb2e840_22">
              <w:r>
                <w:rPr>
                  <w:rStyle w:val="InternetLink"/>
                  <w:rFonts w:ascii="Arial;sans-serif" w:hAnsi="Arial;sans-serif"/>
                  <w:b w:val="false"/>
                  <w:color w:val="000080"/>
                  <w:sz w:val="20"/>
                  <w:u w:val="single"/>
                </w:rPr>
                <w:t>nine</w:t>
              </w:r>
            </w:hyperlink>
            <w:hyperlink w:anchor="i11d0cc0031bb46768b002011acb2e840_22">
              <w:r>
                <w:rPr>
                  <w:rStyle w:val="InternetLink"/>
                  <w:rFonts w:ascii="Arial;sans-serif" w:hAnsi="Arial;sans-serif"/>
                  <w:b w:val="false"/>
                  <w:color w:val="000080"/>
                  <w:sz w:val="20"/>
                  <w:u w:val="single"/>
                </w:rPr>
                <w:t xml:space="preserve"> months ended </w:t>
              </w:r>
            </w:hyperlink>
            <w:hyperlink w:anchor="i11d0cc0031bb46768b002011acb2e840_22">
              <w:r>
                <w:rPr>
                  <w:rStyle w:val="InternetLink"/>
                  <w:rFonts w:ascii="Arial;sans-serif" w:hAnsi="Arial;sans-serif"/>
                  <w:b w:val="false"/>
                  <w:color w:val="000080"/>
                  <w:sz w:val="20"/>
                  <w:u w:val="single"/>
                </w:rPr>
                <w:t>September</w:t>
              </w:r>
            </w:hyperlink>
            <w:hyperlink w:anchor="i11d0cc0031bb46768b002011acb2e840_22">
              <w:r>
                <w:rPr>
                  <w:rStyle w:val="InternetLink"/>
                  <w:rFonts w:ascii="Arial;sans-serif" w:hAnsi="Arial;sans-serif"/>
                  <w:b w:val="false"/>
                  <w:color w:val="000080"/>
                  <w:sz w:val="20"/>
                  <w:u w:val="single"/>
                </w:rPr>
                <w:t xml:space="preserve"> 30, 2023 and 2022 (unaudited)</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22">
              <w:r>
                <w:rPr>
                  <w:rStyle w:val="InternetLink"/>
                  <w:rFonts w:ascii="Arial;sans-serif" w:hAnsi="Arial;sans-serif"/>
                  <w:b w:val="false"/>
                  <w:color w:val="0000FF"/>
                  <w:sz w:val="20"/>
                  <w:u w:val="single"/>
                </w:rPr>
                <w:t>3</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25">
              <w:r>
                <w:rPr>
                  <w:rStyle w:val="InternetLink"/>
                  <w:rFonts w:ascii="Arial;sans-serif" w:hAnsi="Arial;sans-serif"/>
                  <w:b w:val="false"/>
                  <w:color w:val="000080"/>
                  <w:sz w:val="20"/>
                  <w:u w:val="single"/>
                </w:rPr>
                <w:t xml:space="preserve">Consolidated Statements of Comprehensive Income (Loss) for the three and </w:t>
              </w:r>
            </w:hyperlink>
            <w:hyperlink w:anchor="i11d0cc0031bb46768b002011acb2e840_25">
              <w:r>
                <w:rPr>
                  <w:rStyle w:val="InternetLink"/>
                  <w:rFonts w:ascii="Arial;sans-serif" w:hAnsi="Arial;sans-serif"/>
                  <w:b w:val="false"/>
                  <w:color w:val="000080"/>
                  <w:sz w:val="20"/>
                  <w:u w:val="single"/>
                </w:rPr>
                <w:t>nine</w:t>
              </w:r>
            </w:hyperlink>
            <w:hyperlink w:anchor="i11d0cc0031bb46768b002011acb2e840_25">
              <w:r>
                <w:rPr>
                  <w:rStyle w:val="InternetLink"/>
                  <w:rFonts w:ascii="Arial;sans-serif" w:hAnsi="Arial;sans-serif"/>
                  <w:b w:val="false"/>
                  <w:color w:val="000080"/>
                  <w:sz w:val="20"/>
                  <w:u w:val="single"/>
                </w:rPr>
                <w:t xml:space="preserve"> months ended </w:t>
              </w:r>
            </w:hyperlink>
            <w:hyperlink w:anchor="i11d0cc0031bb46768b002011acb2e840_25">
              <w:r>
                <w:rPr>
                  <w:rStyle w:val="InternetLink"/>
                  <w:rFonts w:ascii="Arial;sans-serif" w:hAnsi="Arial;sans-serif"/>
                  <w:b w:val="false"/>
                  <w:color w:val="000080"/>
                  <w:sz w:val="20"/>
                  <w:u w:val="single"/>
                </w:rPr>
                <w:t>September</w:t>
              </w:r>
            </w:hyperlink>
            <w:hyperlink w:anchor="i11d0cc0031bb46768b002011acb2e840_25">
              <w:r>
                <w:rPr>
                  <w:rStyle w:val="InternetLink"/>
                  <w:rFonts w:ascii="Arial;sans-serif" w:hAnsi="Arial;sans-serif"/>
                  <w:b w:val="false"/>
                  <w:color w:val="000080"/>
                  <w:sz w:val="20"/>
                  <w:u w:val="single"/>
                </w:rPr>
                <w:t xml:space="preserve"> 30, 2023 and 2022 (unaudited)</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25">
              <w:r>
                <w:rPr>
                  <w:rStyle w:val="InternetLink"/>
                  <w:rFonts w:ascii="Arial;sans-serif" w:hAnsi="Arial;sans-serif"/>
                  <w:b w:val="false"/>
                  <w:color w:val="0000FF"/>
                  <w:sz w:val="20"/>
                  <w:u w:val="single"/>
                </w:rPr>
                <w:t>4</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28">
              <w:r>
                <w:rPr>
                  <w:rStyle w:val="InternetLink"/>
                  <w:rFonts w:ascii="Arial;sans-serif" w:hAnsi="Arial;sans-serif"/>
                  <w:b w:val="false"/>
                  <w:color w:val="000080"/>
                  <w:sz w:val="20"/>
                  <w:u w:val="single"/>
                </w:rPr>
                <w:t xml:space="preserve">Consolidated Statements of Changes in Stockholders’ Equity for the three months ended </w:t>
              </w:r>
            </w:hyperlink>
            <w:hyperlink w:anchor="i11d0cc0031bb46768b002011acb2e840_28">
              <w:r>
                <w:rPr>
                  <w:rStyle w:val="InternetLink"/>
                  <w:rFonts w:ascii="Arial;sans-serif" w:hAnsi="Arial;sans-serif"/>
                  <w:b w:val="false"/>
                  <w:color w:val="000080"/>
                  <w:sz w:val="20"/>
                  <w:u w:val="single"/>
                </w:rPr>
                <w:t>September</w:t>
              </w:r>
            </w:hyperlink>
            <w:hyperlink w:anchor="i11d0cc0031bb46768b002011acb2e840_28">
              <w:r>
                <w:rPr>
                  <w:rStyle w:val="InternetLink"/>
                  <w:rFonts w:ascii="Arial;sans-serif" w:hAnsi="Arial;sans-serif"/>
                  <w:b w:val="false"/>
                  <w:color w:val="000080"/>
                  <w:sz w:val="20"/>
                  <w:u w:val="single"/>
                </w:rPr>
                <w:t xml:space="preserve"> 30, 2023 and 2022 (unaudited)</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28">
              <w:r>
                <w:rPr>
                  <w:rStyle w:val="InternetLink"/>
                  <w:rFonts w:ascii="Arial;sans-serif" w:hAnsi="Arial;sans-serif"/>
                  <w:b w:val="false"/>
                  <w:color w:val="0000FF"/>
                  <w:sz w:val="20"/>
                  <w:u w:val="single"/>
                </w:rPr>
                <w:t>5</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31">
              <w:r>
                <w:rPr>
                  <w:rStyle w:val="InternetLink"/>
                  <w:rFonts w:ascii="Arial;sans-serif" w:hAnsi="Arial;sans-serif"/>
                  <w:b w:val="false"/>
                  <w:color w:val="0000FF"/>
                  <w:sz w:val="20"/>
                  <w:u w:val="single"/>
                </w:rPr>
                <w:t>Consolidated Statements of Changes in Stockholders’ Equity for the nine months ended September 30, 2023 and 2022 (unaudited)</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31">
              <w:r>
                <w:rPr>
                  <w:rStyle w:val="InternetLink"/>
                  <w:rFonts w:ascii="Arial;sans-serif" w:hAnsi="Arial;sans-serif"/>
                  <w:b w:val="false"/>
                  <w:color w:val="0000FF"/>
                  <w:sz w:val="20"/>
                  <w:u w:val="single"/>
                </w:rPr>
                <w:t>6</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34">
              <w:r>
                <w:rPr>
                  <w:rStyle w:val="InternetLink"/>
                  <w:rFonts w:ascii="Arial;sans-serif" w:hAnsi="Arial;sans-serif"/>
                  <w:b w:val="false"/>
                  <w:color w:val="0000FF"/>
                  <w:sz w:val="20"/>
                  <w:u w:val="single"/>
                </w:rPr>
                <w:t>Consolidated Statements of Cash Flows for the nine months ended September 30, 2023 and 2022 (unaudited)</w:t>
              </w:r>
            </w:hyperlink>
            <w:r>
              <w:rPr>
                <w:color w:val="000000"/>
              </w:rPr>
              <w:t xml:space="preserve">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34">
              <w:r>
                <w:rPr>
                  <w:rStyle w:val="InternetLink"/>
                  <w:rFonts w:ascii="Arial;sans-serif" w:hAnsi="Arial;sans-serif"/>
                  <w:b w:val="false"/>
                  <w:color w:val="0000FF"/>
                  <w:sz w:val="20"/>
                  <w:u w:val="single"/>
                </w:rPr>
                <w:t>7</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37">
              <w:r>
                <w:rPr>
                  <w:rStyle w:val="InternetLink"/>
                  <w:rFonts w:ascii="Arial;sans-serif" w:hAnsi="Arial;sans-serif"/>
                  <w:b w:val="false"/>
                  <w:color w:val="0000FF"/>
                  <w:sz w:val="20"/>
                  <w:u w:val="single"/>
                </w:rPr>
                <w:t>Notes to the Consolidated Financial Statements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37">
              <w:r>
                <w:rPr>
                  <w:rStyle w:val="InternetLink"/>
                  <w:rFonts w:ascii="Arial;sans-serif" w:hAnsi="Arial;sans-serif"/>
                  <w:b w:val="false"/>
                  <w:color w:val="0000FF"/>
                  <w:sz w:val="20"/>
                  <w:u w:val="single"/>
                </w:rPr>
                <w:t>8</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22">
              <w:r>
                <w:rPr>
                  <w:rStyle w:val="InternetLink"/>
                  <w:rFonts w:ascii="Arial;sans-serif" w:hAnsi="Arial;sans-serif"/>
                  <w:b w:val="false"/>
                  <w:color w:val="0000FF"/>
                  <w:sz w:val="20"/>
                  <w:u w:val="single"/>
                </w:rPr>
                <w:t>Item 2.</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22">
              <w:r>
                <w:rPr>
                  <w:rStyle w:val="InternetLink"/>
                  <w:rFonts w:ascii="Arial;sans-serif" w:hAnsi="Arial;sans-serif"/>
                  <w:b w:val="false"/>
                  <w:color w:val="0000FF"/>
                  <w:sz w:val="20"/>
                  <w:u w:val="single"/>
                </w:rPr>
                <w:t>Management’s Discussion and Analysis of Financial Condition and Results of Operations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622">
              <w:r>
                <w:rPr>
                  <w:rStyle w:val="InternetLink"/>
                  <w:rFonts w:ascii="Arial;sans-serif" w:hAnsi="Arial;sans-serif"/>
                  <w:b w:val="false"/>
                  <w:color w:val="0000FF"/>
                  <w:sz w:val="20"/>
                  <w:u w:val="single"/>
                </w:rPr>
                <w:t>42</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82">
              <w:r>
                <w:rPr>
                  <w:rStyle w:val="InternetLink"/>
                  <w:rFonts w:ascii="Arial;sans-serif" w:hAnsi="Arial;sans-serif"/>
                  <w:b w:val="false"/>
                  <w:color w:val="0000FF"/>
                  <w:sz w:val="20"/>
                  <w:u w:val="single"/>
                </w:rPr>
                <w:t>Item 3.</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82">
              <w:r>
                <w:rPr>
                  <w:rStyle w:val="InternetLink"/>
                  <w:rFonts w:ascii="Arial;sans-serif" w:hAnsi="Arial;sans-serif"/>
                  <w:b w:val="false"/>
                  <w:color w:val="0000FF"/>
                  <w:sz w:val="20"/>
                  <w:u w:val="single"/>
                </w:rPr>
                <w:t>Quantitative and Qualitative Disclosures about Market Risk</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682">
              <w:r>
                <w:rPr>
                  <w:rStyle w:val="InternetLink"/>
                  <w:rFonts w:ascii="Arial;sans-serif" w:hAnsi="Arial;sans-serif"/>
                  <w:b w:val="false"/>
                  <w:color w:val="0000FF"/>
                  <w:sz w:val="20"/>
                  <w:u w:val="single"/>
                </w:rPr>
                <w:t>64</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85">
              <w:r>
                <w:rPr>
                  <w:rStyle w:val="InternetLink"/>
                  <w:rFonts w:ascii="Arial;sans-serif" w:hAnsi="Arial;sans-serif"/>
                  <w:b w:val="false"/>
                  <w:color w:val="0000FF"/>
                  <w:sz w:val="20"/>
                  <w:u w:val="single"/>
                </w:rPr>
                <w:t>Item 4.</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85">
              <w:r>
                <w:rPr>
                  <w:rStyle w:val="InternetLink"/>
                  <w:rFonts w:ascii="Arial;sans-serif" w:hAnsi="Arial;sans-serif"/>
                  <w:b w:val="false"/>
                  <w:color w:val="0000FF"/>
                  <w:sz w:val="20"/>
                  <w:u w:val="single"/>
                </w:rPr>
                <w:t>Controls and Procedures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685">
              <w:r>
                <w:rPr>
                  <w:rStyle w:val="InternetLink"/>
                  <w:rFonts w:ascii="Arial;sans-serif" w:hAnsi="Arial;sans-serif"/>
                  <w:b w:val="false"/>
                  <w:color w:val="0000FF"/>
                  <w:sz w:val="20"/>
                  <w:u w:val="single"/>
                </w:rPr>
                <w:t>64</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1d0cc0031bb46768b002011acb2e840_688">
              <w:r>
                <w:rPr>
                  <w:rStyle w:val="InternetLink"/>
                  <w:rFonts w:ascii="Arial;sans-serif" w:hAnsi="Arial;sans-serif"/>
                  <w:b/>
                  <w:color w:val="0000FF"/>
                  <w:sz w:val="20"/>
                  <w:u w:val="single"/>
                </w:rPr>
                <w:t>Part II - Other Information</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91">
              <w:r>
                <w:rPr>
                  <w:rStyle w:val="InternetLink"/>
                  <w:rFonts w:ascii="Arial;sans-serif" w:hAnsi="Arial;sans-serif"/>
                  <w:b w:val="false"/>
                  <w:color w:val="0000FF"/>
                  <w:sz w:val="20"/>
                  <w:u w:val="single"/>
                </w:rPr>
                <w:t>Item 1.</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91">
              <w:r>
                <w:rPr>
                  <w:rStyle w:val="InternetLink"/>
                  <w:rFonts w:ascii="Arial;sans-serif" w:hAnsi="Arial;sans-serif"/>
                  <w:b w:val="false"/>
                  <w:color w:val="0000FF"/>
                  <w:sz w:val="20"/>
                  <w:u w:val="single"/>
                </w:rPr>
                <w:t>Legal Proceedings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691">
              <w:r>
                <w:rPr>
                  <w:rStyle w:val="InternetLink"/>
                  <w:rFonts w:ascii="Arial;sans-serif" w:hAnsi="Arial;sans-serif"/>
                  <w:b w:val="false"/>
                  <w:color w:val="0000FF"/>
                  <w:sz w:val="20"/>
                  <w:u w:val="single"/>
                </w:rPr>
                <w:t>65</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94">
              <w:r>
                <w:rPr>
                  <w:rStyle w:val="InternetLink"/>
                  <w:rFonts w:ascii="Arial;sans-serif" w:hAnsi="Arial;sans-serif"/>
                  <w:b w:val="false"/>
                  <w:color w:val="0000FF"/>
                  <w:sz w:val="20"/>
                  <w:u w:val="single"/>
                </w:rPr>
                <w:t>Item 1A.</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94">
              <w:r>
                <w:rPr>
                  <w:rStyle w:val="InternetLink"/>
                  <w:rFonts w:ascii="Arial;sans-serif" w:hAnsi="Arial;sans-serif"/>
                  <w:b w:val="false"/>
                  <w:color w:val="0000FF"/>
                  <w:sz w:val="20"/>
                  <w:u w:val="single"/>
                </w:rPr>
                <w:t>Risk Factors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694">
              <w:r>
                <w:rPr>
                  <w:rStyle w:val="InternetLink"/>
                  <w:rFonts w:ascii="Arial;sans-serif" w:hAnsi="Arial;sans-serif"/>
                  <w:b w:val="false"/>
                  <w:color w:val="0000FF"/>
                  <w:sz w:val="20"/>
                  <w:u w:val="single"/>
                </w:rPr>
                <w:t>65</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97">
              <w:r>
                <w:rPr>
                  <w:rStyle w:val="InternetLink"/>
                  <w:rFonts w:ascii="Arial;sans-serif" w:hAnsi="Arial;sans-serif"/>
                  <w:b w:val="false"/>
                  <w:color w:val="0000FF"/>
                  <w:sz w:val="20"/>
                  <w:u w:val="single"/>
                </w:rPr>
                <w:t>Item 2.</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697">
              <w:r>
                <w:rPr>
                  <w:rStyle w:val="InternetLink"/>
                  <w:rFonts w:ascii="Arial;sans-serif" w:hAnsi="Arial;sans-serif"/>
                  <w:b w:val="false"/>
                  <w:color w:val="0000FF"/>
                  <w:sz w:val="20"/>
                  <w:u w:val="single"/>
                </w:rPr>
                <w:t>Unregistered Sales of Equity Securities and Use of Proceeds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697">
              <w:r>
                <w:rPr>
                  <w:rStyle w:val="InternetLink"/>
                  <w:rFonts w:ascii="Arial;sans-serif" w:hAnsi="Arial;sans-serif"/>
                  <w:b w:val="false"/>
                  <w:color w:val="0000FF"/>
                  <w:sz w:val="20"/>
                  <w:u w:val="single"/>
                </w:rPr>
                <w:t>70</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03">
              <w:r>
                <w:rPr>
                  <w:rStyle w:val="InternetLink"/>
                  <w:rFonts w:ascii="Arial;sans-serif" w:hAnsi="Arial;sans-serif"/>
                  <w:b w:val="false"/>
                  <w:color w:val="0000FF"/>
                  <w:sz w:val="20"/>
                  <w:u w:val="single"/>
                </w:rPr>
                <w:t>Item 3.</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03">
              <w:r>
                <w:rPr>
                  <w:rStyle w:val="InternetLink"/>
                  <w:rFonts w:ascii="Arial;sans-serif" w:hAnsi="Arial;sans-serif"/>
                  <w:b w:val="false"/>
                  <w:color w:val="0000FF"/>
                  <w:sz w:val="20"/>
                  <w:u w:val="single"/>
                </w:rPr>
                <w:t>Defaults Upon Senior Securities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703">
              <w:r>
                <w:rPr>
                  <w:rStyle w:val="InternetLink"/>
                  <w:rFonts w:ascii="Arial;sans-serif" w:hAnsi="Arial;sans-serif"/>
                  <w:b w:val="false"/>
                  <w:color w:val="0000FF"/>
                  <w:sz w:val="20"/>
                  <w:u w:val="single"/>
                </w:rPr>
                <w:t>70</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06">
              <w:r>
                <w:rPr>
                  <w:rStyle w:val="InternetLink"/>
                  <w:rFonts w:ascii="Arial;sans-serif" w:hAnsi="Arial;sans-serif"/>
                  <w:b w:val="false"/>
                  <w:color w:val="0000FF"/>
                  <w:sz w:val="20"/>
                  <w:u w:val="single"/>
                </w:rPr>
                <w:t>Item 4.</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06">
              <w:r>
                <w:rPr>
                  <w:rStyle w:val="InternetLink"/>
                  <w:rFonts w:ascii="Arial;sans-serif" w:hAnsi="Arial;sans-serif"/>
                  <w:b w:val="false"/>
                  <w:color w:val="0000FF"/>
                  <w:sz w:val="20"/>
                  <w:u w:val="single"/>
                </w:rPr>
                <w:t>Mine Safety Disclosures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706">
              <w:r>
                <w:rPr>
                  <w:rStyle w:val="InternetLink"/>
                  <w:rFonts w:ascii="Arial;sans-serif" w:hAnsi="Arial;sans-serif"/>
                  <w:b w:val="false"/>
                  <w:color w:val="0000FF"/>
                  <w:sz w:val="20"/>
                  <w:u w:val="single"/>
                </w:rPr>
                <w:t>70</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09">
              <w:r>
                <w:rPr>
                  <w:rStyle w:val="InternetLink"/>
                  <w:rFonts w:ascii="Arial;sans-serif" w:hAnsi="Arial;sans-serif"/>
                  <w:b w:val="false"/>
                  <w:color w:val="0000FF"/>
                  <w:sz w:val="20"/>
                  <w:u w:val="single"/>
                </w:rPr>
                <w:t>Item 5.</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09">
              <w:r>
                <w:rPr>
                  <w:rStyle w:val="InternetLink"/>
                  <w:rFonts w:ascii="Arial;sans-serif" w:hAnsi="Arial;sans-serif"/>
                  <w:b w:val="false"/>
                  <w:color w:val="0000FF"/>
                  <w:sz w:val="20"/>
                  <w:u w:val="single"/>
                </w:rPr>
                <w:t>Other Information</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709">
              <w:r>
                <w:rPr>
                  <w:rStyle w:val="InternetLink"/>
                  <w:rFonts w:ascii="Arial;sans-serif" w:hAnsi="Arial;sans-serif"/>
                  <w:b w:val="false"/>
                  <w:color w:val="0000FF"/>
                  <w:sz w:val="20"/>
                  <w:u w:val="single"/>
                </w:rPr>
                <w:t>70</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12">
              <w:r>
                <w:rPr>
                  <w:rStyle w:val="InternetLink"/>
                  <w:rFonts w:ascii="Arial;sans-serif" w:hAnsi="Arial;sans-serif"/>
                  <w:b w:val="false"/>
                  <w:color w:val="0000FF"/>
                  <w:sz w:val="20"/>
                  <w:u w:val="single"/>
                </w:rPr>
                <w:t>Item 6.</w:t>
              </w:r>
            </w:hyperlink>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12">
              <w:r>
                <w:rPr>
                  <w:rStyle w:val="InternetLink"/>
                  <w:rFonts w:ascii="Arial;sans-serif" w:hAnsi="Arial;sans-serif"/>
                  <w:b w:val="false"/>
                  <w:color w:val="0000FF"/>
                  <w:sz w:val="20"/>
                  <w:u w:val="single"/>
                </w:rPr>
                <w:t>Exhibits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712">
              <w:r>
                <w:rPr>
                  <w:rStyle w:val="InternetLink"/>
                  <w:rFonts w:ascii="Arial;sans-serif" w:hAnsi="Arial;sans-serif"/>
                  <w:b w:val="false"/>
                  <w:color w:val="0000FF"/>
                  <w:sz w:val="20"/>
                  <w:u w:val="single"/>
                </w:rPr>
                <w:t>71</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0cc0031bb46768b002011acb2e840_715">
              <w:r>
                <w:rPr>
                  <w:rStyle w:val="InternetLink"/>
                  <w:rFonts w:ascii="Arial;sans-serif" w:hAnsi="Arial;sans-serif"/>
                  <w:b w:val="false"/>
                  <w:color w:val="0000FF"/>
                  <w:sz w:val="20"/>
                  <w:u w:val="single"/>
                </w:rPr>
                <w:t>Signatures</w:t>
              </w:r>
            </w:hyperlink>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0cc0031bb46768b002011acb2e840_715">
              <w:r>
                <w:rPr>
                  <w:rStyle w:val="InternetLink"/>
                  <w:rFonts w:ascii="Arial;sans-serif" w:hAnsi="Arial;sans-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DISCLOSURE REGARDING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  </w:t>
      </w:r>
    </w:p>
    <w:p>
      <w:pPr>
        <w:pStyle w:val="TextBody"/>
        <w:bidi w:val="0"/>
        <w:spacing w:lineRule="auto" w:line="288" w:before="0" w:after="90"/>
        <w:ind w:left="0" w:right="0" w:hanging="360"/>
        <w:jc w:val="left"/>
        <w:rPr/>
      </w:pPr>
      <w:r>
        <w:rPr>
          <w:color w:val="000000"/>
        </w:rPr>
        <w:t>•</w:t>
      </w:r>
      <w:r>
        <w:rPr>
          <w:rFonts w:ascii="Arial;sans-serif" w:hAnsi="Arial;sans-serif"/>
          <w:b w:val="false"/>
          <w:color w:val="000000"/>
          <w:sz w:val="20"/>
        </w:rPr>
        <w:t>risks relating to our ability to complete and realize the expected benefits of the pending merger with DISH Network Corporation;</w:t>
      </w:r>
    </w:p>
    <w:p>
      <w:pPr>
        <w:pStyle w:val="TextBody"/>
        <w:bidi w:val="0"/>
        <w:spacing w:lineRule="auto" w:line="288" w:before="0" w:after="90"/>
        <w:ind w:left="0" w:right="0" w:hanging="360"/>
        <w:jc w:val="left"/>
        <w:rPr/>
      </w:pPr>
      <w:r>
        <w:rPr>
          <w:color w:val="000000"/>
        </w:rPr>
        <w:t>•</w:t>
      </w:r>
      <w:r>
        <w:rPr>
          <w:rFonts w:ascii="Arial;sans-serif" w:hAnsi="Arial;sans-serif"/>
          <w:b w:val="false"/>
          <w:color w:val="000000"/>
          <w:sz w:val="20"/>
        </w:rPr>
        <w:t>risks relating to our substantially increased leverage following completion of the pending merger with DISH Network Corporation;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significant risks related to our ability to launch, operate, and control our satellites, operational and environmental risks related to our owned and leased satellites, and risks related to our satellites under construction;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and the ability of third parties with whom we engage to operate our business as a result of changes in the global business environment, including regulatory and competitive considerations;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to implement and/or realize benefits of our investments and other strategic initiatives;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related to our foreign operations and other uncertainties associated with doing business internationally;</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related to our dependency upon third-party providers, including supply chain disruptions and inflation;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risks related to cybersecurity incidents;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risks related to our human capital resources.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Should one or more of the risks or uncertainties described herein or in any documents we file with the SEC occur, or should underlying assumptions prove incorrect, our actual results and plans could differ materially from those expressed in any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310"/>
                <wp:effectExtent l="0" t="0" r="0" b="0"/>
                <wp:wrapNone/>
                <wp:docPr id="4" name="Frame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bookmarkStart w:id="1" w:name="i347344887a4f42418bdc60fa6503fb4b_32"/>
      <w:bookmarkEnd w:id="1"/>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bookmarkStart w:id="2" w:name="ifc34f899a2a2462c80f33aed12581125_217"/>
      <w:bookmarkEnd w:id="2"/>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center"/>
        <w:rPr/>
      </w:pPr>
      <w:r>
        <w:rPr/>
      </w:r>
    </w:p>
    <w:tbl>
      <w:tblPr>
        <w:tblW w:w="9053" w:type="dxa"/>
        <w:jc w:val="center"/>
        <w:tblInd w:w="0" w:type="dxa"/>
        <w:tblLayout w:type="fixed"/>
        <w:tblCellMar>
          <w:top w:w="28" w:type="dxa"/>
          <w:left w:w="28" w:type="dxa"/>
          <w:bottom w:w="28" w:type="dxa"/>
          <w:right w:w="28" w:type="dxa"/>
        </w:tblCellMar>
      </w:tblPr>
      <w:tblGrid>
        <w:gridCol w:w="1658"/>
        <w:gridCol w:w="1455"/>
        <w:gridCol w:w="1476"/>
        <w:gridCol w:w="109"/>
        <w:gridCol w:w="109"/>
        <w:gridCol w:w="109"/>
        <w:gridCol w:w="302"/>
        <w:gridCol w:w="1462"/>
        <w:gridCol w:w="156"/>
        <w:gridCol w:w="109"/>
        <w:gridCol w:w="109"/>
        <w:gridCol w:w="109"/>
        <w:gridCol w:w="287"/>
        <w:gridCol w:w="1393"/>
        <w:gridCol w:w="210"/>
      </w:tblGrid>
      <w:tr>
        <w:trPr/>
        <w:tc>
          <w:tcPr>
            <w:tcW w:w="16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704,541 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and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2,125,381 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2,237,617 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532,491 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Regulatory authorizations,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462,531 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356,705 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3,757,521 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4,073,622 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6,230,458 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6,199,003 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199,853 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422,831 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119,787 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2,167,991 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2,177,117 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2,564,670 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2,599,948 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310"/>
                <wp:effectExtent l="0" t="0" r="0" b="0"/>
                <wp:wrapNone/>
                <wp:docPr id="5" name="Frame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95"/>
        <w:gridCol w:w="2159"/>
        <w:gridCol w:w="2168"/>
        <w:gridCol w:w="109"/>
        <w:gridCol w:w="109"/>
        <w:gridCol w:w="109"/>
        <w:gridCol w:w="211"/>
        <w:gridCol w:w="1021"/>
        <w:gridCol w:w="109"/>
        <w:gridCol w:w="109"/>
        <w:gridCol w:w="109"/>
        <w:gridCol w:w="109"/>
        <w:gridCol w:w="211"/>
        <w:gridCol w:w="1021"/>
        <w:gridCol w:w="156"/>
      </w:tblGrid>
      <w:tr>
        <w:trPr/>
        <w:tc>
          <w:tcPr>
            <w:tcW w:w="2495"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$0.001 par value, 20,000,000 shares authorized, none issued and outstanding at both September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Common stock, $0.001 par value, 4,000,000,000 shares authorized: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A common stock, $0.001 par value, 1,600,000,000 shares authorized, 59,532,668 shares issued and 36,219,357 shares outstanding at September 30, 2023 and 58,604,927 shares issued and 35,291,616 shares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B convertible common stock, $0.001 par value, 800,000,000 shares authorized, 47,687,039 shares issued and outstanding at both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C convertible common stock, $0.001 par value, 800,000,000 shares authorized, none issued and outstanding at both September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D common stock, $0.001 par value, 800,000,000 shares authorized, none issued and outstanding at both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earnings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shares, at cost, 23,313,311 shares at both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EchoStar Corporation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3,573,398 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3,502,619 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3,599,055 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6,230,458 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6,199,003 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bookmarkStart w:id="3" w:name="i9d5c50fd052c4631bf671f7a5eedb730_118"/>
      <w:bookmarkEnd w:id="3"/>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0"/>
        <w:gridCol w:w="714"/>
        <w:gridCol w:w="719"/>
        <w:gridCol w:w="109"/>
        <w:gridCol w:w="109"/>
        <w:gridCol w:w="109"/>
        <w:gridCol w:w="235"/>
        <w:gridCol w:w="955"/>
        <w:gridCol w:w="121"/>
        <w:gridCol w:w="121"/>
        <w:gridCol w:w="121"/>
        <w:gridCol w:w="121"/>
        <w:gridCol w:w="235"/>
        <w:gridCol w:w="955"/>
        <w:gridCol w:w="121"/>
        <w:gridCol w:w="109"/>
        <w:gridCol w:w="109"/>
        <w:gridCol w:w="109"/>
        <w:gridCol w:w="226"/>
        <w:gridCol w:w="1097"/>
        <w:gridCol w:w="117"/>
        <w:gridCol w:w="117"/>
        <w:gridCol w:w="117"/>
        <w:gridCol w:w="117"/>
        <w:gridCol w:w="226"/>
        <w:gridCol w:w="1097"/>
        <w:gridCol w:w="117"/>
        <w:gridCol w:w="109"/>
        <w:gridCol w:w="163"/>
      </w:tblGrid>
      <w:tr>
        <w:trPr/>
        <w:tc>
          <w:tcPr>
            <w:tcW w:w="16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1,108,386 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1,234,890 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413,074 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1,305,780 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1,498,237 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services and other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401,431 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430,553 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equipment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322,469 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347,224 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390,994 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450,353 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1,211,080 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1,360,229 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(losses) per share - Class A and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bookmarkStart w:id="4" w:name="i9302314df16d4376bb429e5be27b2185_138"/>
      <w:bookmarkEnd w:id="4"/>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80"/>
        <w:gridCol w:w="1100"/>
        <w:gridCol w:w="1038"/>
        <w:gridCol w:w="109"/>
        <w:gridCol w:w="109"/>
        <w:gridCol w:w="109"/>
        <w:gridCol w:w="263"/>
        <w:gridCol w:w="843"/>
        <w:gridCol w:w="135"/>
        <w:gridCol w:w="135"/>
        <w:gridCol w:w="135"/>
        <w:gridCol w:w="135"/>
        <w:gridCol w:w="263"/>
        <w:gridCol w:w="937"/>
        <w:gridCol w:w="135"/>
        <w:gridCol w:w="109"/>
        <w:gridCol w:w="109"/>
        <w:gridCol w:w="109"/>
        <w:gridCol w:w="253"/>
        <w:gridCol w:w="901"/>
        <w:gridCol w:w="130"/>
        <w:gridCol w:w="130"/>
        <w:gridCol w:w="130"/>
        <w:gridCol w:w="130"/>
        <w:gridCol w:w="253"/>
        <w:gridCol w:w="1027"/>
        <w:gridCol w:w="198"/>
      </w:tblGrid>
      <w:tr>
        <w:trPr/>
        <w:tc>
          <w:tcPr>
            <w:tcW w:w="1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3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118,968 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29,684 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(losses)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Amounts reclassified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losses (gains) on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EchoStar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(4,397)</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159,467 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bookmarkStart w:id="5" w:name="ib8b5302688d3429f8712a8a8f04b84b1_156"/>
      <w:bookmarkEnd w:id="5"/>
      <w:r>
        <w:rPr>
          <w:rFonts w:ascii="Arial;sans-serif" w:hAnsi="Arial;sans-serif"/>
          <w:b/>
          <w:color w:val="000000"/>
          <w:sz w:val="20"/>
        </w:rPr>
        <w:t>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MONTHS ENDED SEPTEMBER 30, 2023 AND 2022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p>
      <w:pPr>
        <w:pStyle w:val="TextBody"/>
        <w:bidi w:val="0"/>
        <w:spacing w:before="0" w:after="0"/>
        <w:jc w:val="center"/>
        <w:rPr/>
      </w:pPr>
      <w:r>
        <w:rPr/>
      </w:r>
    </w:p>
    <w:tbl>
      <w:tblPr>
        <w:tblW w:w="11702" w:type="dxa"/>
        <w:jc w:val="center"/>
        <w:tblInd w:w="0" w:type="dxa"/>
        <w:tblLayout w:type="fixed"/>
        <w:tblCellMar>
          <w:top w:w="28" w:type="dxa"/>
          <w:left w:w="28" w:type="dxa"/>
          <w:bottom w:w="28" w:type="dxa"/>
          <w:right w:w="28" w:type="dxa"/>
        </w:tblCellMar>
      </w:tblPr>
      <w:tblGrid>
        <w:gridCol w:w="738"/>
        <w:gridCol w:w="253"/>
        <w:gridCol w:w="255"/>
        <w:gridCol w:w="109"/>
        <w:gridCol w:w="109"/>
        <w:gridCol w:w="109"/>
        <w:gridCol w:w="227"/>
        <w:gridCol w:w="487"/>
        <w:gridCol w:w="127"/>
        <w:gridCol w:w="109"/>
        <w:gridCol w:w="109"/>
        <w:gridCol w:w="109"/>
        <w:gridCol w:w="196"/>
        <w:gridCol w:w="871"/>
        <w:gridCol w:w="109"/>
        <w:gridCol w:w="109"/>
        <w:gridCol w:w="109"/>
        <w:gridCol w:w="109"/>
        <w:gridCol w:w="250"/>
        <w:gridCol w:w="960"/>
        <w:gridCol w:w="141"/>
        <w:gridCol w:w="109"/>
        <w:gridCol w:w="109"/>
        <w:gridCol w:w="109"/>
        <w:gridCol w:w="217"/>
        <w:gridCol w:w="817"/>
        <w:gridCol w:w="122"/>
        <w:gridCol w:w="109"/>
        <w:gridCol w:w="109"/>
        <w:gridCol w:w="109"/>
        <w:gridCol w:w="196"/>
        <w:gridCol w:w="751"/>
        <w:gridCol w:w="109"/>
        <w:gridCol w:w="109"/>
        <w:gridCol w:w="109"/>
        <w:gridCol w:w="109"/>
        <w:gridCol w:w="257"/>
        <w:gridCol w:w="965"/>
        <w:gridCol w:w="144"/>
        <w:gridCol w:w="109"/>
        <w:gridCol w:w="109"/>
        <w:gridCol w:w="109"/>
        <w:gridCol w:w="196"/>
        <w:gridCol w:w="87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Shares,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3,355,238 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(204,465)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761,767 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101,327 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Issuance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share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(180,339)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784,170 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873,715 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Issuance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(161,515)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876,959 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92,390 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3,665,788 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9"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NINE MONTHS ENDED SEPTEMBER 30, 2023 AND 2022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p>
      <w:pPr>
        <w:pStyle w:val="TextBody"/>
        <w:bidi w:val="0"/>
        <w:spacing w:before="0" w:after="0"/>
        <w:jc w:val="center"/>
        <w:rPr/>
      </w:pPr>
      <w:r>
        <w:rPr/>
      </w:r>
    </w:p>
    <w:tbl>
      <w:tblPr>
        <w:tblW w:w="11702" w:type="dxa"/>
        <w:jc w:val="center"/>
        <w:tblInd w:w="0" w:type="dxa"/>
        <w:tblLayout w:type="fixed"/>
        <w:tblCellMar>
          <w:top w:w="28" w:type="dxa"/>
          <w:left w:w="28" w:type="dxa"/>
          <w:bottom w:w="28" w:type="dxa"/>
          <w:right w:w="28" w:type="dxa"/>
        </w:tblCellMar>
      </w:tblPr>
      <w:tblGrid>
        <w:gridCol w:w="738"/>
        <w:gridCol w:w="253"/>
        <w:gridCol w:w="255"/>
        <w:gridCol w:w="109"/>
        <w:gridCol w:w="109"/>
        <w:gridCol w:w="109"/>
        <w:gridCol w:w="227"/>
        <w:gridCol w:w="487"/>
        <w:gridCol w:w="127"/>
        <w:gridCol w:w="109"/>
        <w:gridCol w:w="109"/>
        <w:gridCol w:w="109"/>
        <w:gridCol w:w="196"/>
        <w:gridCol w:w="871"/>
        <w:gridCol w:w="109"/>
        <w:gridCol w:w="109"/>
        <w:gridCol w:w="109"/>
        <w:gridCol w:w="109"/>
        <w:gridCol w:w="250"/>
        <w:gridCol w:w="960"/>
        <w:gridCol w:w="141"/>
        <w:gridCol w:w="109"/>
        <w:gridCol w:w="109"/>
        <w:gridCol w:w="109"/>
        <w:gridCol w:w="217"/>
        <w:gridCol w:w="817"/>
        <w:gridCol w:w="122"/>
        <w:gridCol w:w="109"/>
        <w:gridCol w:w="109"/>
        <w:gridCol w:w="109"/>
        <w:gridCol w:w="196"/>
        <w:gridCol w:w="751"/>
        <w:gridCol w:w="109"/>
        <w:gridCol w:w="109"/>
        <w:gridCol w:w="109"/>
        <w:gridCol w:w="109"/>
        <w:gridCol w:w="281"/>
        <w:gridCol w:w="927"/>
        <w:gridCol w:w="158"/>
        <w:gridCol w:w="109"/>
        <w:gridCol w:w="109"/>
        <w:gridCol w:w="109"/>
        <w:gridCol w:w="196"/>
        <w:gridCol w:w="87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Shares,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(212,102)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3,414,080 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Issuance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equity and contribution of assets pursuant to the India JV 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share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Consideration received from DISH Network for R&amp;D tax credits utilized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(180,339)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784,170 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833,517 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Issuance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(161,515)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876,959 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92,390 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3,665,788 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10" name="Frame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bookmarkStart w:id="6" w:name="i83d2f6bac1774ba1aa3d2d3ca4d079c5_90"/>
      <w:bookmarkEnd w:id="6"/>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477"/>
        <w:gridCol w:w="1888"/>
        <w:gridCol w:w="1900"/>
        <w:gridCol w:w="109"/>
        <w:gridCol w:w="109"/>
        <w:gridCol w:w="109"/>
        <w:gridCol w:w="254"/>
        <w:gridCol w:w="1180"/>
        <w:gridCol w:w="131"/>
        <w:gridCol w:w="131"/>
        <w:gridCol w:w="131"/>
        <w:gridCol w:w="131"/>
        <w:gridCol w:w="254"/>
        <w:gridCol w:w="999"/>
        <w:gridCol w:w="131"/>
        <w:gridCol w:w="109"/>
        <w:gridCol w:w="162"/>
      </w:tblGrid>
      <w:tr>
        <w:trPr/>
        <w:tc>
          <w:tcPr>
            <w:tcW w:w="2477"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6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(loss) to cash flows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repayment of 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(Accretion of discounts) and amortization of premiums on debt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Changes in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and non-current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(1,015,650)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(540,447)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Refunds and other receipts related to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externally marketed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repayment of other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JV 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received from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 of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in-orbit incentive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Class A common stock issued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equity registration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share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(84,666)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1,095,866 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907,410 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11" name="Frame1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ORGANIZATION AND BUSINESS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Principal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EchoStar Corporation (which, together with its subsidiaries, is referred to as “EchoStar,” the “Company,” “we,” “us” and “our”) is a holding company that was organized in October 2007 as a corporation under the laws of the State of Nevada. Our Class A common stock is publicly traded on the NASDAQ Global Select Market (“NASDAQ”) under the symbol “SATS.”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 We operate in the following two business segments: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90"/>
        <w:ind w:left="0" w:right="0" w:hanging="360"/>
        <w:jc w:val="both"/>
        <w:rPr/>
      </w:pPr>
      <w:r>
        <w:rPr>
          <w:color w:val="000000"/>
        </w:rPr>
        <w:t>•</w:t>
      </w:r>
      <w:r>
        <w:rPr>
          <w:rFonts w:ascii="Arial;sans-serif" w:hAnsi="Arial;sans-serif"/>
          <w:b/>
          <w:i/>
          <w:color w:val="000000"/>
          <w:sz w:val="20"/>
        </w:rPr>
        <w:t xml:space="preserve">Hughes segment </w:t>
      </w:r>
      <w:r>
        <w:rPr>
          <w:color w:val="000000"/>
        </w:rPr>
        <w:t xml:space="preserve">— </w:t>
      </w:r>
      <w:r>
        <w:rPr>
          <w:rFonts w:ascii="Arial;sans-serif" w:hAnsi="Arial;sans-serif"/>
          <w:b w:val="false"/>
          <w:color w:val="000000"/>
          <w:sz w:val="20"/>
        </w:rPr>
        <w:t>which provides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EchoStar Satellite Services segment (“ESS segment”)</w:t>
      </w:r>
      <w:r>
        <w:rPr>
          <w:color w:val="000000"/>
        </w:rPr>
        <w:t xml:space="preserve"> — </w:t>
      </w:r>
      <w:r>
        <w:rPr>
          <w:rFonts w:ascii="Arial;sans-serif" w:hAnsi="Arial;sans-serif"/>
          <w:b w:val="false"/>
          <w:color w:val="000000"/>
          <w:sz w:val="20"/>
        </w:rPr>
        <w:t>which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make continuous use of our available satellite capacity on behalf of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without diminishing its capacity.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operations include various corporate functions (primarily Executive, Treasury, Strategic Development, Human Resources, Information Technology, Finance, Accounting, Real Estate and Legal) and other activities. Operating expenses include costs incurred in certain satellite development programs and other business development activities, and other income or expenses includes gains or losses from certain of our investments, that have not been assigned to our business segments. These activities, costs and income, as well as eliminations of intersegment transactions, are accounted for in Corporate and Other. We also divide our operations by primary geographic market as follows: (i) North America (the U.S. and its territories, Mexico, and Canada); (ii) South and Central America and (iii) Other (Asia, Africa, Australia, Europe, India, and the Middle East). Refer to </w:t>
      </w:r>
      <w:r>
        <w:rPr>
          <w:rFonts w:ascii="Arial;sans-serif" w:hAnsi="Arial;sans-serif"/>
          <w:b w:val="false"/>
          <w:i/>
          <w:color w:val="000000"/>
          <w:sz w:val="20"/>
        </w:rPr>
        <w:t>Note 14. Segment Reporting</w:t>
      </w:r>
      <w:r>
        <w:rPr>
          <w:color w:val="000000"/>
        </w:rPr>
        <w:t xml:space="preserve"> </w:t>
      </w:r>
      <w:r>
        <w:rPr>
          <w:rFonts w:ascii="Arial;sans-serif" w:hAnsi="Arial;sans-serif"/>
          <w:b w:val="false"/>
          <w:color w:val="000000"/>
          <w:sz w:val="20"/>
        </w:rPr>
        <w:t xml:space="preserve">for further details.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August 8, 2023, the Company entered into an Agreement and Plan of Merger (“the Original Merger Agreement”) with DISH Network Corporation, a Nevada corporation (“DISH”), and Eagle Sub Corp (“Eagle Sub”), a Nevada corporation and a wholly owned subsidiary of DISH. The Original Merger Agreement provided, among other things, that subject to the satisfaction or waiver of the conditions set forth in the agreement, Eagle Sub would merge with and into EchoStar, with EchoStar surviving as a wholly owned subsidiary of DISH.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val="false"/>
          <w:color w:val="000000"/>
          <w:sz w:val="20"/>
        </w:rPr>
        <w:t xml:space="preserve">On October 2, 2023, the Company entered into an Amended and Restated Agreement and Plan of Merger (the “Amended Merger Agreement”) with DISH and EAV Corp., a Nevada corporation and a wholly owned subsidiary of EchoStar (“Merger Sub”). The Amended Merger Agreement revises the structure of the merger of DISH and EchoStar contemplated by the Original Merger Agreement. The Amended Merger Agreement provides, among other things, that subject to the satisfaction or waiver of the conditions set forth in the Amended Merger Agreement, Merger Sub will merge with and into DISH (the “Merger”), with DISH surviving the Merger as a wholly owned subsidiary of EchoStar. The expected proportional ownership of existing EchoStar stockholders and DISH stockholders in the combined company upon the consummation of the Merger remains the same as the expected proportional ownership contemplated by the Original Merger Agreement. Pursuant to the Amended Merger Agreement, at the effective time of the Merger, (the “Effective Time”), each share of DISH Class A Common Stock, par value $0.01 per share (“DISH Class A Common Stock”) and DISH Class C Common Stock, par value $0.01 per share (“DISH Class C Common Stock”), outstanding immediately prior to the Effective Time, will be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Class B Common Stock, par value $0.01 per share (“DISH Class B Common Stock”), outstanding immediately prior to the Effective Time will be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Class A Common Stock, DISH Class B Common Stock and DISH Class C Common Stock (collectively, “DISH Common Stock”) that are held in DISH’s treasury or held directly by EchoStar or Merger Sub immediately prior to the Effective Time will be cancelled and cease to exist and no consideration shall be paid or payable in respect thereof. Refer to </w:t>
      </w:r>
      <w:r>
        <w:rPr>
          <w:rFonts w:ascii="Arial;sans-serif" w:hAnsi="Arial;sans-serif"/>
          <w:b w:val="false"/>
          <w:i/>
          <w:color w:val="000000"/>
          <w:sz w:val="20"/>
        </w:rPr>
        <w:t>Note 16. Subsequent Event</w:t>
      </w:r>
      <w:r>
        <w:rPr>
          <w:rFonts w:ascii="Arial;sans-serif" w:hAnsi="Arial;sans-serif"/>
          <w:b w:val="false"/>
          <w:color w:val="000000"/>
          <w:sz w:val="20"/>
        </w:rPr>
        <w:t>s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unaudited Consolidated Financial Statements and the accompanying notes (collectively, the “Consolidated Financial Statements”) are prepared in conformity with U.S. generally accepted accounting principles (“GAAP”) and the instructions to Form 10-Q and Article 10 of Regulation S-X for interim financial information. Accordingly, they do not include all of the information and notes required for complete financial statements prepared in conformity with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amounts presented in these Consolidated Financial Statements are expressed in thousands of U.S. dollars, except share and per share amounts and unless otherwise noted.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w:t>
      </w:r>
      <w:r>
        <w:rPr>
          <w:rFonts w:ascii="Arial;sans-serif" w:hAnsi="Arial;sans-serif"/>
          <w:b w:val="false"/>
          <w:i/>
          <w:color w:val="000000"/>
          <w:sz w:val="20"/>
        </w:rPr>
        <w:t>Note 2. Summary of Significant Accounting Policies</w:t>
      </w:r>
      <w:r>
        <w:rPr>
          <w:color w:val="000000"/>
        </w:rPr>
        <w:t xml:space="preserve"> </w:t>
      </w:r>
      <w:r>
        <w:rPr>
          <w:rFonts w:ascii="Arial;sans-serif" w:hAnsi="Arial;sans-serif"/>
          <w:b w:val="false"/>
          <w:color w:val="000000"/>
          <w:sz w:val="20"/>
        </w:rPr>
        <w:t>to the Consolidated Financial Statements in our Form 10-K for a summary and discussion of our significant accounting policies, except as updated below.</w: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60" w:after="283"/>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and relative standalone selling prices of performance obligations; (ii) allowances for doubtful accounts, and estimated credit losses on investments; (iii) deferred taxes and related valuation allowances, including uncertain tax positions; (iv) loss contingencies; (v) fair value of financial instruments; (vi) fair value of assets and liabilities acquired in business combinations; and (vii) estimates of future cash flows used to evaluate and recognize impairments.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 </w:t>
      </w:r>
    </w:p>
    <w:p>
      <w:pPr>
        <w:pStyle w:val="TextBody"/>
        <w:bidi w:val="0"/>
        <w:spacing w:before="0" w:after="0"/>
        <w:jc w:val="both"/>
        <w:rPr/>
      </w:pPr>
      <w:r>
        <w:rPr/>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On January 1, 2023, we adopted Accounting Standards Update (“ASU”) No. 2021-08 - </w:t>
      </w:r>
      <w:r>
        <w:rPr>
          <w:rFonts w:ascii="Arial;sans-serif" w:hAnsi="Arial;sans-serif"/>
          <w:b w:val="false"/>
          <w:i/>
          <w:color w:val="000000"/>
          <w:sz w:val="20"/>
        </w:rPr>
        <w:t>Business Combinations (Topic 805): Accounting for Contract Assets and Contract Liabilities from Contracts with Customers</w:t>
      </w:r>
      <w:r>
        <w:rPr>
          <w:rFonts w:ascii="Arial;sans-serif" w:hAnsi="Arial;sans-serif"/>
          <w:b w:val="false"/>
          <w:color w:val="000000"/>
          <w:sz w:val="20"/>
        </w:rPr>
        <w:t xml:space="preserve">,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applied to business combinations occurring on or after the adoption date. </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Government Assistance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January 1, 2022, we adopted ASU No. 2021-10 -</w:t>
      </w:r>
      <w:r>
        <w:rPr>
          <w:color w:val="000000"/>
        </w:rPr>
        <w:t xml:space="preserve"> </w:t>
      </w:r>
      <w:r>
        <w:rPr>
          <w:rFonts w:ascii="Arial;sans-serif" w:hAnsi="Arial;sans-serif"/>
          <w:b w:val="false"/>
          <w:i/>
          <w:color w:val="000000"/>
          <w:sz w:val="20"/>
        </w:rPr>
        <w:t>Government Assistance (Topic 832)</w:t>
      </w:r>
      <w:r>
        <w:rPr>
          <w:rFonts w:ascii="Arial;sans-serif" w:hAnsi="Arial;sans-serif"/>
          <w:b w:val="false"/>
          <w:color w:val="000000"/>
          <w:sz w:val="20"/>
        </w:rPr>
        <w:t>: Disclosures by Business Entities about Government Assistance, which requires business entities (except for not-for-profit entities and employee benefit plans) to disclose information about certain government assistance they receive. The Company is currently participa</w:t>
      </w:r>
      <w:r>
        <w:rPr>
          <w:rFonts w:ascii="Arial;sans-serif" w:hAnsi="Arial;sans-serif"/>
          <w:b w:val="false"/>
          <w:color w:val="000000"/>
          <w:sz w:val="20"/>
          <w:shd w:fill="FFFFFF" w:val="clear"/>
        </w:rPr>
        <w:t xml:space="preserve">ting in three government programs: New York-Connect America Fund, New York Broadband, and Affordable Connectivity Plan. The purpose of these programs is to provide internet and connectivity services to qualifying households in the United States. The Company is entitled to reimbursement from the government for services provided. </w:t>
      </w:r>
      <w:r>
        <w:rPr>
          <w:rFonts w:ascii="Arial;sans-serif" w:hAnsi="Arial;sans-serif"/>
          <w:b w:val="false"/>
          <w:color w:val="000000"/>
          <w:sz w:val="20"/>
        </w:rPr>
        <w:t>We record gross monies received from government entities in Services and other revenue, and associated expenses such as salaries and supplies are recorded in Cost of sales - services and other, Research and development or Selling, general and administrative expenses, depending on the nature of e</w:t>
      </w:r>
      <w:r>
        <w:rPr>
          <w:rFonts w:ascii="Arial;sans-serif" w:hAnsi="Arial;sans-serif"/>
          <w:b w:val="false"/>
          <w:color w:val="000000"/>
          <w:sz w:val="20"/>
          <w:shd w:fill="FFFFFF" w:val="clear"/>
        </w:rPr>
        <w:t xml:space="preserve">xpenditure. We accrue for reimbursement requests submitted to government entities in Trade accounts receivable and contract assets, </w:t>
      </w:r>
      <w:r>
        <w:rPr>
          <w:rFonts w:ascii="Arial;sans-serif" w:hAnsi="Arial;sans-serif"/>
          <w:b w:val="false"/>
          <w:color w:val="000000"/>
          <w:sz w:val="20"/>
        </w:rPr>
        <w:t>net. During the three and nine months ended September 30, 2023, the Company recognized $4.6 million and $12.7 million in Services and other revenue, respectively. As of September 30, 2023, we have trade accounts receivable of $2.8 million rel</w:t>
      </w:r>
      <w:r>
        <w:rPr>
          <w:rFonts w:ascii="Arial;sans-serif" w:hAnsi="Arial;sans-serif"/>
          <w:b w:val="false"/>
          <w:color w:val="000000"/>
          <w:sz w:val="20"/>
          <w:shd w:fill="FFFFFF" w:val="clear"/>
        </w:rPr>
        <w:t xml:space="preserve">ated to our government programs.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Business Combinations - Joint Venture Formations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August 2023, the FASB issued ASU No. 2023-05 - </w:t>
      </w:r>
      <w:r>
        <w:rPr>
          <w:rFonts w:ascii="Arial;sans-serif" w:hAnsi="Arial;sans-serif"/>
          <w:b w:val="false"/>
          <w:i/>
          <w:color w:val="000000"/>
          <w:sz w:val="20"/>
        </w:rPr>
        <w:t xml:space="preserve">Business Combinations—Joint Venture Formations </w:t>
      </w:r>
      <w:r>
        <w:rPr>
          <w:rFonts w:ascii="Arial;sans-serif" w:hAnsi="Arial;sans-serif"/>
          <w:b w:val="false"/>
          <w:color w:val="000000"/>
          <w:sz w:val="20"/>
        </w:rPr>
        <w:t xml:space="preserve">to reduce diversity in practice and provide decision-useful information to a joint venture’s investors. The ASU requires that a joint venture apply a new basis of accounting upon formation. Specifically, the newly formed joint venture will be required to recognize and initially measure its assets and liabilities at fair value (with exceptions to fair value measurement that are consistent with the business combinations guidance). The amendments in this ASU do not amend the definition of a joint venture, the accounting by an equity method investor for its investment in a joint venture, or the accounting by a joint venture for contributions received after its formation. The guidance in this ASU is effective prospectively for all joint ventures with a formation date on or after January 1, 2025. Early adoption is permitted in any interim or annual period in which financial statements have not yet been issued (or made available for issuance), either prospectively or retrospectively. This ASU is applied prospectively to all newly formed joint ventures on or after the adoption date.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Leases - Common Control Arrangements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 March 2023, the FASB issued ASU No. 2023-01 - </w:t>
      </w:r>
      <w:r>
        <w:rPr>
          <w:rFonts w:ascii="Arial;sans-serif" w:hAnsi="Arial;sans-serif"/>
          <w:b w:val="false"/>
          <w:i/>
          <w:color w:val="000000"/>
          <w:sz w:val="20"/>
        </w:rPr>
        <w:t>Leases (Topic 842): Common Control Arrangements</w:t>
      </w:r>
      <w:r>
        <w:rPr>
          <w:rFonts w:ascii="Arial;sans-serif" w:hAnsi="Arial;sans-serif"/>
          <w:b w:val="false"/>
          <w:color w:val="000000"/>
          <w:sz w:val="20"/>
        </w:rPr>
        <w:t>. Among other things, this ASU requires all lessees to amortize leasehold improvements associated with common control leases over their useful life to the common control group and account for them as a transfer of assets between entities under common control at the end of the lease. Additional disclosures are required when the useful life of leasehold improvements to the common control group exceeds the related lease term. The guidance is effective for fiscal years beginning after December 15, 2023, including interim periods within those fiscal years. Early adoption is permitted. We plan to adopt this new guidance prospectively to all new leasehold improvements recognized on or after the adoption date and we do not expect it to have a material impact on our Consolidated Financial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Reference Rate Reform</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 March 2020, the FASB issued ASU No. 2020-04 - </w:t>
      </w:r>
      <w:r>
        <w:rPr>
          <w:rFonts w:ascii="Arial;sans-serif" w:hAnsi="Arial;sans-serif"/>
          <w:b w:val="false"/>
          <w:i/>
          <w:color w:val="000000"/>
          <w:sz w:val="20"/>
        </w:rPr>
        <w:t>Reference Rate Reform (Topic 848)</w:t>
      </w:r>
      <w:r>
        <w:rPr>
          <w:rFonts w:ascii="Arial;sans-serif" w:hAnsi="Arial;sans-serif"/>
          <w:b w:val="false"/>
          <w:color w:val="000000"/>
          <w:sz w:val="20"/>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REVENUE RECOGNITION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contract balances: </w:t>
      </w:r>
    </w:p>
    <w:tbl>
      <w:tblPr>
        <w:tblW w:w="9488" w:type="dxa"/>
        <w:jc w:val="center"/>
        <w:tblInd w:w="0" w:type="dxa"/>
        <w:tblLayout w:type="fixed"/>
        <w:tblCellMar>
          <w:top w:w="28" w:type="dxa"/>
          <w:left w:w="28" w:type="dxa"/>
          <w:bottom w:w="28" w:type="dxa"/>
          <w:right w:w="28" w:type="dxa"/>
        </w:tblCellMar>
      </w:tblPr>
      <w:tblGrid>
        <w:gridCol w:w="1820"/>
        <w:gridCol w:w="1598"/>
        <w:gridCol w:w="1607"/>
        <w:gridCol w:w="109"/>
        <w:gridCol w:w="109"/>
        <w:gridCol w:w="109"/>
        <w:gridCol w:w="344"/>
        <w:gridCol w:w="1398"/>
        <w:gridCol w:w="178"/>
        <w:gridCol w:w="109"/>
        <w:gridCol w:w="109"/>
        <w:gridCol w:w="109"/>
        <w:gridCol w:w="326"/>
        <w:gridCol w:w="1325"/>
        <w:gridCol w:w="238"/>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170,466 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175,312 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178,402 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236,479 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129,287 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130,065 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revenue recognized in the Consolidated Statements of Operations that was previously included within contract liabilities: </w:t>
      </w:r>
    </w:p>
    <w:tbl>
      <w:tblPr>
        <w:tblW w:w="9678"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381"/>
        <w:gridCol w:w="1167"/>
        <w:gridCol w:w="196"/>
        <w:gridCol w:w="196"/>
        <w:gridCol w:w="196"/>
        <w:gridCol w:w="196"/>
        <w:gridCol w:w="381"/>
        <w:gridCol w:w="1167"/>
        <w:gridCol w:w="196"/>
        <w:gridCol w:w="109"/>
        <w:gridCol w:w="109"/>
        <w:gridCol w:w="109"/>
        <w:gridCol w:w="327"/>
        <w:gridCol w:w="1165"/>
        <w:gridCol w:w="169"/>
        <w:gridCol w:w="169"/>
        <w:gridCol w:w="169"/>
        <w:gridCol w:w="169"/>
        <w:gridCol w:w="327"/>
        <w:gridCol w:w="1328"/>
        <w:gridCol w:w="23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80,157 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115,974 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Acquisition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activity in our contract acquisition costs, net: </w:t>
      </w:r>
    </w:p>
    <w:tbl>
      <w:tblPr>
        <w:tblW w:w="7375" w:type="dxa"/>
        <w:jc w:val="left"/>
        <w:tblInd w:w="0" w:type="dxa"/>
        <w:tblLayout w:type="fixed"/>
        <w:tblCellMar>
          <w:top w:w="28" w:type="dxa"/>
          <w:left w:w="28" w:type="dxa"/>
          <w:bottom w:w="28" w:type="dxa"/>
          <w:right w:w="28" w:type="dxa"/>
        </w:tblCellMar>
      </w:tblPr>
      <w:tblGrid>
        <w:gridCol w:w="1081"/>
        <w:gridCol w:w="949"/>
        <w:gridCol w:w="955"/>
        <w:gridCol w:w="109"/>
        <w:gridCol w:w="109"/>
        <w:gridCol w:w="109"/>
        <w:gridCol w:w="341"/>
        <w:gridCol w:w="1214"/>
        <w:gridCol w:w="176"/>
        <w:gridCol w:w="176"/>
        <w:gridCol w:w="176"/>
        <w:gridCol w:w="176"/>
        <w:gridCol w:w="341"/>
        <w:gridCol w:w="1214"/>
        <w:gridCol w:w="249"/>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45,172 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(57,822)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53,114 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70,492 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recognized amortization expenses related to contract acquisition costs of $14.6 million and $18.2 million for the three months ended September 30,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Performance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September 30, 2023, the remaining performance obligations for our customer contracts was approximately $1.2 billion. Performance obligations expected to be satisfied within one year and greater than one year are 29% and 71%, respectively. This amount and percentages exclude agreements with consumer customers in our Hughes segment, our leasing arrangements and agreements with certain customers under which collectability of all amounts due through the term of contracts is uncertain.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Disaggregation of Revenue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Geographic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Revenue is attributed to geographic markets based upon the billing location of the customer. The following tables present our revenue from customer contracts disaggregated by primary geographic market and by segment: </w:t>
      </w:r>
    </w:p>
    <w:tbl>
      <w:tblPr>
        <w:tblW w:w="10205" w:type="dxa"/>
        <w:jc w:val="left"/>
        <w:tblInd w:w="0" w:type="dxa"/>
        <w:tblLayout w:type="fixed"/>
        <w:tblCellMar>
          <w:top w:w="28" w:type="dxa"/>
          <w:left w:w="28" w:type="dxa"/>
          <w:bottom w:w="28" w:type="dxa"/>
          <w:right w:w="28" w:type="dxa"/>
        </w:tblCellMar>
      </w:tblPr>
      <w:tblGrid>
        <w:gridCol w:w="1220"/>
        <w:gridCol w:w="1071"/>
        <w:gridCol w:w="1077"/>
        <w:gridCol w:w="109"/>
        <w:gridCol w:w="109"/>
        <w:gridCol w:w="109"/>
        <w:gridCol w:w="211"/>
        <w:gridCol w:w="1021"/>
        <w:gridCol w:w="109"/>
        <w:gridCol w:w="109"/>
        <w:gridCol w:w="109"/>
        <w:gridCol w:w="109"/>
        <w:gridCol w:w="211"/>
        <w:gridCol w:w="751"/>
        <w:gridCol w:w="109"/>
        <w:gridCol w:w="109"/>
        <w:gridCol w:w="109"/>
        <w:gridCol w:w="109"/>
        <w:gridCol w:w="377"/>
        <w:gridCol w:w="1155"/>
        <w:gridCol w:w="196"/>
        <w:gridCol w:w="109"/>
        <w:gridCol w:w="109"/>
        <w:gridCol w:w="109"/>
        <w:gridCol w:w="211"/>
        <w:gridCol w:w="1021"/>
        <w:gridCol w:w="157"/>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br/>
              <w:t>Total</w:t>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413,074 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1,064,257 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1,305,780 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1,210,019 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1,498,237 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present our revenue disaggregated by the nature of products and services and by segment: </w:t>
      </w:r>
    </w:p>
    <w:tbl>
      <w:tblPr>
        <w:tblW w:w="10205" w:type="dxa"/>
        <w:jc w:val="left"/>
        <w:tblInd w:w="0" w:type="dxa"/>
        <w:tblLayout w:type="fixed"/>
        <w:tblCellMar>
          <w:top w:w="28" w:type="dxa"/>
          <w:left w:w="28" w:type="dxa"/>
          <w:bottom w:w="28" w:type="dxa"/>
          <w:right w:w="28" w:type="dxa"/>
        </w:tblCellMar>
      </w:tblPr>
      <w:tblGrid>
        <w:gridCol w:w="1380"/>
        <w:gridCol w:w="1206"/>
        <w:gridCol w:w="1213"/>
        <w:gridCol w:w="109"/>
        <w:gridCol w:w="109"/>
        <w:gridCol w:w="109"/>
        <w:gridCol w:w="211"/>
        <w:gridCol w:w="826"/>
        <w:gridCol w:w="109"/>
        <w:gridCol w:w="109"/>
        <w:gridCol w:w="109"/>
        <w:gridCol w:w="109"/>
        <w:gridCol w:w="211"/>
        <w:gridCol w:w="616"/>
        <w:gridCol w:w="109"/>
        <w:gridCol w:w="109"/>
        <w:gridCol w:w="109"/>
        <w:gridCol w:w="109"/>
        <w:gridCol w:w="391"/>
        <w:gridCol w:w="1143"/>
        <w:gridCol w:w="202"/>
        <w:gridCol w:w="109"/>
        <w:gridCol w:w="109"/>
        <w:gridCol w:w="109"/>
        <w:gridCol w:w="226"/>
        <w:gridCol w:w="884"/>
        <w:gridCol w:w="170"/>
      </w:tblGrid>
      <w:tr>
        <w:trPr/>
        <w:tc>
          <w:tcPr>
            <w:tcW w:w="138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413,074 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388,592 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401,382 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96,005 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497,387 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86"/>
        <w:gridCol w:w="1121"/>
        <w:gridCol w:w="1128"/>
        <w:gridCol w:w="109"/>
        <w:gridCol w:w="109"/>
        <w:gridCol w:w="109"/>
        <w:gridCol w:w="211"/>
        <w:gridCol w:w="976"/>
        <w:gridCol w:w="109"/>
        <w:gridCol w:w="109"/>
        <w:gridCol w:w="109"/>
        <w:gridCol w:w="109"/>
        <w:gridCol w:w="211"/>
        <w:gridCol w:w="721"/>
        <w:gridCol w:w="109"/>
        <w:gridCol w:w="109"/>
        <w:gridCol w:w="109"/>
        <w:gridCol w:w="109"/>
        <w:gridCol w:w="379"/>
        <w:gridCol w:w="1107"/>
        <w:gridCol w:w="196"/>
        <w:gridCol w:w="109"/>
        <w:gridCol w:w="109"/>
        <w:gridCol w:w="109"/>
        <w:gridCol w:w="211"/>
        <w:gridCol w:w="976"/>
        <w:gridCol w:w="156"/>
      </w:tblGrid>
      <w:tr>
        <w:trPr/>
        <w:tc>
          <w:tcPr>
            <w:tcW w:w="1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1,305,780 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1,234,890 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1,498,237 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Lease Revenue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lease revenue by type of lease: </w:t>
      </w:r>
    </w:p>
    <w:tbl>
      <w:tblPr>
        <w:tblW w:w="10205" w:type="dxa"/>
        <w:jc w:val="center"/>
        <w:tblInd w:w="0" w:type="dxa"/>
        <w:tblLayout w:type="fixed"/>
        <w:tblCellMar>
          <w:top w:w="28" w:type="dxa"/>
          <w:left w:w="28" w:type="dxa"/>
          <w:bottom w:w="28" w:type="dxa"/>
          <w:right w:w="28" w:type="dxa"/>
        </w:tblCellMar>
      </w:tblPr>
      <w:tblGrid>
        <w:gridCol w:w="1014"/>
        <w:gridCol w:w="756"/>
        <w:gridCol w:w="760"/>
        <w:gridCol w:w="109"/>
        <w:gridCol w:w="109"/>
        <w:gridCol w:w="109"/>
        <w:gridCol w:w="299"/>
        <w:gridCol w:w="1067"/>
        <w:gridCol w:w="154"/>
        <w:gridCol w:w="154"/>
        <w:gridCol w:w="154"/>
        <w:gridCol w:w="154"/>
        <w:gridCol w:w="299"/>
        <w:gridCol w:w="1067"/>
        <w:gridCol w:w="154"/>
        <w:gridCol w:w="109"/>
        <w:gridCol w:w="109"/>
        <w:gridCol w:w="109"/>
        <w:gridCol w:w="294"/>
        <w:gridCol w:w="1049"/>
        <w:gridCol w:w="152"/>
        <w:gridCol w:w="152"/>
        <w:gridCol w:w="152"/>
        <w:gridCol w:w="152"/>
        <w:gridCol w:w="294"/>
        <w:gridCol w:w="1049"/>
        <w:gridCol w:w="225"/>
      </w:tblGrid>
      <w:tr>
        <w:trPr/>
        <w:tc>
          <w:tcPr>
            <w:tcW w:w="10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at lease commencement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sales-type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37,637 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43,253 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MARKETABLE INVESTMENT SECURITIES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Marketable investment securities</w:t>
      </w:r>
      <w:r>
        <w:rPr>
          <w:rFonts w:ascii="Arial;sans-serif" w:hAnsi="Arial;sans-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2128"/>
        <w:gridCol w:w="1841"/>
        <w:gridCol w:w="1850"/>
        <w:gridCol w:w="109"/>
        <w:gridCol w:w="109"/>
        <w:gridCol w:w="109"/>
        <w:gridCol w:w="336"/>
        <w:gridCol w:w="1368"/>
        <w:gridCol w:w="174"/>
        <w:gridCol w:w="109"/>
        <w:gridCol w:w="109"/>
        <w:gridCol w:w="109"/>
        <w:gridCol w:w="319"/>
        <w:gridCol w:w="1299"/>
        <w:gridCol w:w="236"/>
      </w:tblGrid>
      <w:tr>
        <w:trPr/>
        <w:tc>
          <w:tcPr>
            <w:tcW w:w="2128"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760,157 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866,181 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 including restricted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902,747 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984,971 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894,744 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973,915 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Debt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Available-for-Sale</w:t>
      </w:r>
      <w:r>
        <w:rPr>
          <w:color w:val="000000"/>
        </w:rPr>
        <w: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available-for-sale debt securities: </w:t>
      </w:r>
    </w:p>
    <w:tbl>
      <w:tblPr>
        <w:tblW w:w="8951" w:type="dxa"/>
        <w:jc w:val="left"/>
        <w:tblInd w:w="0" w:type="dxa"/>
        <w:tblLayout w:type="fixed"/>
        <w:tblCellMar>
          <w:top w:w="28" w:type="dxa"/>
          <w:left w:w="28" w:type="dxa"/>
          <w:bottom w:w="28" w:type="dxa"/>
          <w:right w:w="28" w:type="dxa"/>
        </w:tblCellMar>
      </w:tblPr>
      <w:tblGrid>
        <w:gridCol w:w="1239"/>
        <w:gridCol w:w="1087"/>
        <w:gridCol w:w="1093"/>
        <w:gridCol w:w="109"/>
        <w:gridCol w:w="109"/>
        <w:gridCol w:w="109"/>
        <w:gridCol w:w="211"/>
        <w:gridCol w:w="856"/>
        <w:gridCol w:w="109"/>
        <w:gridCol w:w="109"/>
        <w:gridCol w:w="109"/>
        <w:gridCol w:w="109"/>
        <w:gridCol w:w="211"/>
        <w:gridCol w:w="646"/>
        <w:gridCol w:w="109"/>
        <w:gridCol w:w="109"/>
        <w:gridCol w:w="109"/>
        <w:gridCol w:w="109"/>
        <w:gridCol w:w="211"/>
        <w:gridCol w:w="541"/>
        <w:gridCol w:w="109"/>
        <w:gridCol w:w="109"/>
        <w:gridCol w:w="109"/>
        <w:gridCol w:w="109"/>
        <w:gridCol w:w="211"/>
        <w:gridCol w:w="85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Amortized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Estimated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on our available-for-sale debt securities:</w:t>
      </w:r>
    </w:p>
    <w:tbl>
      <w:tblPr>
        <w:tblW w:w="10205" w:type="dxa"/>
        <w:jc w:val="left"/>
        <w:tblInd w:w="0" w:type="dxa"/>
        <w:tblLayout w:type="fixed"/>
        <w:tblCellMar>
          <w:top w:w="28" w:type="dxa"/>
          <w:left w:w="28" w:type="dxa"/>
          <w:bottom w:w="28" w:type="dxa"/>
          <w:right w:w="28" w:type="dxa"/>
        </w:tblCellMar>
      </w:tblPr>
      <w:tblGrid>
        <w:gridCol w:w="653"/>
        <w:gridCol w:w="574"/>
        <w:gridCol w:w="578"/>
        <w:gridCol w:w="109"/>
        <w:gridCol w:w="109"/>
        <w:gridCol w:w="109"/>
        <w:gridCol w:w="382"/>
        <w:gridCol w:w="1361"/>
        <w:gridCol w:w="197"/>
        <w:gridCol w:w="197"/>
        <w:gridCol w:w="197"/>
        <w:gridCol w:w="197"/>
        <w:gridCol w:w="382"/>
        <w:gridCol w:w="736"/>
        <w:gridCol w:w="197"/>
        <w:gridCol w:w="109"/>
        <w:gridCol w:w="109"/>
        <w:gridCol w:w="109"/>
        <w:gridCol w:w="313"/>
        <w:gridCol w:w="1273"/>
        <w:gridCol w:w="162"/>
        <w:gridCol w:w="162"/>
        <w:gridCol w:w="162"/>
        <w:gridCol w:w="162"/>
        <w:gridCol w:w="313"/>
        <w:gridCol w:w="1116"/>
        <w:gridCol w:w="237"/>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209,063 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37,904 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September 30, 2023, we have $752.4 million of available-for-sale debt securities with contractual maturities of one year or less and $7.8 million with contractual maturities greater than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of our equity securities:</w:t>
      </w:r>
    </w:p>
    <w:tbl>
      <w:tblPr>
        <w:tblW w:w="10205" w:type="dxa"/>
        <w:jc w:val="left"/>
        <w:tblInd w:w="0" w:type="dxa"/>
        <w:tblLayout w:type="fixed"/>
        <w:tblCellMar>
          <w:top w:w="28" w:type="dxa"/>
          <w:left w:w="28" w:type="dxa"/>
          <w:bottom w:w="28" w:type="dxa"/>
          <w:right w:w="28" w:type="dxa"/>
        </w:tblCellMar>
      </w:tblPr>
      <w:tblGrid>
        <w:gridCol w:w="974"/>
        <w:gridCol w:w="768"/>
        <w:gridCol w:w="773"/>
        <w:gridCol w:w="109"/>
        <w:gridCol w:w="109"/>
        <w:gridCol w:w="109"/>
        <w:gridCol w:w="301"/>
        <w:gridCol w:w="1075"/>
        <w:gridCol w:w="155"/>
        <w:gridCol w:w="155"/>
        <w:gridCol w:w="155"/>
        <w:gridCol w:w="155"/>
        <w:gridCol w:w="301"/>
        <w:gridCol w:w="1075"/>
        <w:gridCol w:w="155"/>
        <w:gridCol w:w="109"/>
        <w:gridCol w:w="109"/>
        <w:gridCol w:w="109"/>
        <w:gridCol w:w="306"/>
        <w:gridCol w:w="939"/>
        <w:gridCol w:w="157"/>
        <w:gridCol w:w="157"/>
        <w:gridCol w:w="157"/>
        <w:gridCol w:w="157"/>
        <w:gridCol w:w="306"/>
        <w:gridCol w:w="1092"/>
        <w:gridCol w:w="238"/>
      </w:tblGrid>
      <w:tr>
        <w:trPr/>
        <w:tc>
          <w:tcPr>
            <w:tcW w:w="9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13,637 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26,536 </w:t>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Fair Value Measurements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marketable investment securities categorized by the fair value hierarchy, certain of which have historically experienced volatility: </w:t>
      </w:r>
    </w:p>
    <w:tbl>
      <w:tblPr>
        <w:tblW w:w="10205" w:type="dxa"/>
        <w:jc w:val="left"/>
        <w:tblInd w:w="0" w:type="dxa"/>
        <w:tblLayout w:type="fixed"/>
        <w:tblCellMar>
          <w:top w:w="28" w:type="dxa"/>
          <w:left w:w="28" w:type="dxa"/>
          <w:bottom w:w="28" w:type="dxa"/>
          <w:right w:w="28" w:type="dxa"/>
        </w:tblCellMar>
      </w:tblPr>
      <w:tblGrid>
        <w:gridCol w:w="2084"/>
        <w:gridCol w:w="1778"/>
        <w:gridCol w:w="1788"/>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2084"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760,157 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 including restricted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902,747 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894,744 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 including restricted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984,971 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September 30, 2023 and December 31, 2022, we did not have any investments that were categorized within Level 3 of the fair value hierarchy.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PROPERTY AND EQUIPMENT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Property and equipment, net</w:t>
      </w:r>
      <w:r>
        <w:rPr>
          <w:rFonts w:ascii="Arial;sans-serif" w:hAnsi="Arial;sans-serif"/>
          <w:b w:val="false"/>
          <w:color w:val="000000"/>
          <w:sz w:val="20"/>
        </w:rPr>
        <w:t>:</w:t>
      </w:r>
    </w:p>
    <w:tbl>
      <w:tblPr>
        <w:tblW w:w="7554" w:type="dxa"/>
        <w:jc w:val="center"/>
        <w:tblInd w:w="0" w:type="dxa"/>
        <w:tblLayout w:type="fixed"/>
        <w:tblCellMar>
          <w:top w:w="28" w:type="dxa"/>
          <w:left w:w="28" w:type="dxa"/>
          <w:bottom w:w="28" w:type="dxa"/>
          <w:right w:w="28" w:type="dxa"/>
        </w:tblCellMar>
      </w:tblPr>
      <w:tblGrid>
        <w:gridCol w:w="1119"/>
        <w:gridCol w:w="984"/>
        <w:gridCol w:w="987"/>
        <w:gridCol w:w="109"/>
        <w:gridCol w:w="109"/>
        <w:gridCol w:w="109"/>
        <w:gridCol w:w="302"/>
        <w:gridCol w:w="1462"/>
        <w:gridCol w:w="156"/>
        <w:gridCol w:w="109"/>
        <w:gridCol w:w="109"/>
        <w:gridCol w:w="109"/>
        <w:gridCol w:w="287"/>
        <w:gridCol w:w="1393"/>
        <w:gridCol w:w="210"/>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1,563,033 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674,584 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2,144,707 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2,237,617 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 xml:space="preserve">Satellites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our satellite fleet consisted of ten satellites, seven of which are owned and three of which are leased. They are all in geosynchronous (“GEO”) orbit, approximately 22,300 miles above the equator.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GEO satellite fleet in service as of September 30, 2023:</w:t>
      </w:r>
    </w:p>
    <w:tbl>
      <w:tblPr>
        <w:tblW w:w="10205" w:type="dxa"/>
        <w:jc w:val="left"/>
        <w:tblInd w:w="0" w:type="dxa"/>
        <w:tblLayout w:type="fixed"/>
        <w:tblCellMar>
          <w:top w:w="28" w:type="dxa"/>
          <w:left w:w="28" w:type="dxa"/>
          <w:bottom w:w="28" w:type="dxa"/>
          <w:right w:w="28" w:type="dxa"/>
        </w:tblCellMar>
      </w:tblPr>
      <w:tblGrid>
        <w:gridCol w:w="661"/>
        <w:gridCol w:w="581"/>
        <w:gridCol w:w="514"/>
        <w:gridCol w:w="109"/>
        <w:gridCol w:w="109"/>
        <w:gridCol w:w="109"/>
        <w:gridCol w:w="438"/>
        <w:gridCol w:w="438"/>
        <w:gridCol w:w="444"/>
        <w:gridCol w:w="109"/>
        <w:gridCol w:w="109"/>
        <w:gridCol w:w="109"/>
        <w:gridCol w:w="447"/>
        <w:gridCol w:w="447"/>
        <w:gridCol w:w="415"/>
        <w:gridCol w:w="109"/>
        <w:gridCol w:w="109"/>
        <w:gridCol w:w="109"/>
        <w:gridCol w:w="900"/>
        <w:gridCol w:w="900"/>
        <w:gridCol w:w="902"/>
        <w:gridCol w:w="109"/>
        <w:gridCol w:w="109"/>
        <w:gridCol w:w="109"/>
        <w:gridCol w:w="527"/>
        <w:gridCol w:w="527"/>
        <w:gridCol w:w="756"/>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GEO Satellite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Launch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Nominal Degree Orbital Location (Longitude)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Depreciable Life (In Years)</w:t>
            </w:r>
          </w:p>
        </w:tc>
      </w:tr>
      <w:tr>
        <w:trPr/>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SPACEWAY 3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Al Yah 3 (“AY3”)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EchoStar IX </w:t>
            </w:r>
            <w:r>
              <w:rPr>
                <w:rFonts w:ascii="Arial;sans-serif" w:hAnsi="Arial;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EUTELSAT 10A (“W2A”) </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10.25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Eutelsat 65 West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Telesat T19V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105/SES-11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October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(1) Depreciable life represents the remaining useful life as of June 8, 2011, the date EchoStar completed the acquisition of Hughes Communications, Inc. (“Hughes Communications”) and its subsidiaries in 2011 (the “Hughes Acquisition”). The satellite is expected to de-orbit in the fourth quarter of 2023. </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(2) Upon consummation of our joint venture with Al Yah Satellite Communications Company PrJSC (“Yahsat”) in Brazil in November 2019, we acquired the Brazilian Ka-band payload on this satellite with a remaining useful life of 7 years as of that time. In the second quarter of 2023 we reduced the estimated useful life of the satellite as a result of certain technical anomalies. In order to safeguard the future operability of the satellite, the Company has, in conjunction with recommendations from the satellite manufacturer, implemented immediate and long-term remedial actions. A revised estimate of the satellite’s remaining lifetime has been calculated using operational data of the first two quarters. The Company has updated the remaining useful life of AY3 and related ground assets prospectively from April 1, 2023, to reflect the change in estimate. This has increased the depreciation expense for the current nine-month period by $7.4 million. The increase is expected to be $11.1 million for the full year 2023 and $12.8 million for the year 2024, respectively. Although the anomalies are expected to shorten the remaining useful life of the satellite, they have not affected its current operation.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(3) We own the Ka-band and Ku-band payloads on this satellite.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 The Company placed the satellite in an inclined-orbit in the first quarter of 2023. Inclined-orbit will extend its life to enable further revenue generating opportunities.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(5) We acquired the S-band payload on this satellite in December 2013. Prior to acquisition, the S-band payload experienced an anomaly at the time of launch and, as a result, was not fully operational. The satellite was de-orbited in the fourth quarter of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satellites, net: </w:t>
      </w:r>
    </w:p>
    <w:tbl>
      <w:tblPr>
        <w:tblW w:w="10205" w:type="dxa"/>
        <w:jc w:val="center"/>
        <w:tblInd w:w="0" w:type="dxa"/>
        <w:tblLayout w:type="fixed"/>
        <w:tblCellMar>
          <w:top w:w="28" w:type="dxa"/>
          <w:left w:w="28" w:type="dxa"/>
          <w:bottom w:w="28" w:type="dxa"/>
          <w:right w:w="28" w:type="dxa"/>
        </w:tblCellMar>
      </w:tblPr>
      <w:tblGrid>
        <w:gridCol w:w="1222"/>
        <w:gridCol w:w="1032"/>
        <w:gridCol w:w="1034"/>
        <w:gridCol w:w="109"/>
        <w:gridCol w:w="109"/>
        <w:gridCol w:w="109"/>
        <w:gridCol w:w="770"/>
        <w:gridCol w:w="770"/>
        <w:gridCol w:w="772"/>
        <w:gridCol w:w="109"/>
        <w:gridCol w:w="109"/>
        <w:gridCol w:w="109"/>
        <w:gridCol w:w="286"/>
        <w:gridCol w:w="1384"/>
        <w:gridCol w:w="147"/>
        <w:gridCol w:w="109"/>
        <w:gridCol w:w="109"/>
        <w:gridCol w:w="109"/>
        <w:gridCol w:w="273"/>
        <w:gridCol w:w="1327"/>
        <w:gridCol w:w="207"/>
      </w:tblGrid>
      <w:tr>
        <w:trPr/>
        <w:tc>
          <w:tcPr>
            <w:tcW w:w="122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Satellites,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to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1,805,408 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1,808,924 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364,820 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360,642 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646,284 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608,773 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2,816,512 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2,778,339 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(1,167,853)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(1,093,412)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(1,309,674)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(1,215,306)</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1,506,838 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1,563,033 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following table presents the depreciation expense associated with our satellites, net: </w:t>
      </w:r>
    </w:p>
    <w:tbl>
      <w:tblPr>
        <w:tblW w:w="10205" w:type="dxa"/>
        <w:jc w:val="left"/>
        <w:tblInd w:w="0" w:type="dxa"/>
        <w:tblLayout w:type="fixed"/>
        <w:tblCellMar>
          <w:top w:w="28" w:type="dxa"/>
          <w:left w:w="28" w:type="dxa"/>
          <w:bottom w:w="28" w:type="dxa"/>
          <w:right w:w="28" w:type="dxa"/>
        </w:tblCellMar>
      </w:tblPr>
      <w:tblGrid>
        <w:gridCol w:w="982"/>
        <w:gridCol w:w="862"/>
        <w:gridCol w:w="865"/>
        <w:gridCol w:w="109"/>
        <w:gridCol w:w="109"/>
        <w:gridCol w:w="109"/>
        <w:gridCol w:w="291"/>
        <w:gridCol w:w="1039"/>
        <w:gridCol w:w="150"/>
        <w:gridCol w:w="150"/>
        <w:gridCol w:w="150"/>
        <w:gridCol w:w="150"/>
        <w:gridCol w:w="291"/>
        <w:gridCol w:w="1039"/>
        <w:gridCol w:w="150"/>
        <w:gridCol w:w="109"/>
        <w:gridCol w:w="109"/>
        <w:gridCol w:w="109"/>
        <w:gridCol w:w="287"/>
        <w:gridCol w:w="1023"/>
        <w:gridCol w:w="148"/>
        <w:gridCol w:w="148"/>
        <w:gridCol w:w="148"/>
        <w:gridCol w:w="148"/>
        <w:gridCol w:w="287"/>
        <w:gridCol w:w="1023"/>
        <w:gridCol w:w="220"/>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30,179 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94,009 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90,781 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capitalized interest associated with our satellites and satellite-related ground infrastructure:</w:t>
      </w:r>
    </w:p>
    <w:tbl>
      <w:tblPr>
        <w:tblW w:w="10205" w:type="dxa"/>
        <w:jc w:val="left"/>
        <w:tblInd w:w="0" w:type="dxa"/>
        <w:tblLayout w:type="fixed"/>
        <w:tblCellMar>
          <w:top w:w="28" w:type="dxa"/>
          <w:left w:w="28" w:type="dxa"/>
          <w:bottom w:w="28" w:type="dxa"/>
          <w:right w:w="28" w:type="dxa"/>
        </w:tblCellMar>
      </w:tblPr>
      <w:tblGrid>
        <w:gridCol w:w="621"/>
        <w:gridCol w:w="546"/>
        <w:gridCol w:w="549"/>
        <w:gridCol w:w="109"/>
        <w:gridCol w:w="109"/>
        <w:gridCol w:w="109"/>
        <w:gridCol w:w="334"/>
        <w:gridCol w:w="1193"/>
        <w:gridCol w:w="173"/>
        <w:gridCol w:w="173"/>
        <w:gridCol w:w="173"/>
        <w:gridCol w:w="173"/>
        <w:gridCol w:w="334"/>
        <w:gridCol w:w="1193"/>
        <w:gridCol w:w="173"/>
        <w:gridCol w:w="109"/>
        <w:gridCol w:w="109"/>
        <w:gridCol w:w="109"/>
        <w:gridCol w:w="328"/>
        <w:gridCol w:w="1169"/>
        <w:gridCol w:w="169"/>
        <w:gridCol w:w="169"/>
        <w:gridCol w:w="169"/>
        <w:gridCol w:w="169"/>
        <w:gridCol w:w="328"/>
        <w:gridCol w:w="1169"/>
        <w:gridCol w:w="246"/>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Construction in Progress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2017, we entered into a contract for the design and construction of the EchoStar XXIV satellite, a next-generation, high throughput geostationary satellite. Once in service, the satellite is expected to bring further consumer broadband capacity across North and South America and generate additional sales in other markets, including in-flight Wi-Fi, enterprise networking and cellular backhaul for mobile network operators across the two continents. Capital expenditures associated with the construction and launch of the EchoStar XXIV satellite are included in Corporate and Other. The satellite was launched in July 2023 and reached its orbital position at 95.2W in September 2023. The satellite is currently under testing and is expected to begin service in December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Satellite-Related Commitments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and December 31, 2022, our satellite-related commitments were $144.2 million and $169.3 million, respectively. These include payments pursuant to regulatory authorizations, non-lease costs associated with our finance lease satellites, in-orbit incentives relating to certain satellites, and commitments for satellite service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certain circumstances, the dates on which we are obligated to pay our contractual obligations could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Anomalies and Impairments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2023, we lost contact with our third nano-satellite (“EG-3”), which was launched in the second quarter of 2021 and brought into use our Sirion-1 ITU filing in the third quarter of 2021. As of the end of the first quarter of 2023, we have discontinued attempts to reestablish contact with EG-3, and have notified the ITU to suspend the filing. Consequently, we canceled our contract with the vendor who manufactured and operated our nano-satellites and recorded an impairment charge of $3.1 million related to EG-3 and other related assets in the first quarter of 2023 in Corporate and Other.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second quarter of 2023, we reduced the estimated useful life of the Al Yah 3 satellite, which serves our Brazilian customers, as a result of certain technical anomalies. In order to safeguard the future operability of the satellite, the Company has, in accordance with recommendations from the satellite manufacturer, implemented immediate and long-term remedial actions. A revised estimate of the satellite’s remaining lifetime has been calculated using operational data of two previous quarters. Although the anomalies are expected to shorten the remaining useful life of the satellite, they have not affected its current operation.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Except as described above, 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Insurance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generally do not carry in-orbit insurance on our satellites or payloads because we have assessed that the cost of insurance is not economical relative to the risk of failures. Therefore, we generally bear the risk of any in-orbit failures.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Pursuant to the terms of our joint venture agreement with Yahsat, we are required to maintain insurance for the Al Yah 3 Brazilian payload during the commercial in-orbit service of such payload, subject to certain limitations on coverage. The insurance policies were procured by Yahsat, under which the Company and Yahsat are the beneficiaries of any claims in proportion to their shareholdings. An insurance claim was submitted in the second quarter of 2023 for compensation with respect to the reduction in estimated useful life of the Al Yah 3 satellite.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We also have obtained certain insurance for our EchoStar XXIV satellite covering launch plus the first year of operations.</w:t>
      </w:r>
      <w:r>
        <w:rPr>
          <w:color w:val="000000"/>
        </w:rPr>
        <w:t xml:space="preserve"> </w:t>
      </w:r>
      <w:r>
        <w:rPr>
          <w:rFonts w:ascii="Arial;sans-serif" w:hAnsi="Arial;sans-serif"/>
          <w:b w:val="false"/>
          <w:color w:val="000000"/>
          <w:sz w:val="20"/>
        </w:rPr>
        <w:t xml:space="preserve">We will continue to assess circumstances going forward and make insurance-related decisions on a case-by-case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In-Orbit Incentives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and December 31, 2022, the fair values of our in-orbit incentive obligations approximated their carrying amounts of $47.1 million and $50.2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NOTE 6. REGULATORY AUTHORIZATIONS</w:t>
      </w:r>
    </w:p>
    <w:p>
      <w:pPr>
        <w:pStyle w:val="TextBody"/>
        <w:bidi w:val="0"/>
        <w:spacing w:lineRule="auto" w:line="417" w:before="0" w:after="140"/>
        <w:jc w:val="left"/>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Regulatory authorizations, net:</w:t>
      </w:r>
    </w:p>
    <w:tbl>
      <w:tblPr>
        <w:tblW w:w="10205" w:type="dxa"/>
        <w:jc w:val="center"/>
        <w:tblInd w:w="0" w:type="dxa"/>
        <w:tblLayout w:type="fixed"/>
        <w:tblCellMar>
          <w:top w:w="28" w:type="dxa"/>
          <w:left w:w="28" w:type="dxa"/>
          <w:bottom w:w="28" w:type="dxa"/>
          <w:right w:w="28" w:type="dxa"/>
        </w:tblCellMar>
      </w:tblPr>
      <w:tblGrid>
        <w:gridCol w:w="851"/>
        <w:gridCol w:w="611"/>
        <w:gridCol w:w="615"/>
        <w:gridCol w:w="109"/>
        <w:gridCol w:w="109"/>
        <w:gridCol w:w="109"/>
        <w:gridCol w:w="211"/>
        <w:gridCol w:w="751"/>
        <w:gridCol w:w="109"/>
        <w:gridCol w:w="109"/>
        <w:gridCol w:w="109"/>
        <w:gridCol w:w="109"/>
        <w:gridCol w:w="354"/>
        <w:gridCol w:w="1262"/>
        <w:gridCol w:w="185"/>
        <w:gridCol w:w="109"/>
        <w:gridCol w:w="109"/>
        <w:gridCol w:w="109"/>
        <w:gridCol w:w="211"/>
        <w:gridCol w:w="751"/>
        <w:gridCol w:w="109"/>
        <w:gridCol w:w="109"/>
        <w:gridCol w:w="109"/>
        <w:gridCol w:w="109"/>
        <w:gridCol w:w="237"/>
        <w:gridCol w:w="965"/>
        <w:gridCol w:w="122"/>
        <w:gridCol w:w="109"/>
        <w:gridCol w:w="109"/>
        <w:gridCol w:w="109"/>
        <w:gridCol w:w="211"/>
        <w:gridCol w:w="856"/>
        <w:gridCol w:w="159"/>
      </w:tblGrid>
      <w:tr>
        <w:trPr/>
        <w:tc>
          <w:tcPr>
            <w:tcW w:w="8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Finite 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Indefinite 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Total </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(29,088)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437,110 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(35,666)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useful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OTHER INVESTMENTS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Other investments, net</w:t>
      </w:r>
      <w:r>
        <w:rPr>
          <w:rFonts w:ascii="Arial;sans-serif" w:hAnsi="Arial;sans-serif"/>
          <w:b w:val="false"/>
          <w:color w:val="000000"/>
          <w:sz w:val="20"/>
        </w:rPr>
        <w:t xml:space="preserve">: </w:t>
      </w:r>
    </w:p>
    <w:tbl>
      <w:tblPr>
        <w:tblW w:w="7028" w:type="dxa"/>
        <w:jc w:val="center"/>
        <w:tblInd w:w="0" w:type="dxa"/>
        <w:tblLayout w:type="fixed"/>
        <w:tblCellMar>
          <w:top w:w="28" w:type="dxa"/>
          <w:left w:w="28" w:type="dxa"/>
          <w:bottom w:w="28" w:type="dxa"/>
          <w:right w:w="28" w:type="dxa"/>
        </w:tblCellMar>
      </w:tblPr>
      <w:tblGrid>
        <w:gridCol w:w="929"/>
        <w:gridCol w:w="816"/>
        <w:gridCol w:w="820"/>
        <w:gridCol w:w="109"/>
        <w:gridCol w:w="109"/>
        <w:gridCol w:w="109"/>
        <w:gridCol w:w="344"/>
        <w:gridCol w:w="1398"/>
        <w:gridCol w:w="178"/>
        <w:gridCol w:w="109"/>
        <w:gridCol w:w="109"/>
        <w:gridCol w:w="109"/>
        <w:gridCol w:w="326"/>
        <w:gridCol w:w="1325"/>
        <w:gridCol w:w="23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141,307 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131,875 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136,455 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356,705 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Method Investments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Deluxe/EchoStar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own 50% of Deluxe/EchoStar LLC (“Deluxe”), a joint venture that we entered into in 2010 to build an advanced digital cinema satellite distribution network targeting delivery to digitally equipped theaters in the U.S. and Canada.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Broadband Connectivity Solutions (Restricted) Limited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During the nine months ended September 30, 2023, we recorded an impairment charge of $33.4 million related to our investment as a result of increased competition and the economic environment for this business. We estimated the fair value of our investment by using the combination of the discounted cash flow model and market value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revenue recognized by the Company from our equity method investments:</w:t>
      </w:r>
    </w:p>
    <w:tbl>
      <w:tblPr>
        <w:tblW w:w="9514"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381"/>
        <w:gridCol w:w="1167"/>
        <w:gridCol w:w="196"/>
        <w:gridCol w:w="196"/>
        <w:gridCol w:w="196"/>
        <w:gridCol w:w="196"/>
        <w:gridCol w:w="381"/>
        <w:gridCol w:w="1167"/>
        <w:gridCol w:w="196"/>
        <w:gridCol w:w="109"/>
        <w:gridCol w:w="109"/>
        <w:gridCol w:w="109"/>
        <w:gridCol w:w="372"/>
        <w:gridCol w:w="1140"/>
        <w:gridCol w:w="192"/>
        <w:gridCol w:w="192"/>
        <w:gridCol w:w="192"/>
        <w:gridCol w:w="192"/>
        <w:gridCol w:w="372"/>
        <w:gridCol w:w="1140"/>
        <w:gridCol w:w="271"/>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trade accounts receivable from our equity method investments:</w:t>
      </w:r>
    </w:p>
    <w:tbl>
      <w:tblPr>
        <w:tblW w:w="5184"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418"/>
        <w:gridCol w:w="1282"/>
        <w:gridCol w:w="219"/>
        <w:gridCol w:w="109"/>
        <w:gridCol w:w="109"/>
        <w:gridCol w:w="109"/>
        <w:gridCol w:w="393"/>
        <w:gridCol w:w="1207"/>
        <w:gridCol w:w="290"/>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Other Equity Investments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hold investments without readily determinable fair values in a number of equity securities that are accounted for as cost method investments, which are recorded at cost, less impairment, and adjusted for observable price changes for identical or similar investments of the same issuer.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In the third quarter of 2023, we recorded a loss of $24.4 million related to a decline in value of an investment previously held on a cost-basis method, due to fair value becoming determinable as a result of a merger between that entity and a publicly traded entity. Starting September 30, 2023, and for all subsequent periods, the investment is classified as marketable investment securities.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on our investments:</w:t>
      </w:r>
    </w:p>
    <w:tbl>
      <w:tblPr>
        <w:tblW w:w="10205" w:type="dxa"/>
        <w:jc w:val="left"/>
        <w:tblInd w:w="0" w:type="dxa"/>
        <w:tblLayout w:type="fixed"/>
        <w:tblCellMar>
          <w:top w:w="28" w:type="dxa"/>
          <w:left w:w="28" w:type="dxa"/>
          <w:bottom w:w="28" w:type="dxa"/>
          <w:right w:w="28" w:type="dxa"/>
        </w:tblCellMar>
      </w:tblPr>
      <w:tblGrid>
        <w:gridCol w:w="867"/>
        <w:gridCol w:w="764"/>
        <w:gridCol w:w="765"/>
        <w:gridCol w:w="109"/>
        <w:gridCol w:w="109"/>
        <w:gridCol w:w="109"/>
        <w:gridCol w:w="342"/>
        <w:gridCol w:w="1299"/>
        <w:gridCol w:w="176"/>
        <w:gridCol w:w="176"/>
        <w:gridCol w:w="176"/>
        <w:gridCol w:w="176"/>
        <w:gridCol w:w="342"/>
        <w:gridCol w:w="658"/>
        <w:gridCol w:w="176"/>
        <w:gridCol w:w="109"/>
        <w:gridCol w:w="109"/>
        <w:gridCol w:w="109"/>
        <w:gridCol w:w="298"/>
        <w:gridCol w:w="1131"/>
        <w:gridCol w:w="154"/>
        <w:gridCol w:w="154"/>
        <w:gridCol w:w="154"/>
        <w:gridCol w:w="154"/>
        <w:gridCol w:w="298"/>
        <w:gridCol w:w="1063"/>
        <w:gridCol w:w="228"/>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Other Debt Investments, Net</w:t>
      </w:r>
    </w:p>
    <w:p>
      <w:pPr>
        <w:pStyle w:val="TextBody"/>
        <w:bidi w:val="0"/>
        <w:spacing w:lineRule="auto" w:line="288" w:before="0" w:after="120"/>
        <w:jc w:val="both"/>
        <w:rPr/>
      </w:pPr>
      <w:r>
        <w:rPr>
          <w:rFonts w:ascii="Arial;sans-serif" w:hAnsi="Arial;sans-serif"/>
          <w:b w:val="false"/>
          <w:color w:val="000000"/>
          <w:sz w:val="20"/>
        </w:rPr>
        <w:t xml:space="preserve">In April, 2023, we received full repayment with proceeds of $148.4 million related to our Other debt investments, net. </w:t>
      </w:r>
      <w:r>
        <w:rPr>
          <w:rFonts w:ascii="Arial;sans-serif" w:hAnsi="Arial;sans-serif"/>
          <w:b w:val="false"/>
          <w:color w:val="000000"/>
          <w:sz w:val="20"/>
          <w:shd w:fill="FFFFFF" w:val="clear"/>
        </w:rPr>
        <w:t>As such, we recorded a gain of $</w:t>
      </w:r>
      <w:r>
        <w:rPr>
          <w:rFonts w:ascii="Arial;sans-serif" w:hAnsi="Arial;sans-serif"/>
          <w:b w:val="false"/>
          <w:color w:val="000000"/>
          <w:sz w:val="20"/>
        </w:rPr>
        <w:t>7.6 million</w:t>
      </w:r>
      <w:r>
        <w:rPr>
          <w:color w:val="000000"/>
          <w:shd w:fill="FFFFFF" w:val="clear"/>
        </w:rPr>
        <w:t xml:space="preserve"> </w:t>
      </w:r>
      <w:r>
        <w:rPr>
          <w:rFonts w:ascii="Arial;sans-serif" w:hAnsi="Arial;sans-serif"/>
          <w:b w:val="false"/>
          <w:color w:val="000000"/>
          <w:sz w:val="20"/>
          <w:shd w:fill="FFFFFF" w:val="clear"/>
        </w:rPr>
        <w:t>in Other, net for the nine months ended September 30, 202</w:t>
      </w:r>
      <w:r>
        <w:rPr>
          <w:rFonts w:ascii="Arial;sans-serif" w:hAnsi="Arial;sans-serif"/>
          <w:b w:val="false"/>
          <w:color w:val="000000"/>
          <w:sz w:val="20"/>
        </w:rPr>
        <w:t>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LONG-TERM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The following table presents the carrying amount and fair values of our</w:t>
      </w:r>
      <w:r>
        <w:rPr>
          <w:color w:val="000000"/>
        </w:rPr>
        <w:t xml:space="preserve"> </w:t>
      </w:r>
      <w:r>
        <w:rPr>
          <w:rFonts w:ascii="Arial;sans-serif" w:hAnsi="Arial;sans-serif"/>
          <w:b w:val="false"/>
          <w:i/>
          <w:color w:val="000000"/>
          <w:sz w:val="20"/>
        </w:rPr>
        <w:t>Long-term debt, net:</w:t>
      </w:r>
    </w:p>
    <w:tbl>
      <w:tblPr>
        <w:tblW w:w="10205" w:type="dxa"/>
        <w:jc w:val="left"/>
        <w:tblInd w:w="0" w:type="dxa"/>
        <w:tblLayout w:type="fixed"/>
        <w:tblCellMar>
          <w:top w:w="28" w:type="dxa"/>
          <w:left w:w="28" w:type="dxa"/>
          <w:bottom w:w="28" w:type="dxa"/>
          <w:right w:w="28" w:type="dxa"/>
        </w:tblCellMar>
      </w:tblPr>
      <w:tblGrid>
        <w:gridCol w:w="789"/>
        <w:gridCol w:w="554"/>
        <w:gridCol w:w="556"/>
        <w:gridCol w:w="109"/>
        <w:gridCol w:w="109"/>
        <w:gridCol w:w="109"/>
        <w:gridCol w:w="420"/>
        <w:gridCol w:w="420"/>
        <w:gridCol w:w="421"/>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5"/>
      </w:tblGrid>
      <w:tr>
        <w:trPr/>
        <w:tc>
          <w:tcPr>
            <w:tcW w:w="78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Value</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1/4% Senior Secured Notes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 5/8% Senior Unsecured Notes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1,435,253 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estimated fair value of our publicly traded debt was primarily based on Level 1 inputs that use quoted market value for the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income tax provision was $8.5 million for the three months ended September 30, 2023 compared to our income tax provision of $13.2 million for the three months ended September 30, 2022. Our effective income tax rate was 94.1% and 40.3% for the three months ended September 30, 2023 and 2022, respectively. The variations in our effective tax rate from the U.S. federal statutory rate for the for the three months ended September 30, 2023 were primarily due to excluded investment impairment losses and the impact of research and development credits. The variations in our effective tax rate from the U.S. federal statutory rate for the three months ended September 30, 2022 were primarily due to excluded foreign losses where the Company carries a full valuation allowance and the impact of state and local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income tax provision was $38.8 million for the nine months ended September 30, 2023 compared to our income tax provision of $51.4 million for the nine months ended September 30, 2022. Our effective income tax rate was 50.9% and 30.2% for the nine months ended September 30, 2023 and 2022, respectively. The variations in our effective tax rate from the U.S. federal statutory rate for the nine months ended September 30, 2023 were primarily due to excluded investment impairment losses and excluded foreign losses where the Company carries a full valuation allowance. The variations in our current year effective tax rate from the U.S. federal statutory rate for the nine months ended September 30, 2022, were primarily due to excluded foreign losses where the Company carries a full valuation allowance and the impact of state and local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our Class A and B common stock:</w:t>
      </w:r>
    </w:p>
    <w:tbl>
      <w:tblPr>
        <w:tblW w:w="10205" w:type="dxa"/>
        <w:jc w:val="left"/>
        <w:tblInd w:w="0" w:type="dxa"/>
        <w:tblLayout w:type="fixed"/>
        <w:tblCellMar>
          <w:top w:w="28" w:type="dxa"/>
          <w:left w:w="28" w:type="dxa"/>
          <w:bottom w:w="28" w:type="dxa"/>
          <w:right w:w="28" w:type="dxa"/>
        </w:tblCellMar>
      </w:tblPr>
      <w:tblGrid>
        <w:gridCol w:w="1532"/>
        <w:gridCol w:w="931"/>
        <w:gridCol w:w="934"/>
        <w:gridCol w:w="109"/>
        <w:gridCol w:w="109"/>
        <w:gridCol w:w="109"/>
        <w:gridCol w:w="267"/>
        <w:gridCol w:w="819"/>
        <w:gridCol w:w="138"/>
        <w:gridCol w:w="138"/>
        <w:gridCol w:w="138"/>
        <w:gridCol w:w="138"/>
        <w:gridCol w:w="267"/>
        <w:gridCol w:w="952"/>
        <w:gridCol w:w="138"/>
        <w:gridCol w:w="109"/>
        <w:gridCol w:w="109"/>
        <w:gridCol w:w="109"/>
        <w:gridCol w:w="253"/>
        <w:gridCol w:w="904"/>
        <w:gridCol w:w="131"/>
        <w:gridCol w:w="131"/>
        <w:gridCol w:w="131"/>
        <w:gridCol w:w="131"/>
        <w:gridCol w:w="253"/>
        <w:gridCol w:w="1030"/>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127,704 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impact of stock awards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83,850 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84,449 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(losses)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Diluted earnings per share excludes the following weighted average potential Class A common shares, as the effect would be antidilutive, as computed under the treasury stock method:</w:t>
      </w:r>
    </w:p>
    <w:tbl>
      <w:tblPr>
        <w:tblW w:w="10205" w:type="dxa"/>
        <w:jc w:val="left"/>
        <w:tblInd w:w="0" w:type="dxa"/>
        <w:tblLayout w:type="fixed"/>
        <w:tblCellMar>
          <w:top w:w="28" w:type="dxa"/>
          <w:left w:w="28" w:type="dxa"/>
          <w:bottom w:w="28" w:type="dxa"/>
          <w:right w:w="28" w:type="dxa"/>
        </w:tblCellMar>
      </w:tblPr>
      <w:tblGrid>
        <w:gridCol w:w="1050"/>
        <w:gridCol w:w="925"/>
        <w:gridCol w:w="932"/>
        <w:gridCol w:w="109"/>
        <w:gridCol w:w="109"/>
        <w:gridCol w:w="109"/>
        <w:gridCol w:w="451"/>
        <w:gridCol w:w="361"/>
        <w:gridCol w:w="336"/>
        <w:gridCol w:w="336"/>
        <w:gridCol w:w="336"/>
        <w:gridCol w:w="336"/>
        <w:gridCol w:w="451"/>
        <w:gridCol w:w="361"/>
        <w:gridCol w:w="347"/>
        <w:gridCol w:w="109"/>
        <w:gridCol w:w="109"/>
        <w:gridCol w:w="109"/>
        <w:gridCol w:w="429"/>
        <w:gridCol w:w="354"/>
        <w:gridCol w:w="321"/>
        <w:gridCol w:w="321"/>
        <w:gridCol w:w="321"/>
        <w:gridCol w:w="321"/>
        <w:gridCol w:w="429"/>
        <w:gridCol w:w="354"/>
        <w:gridCol w:w="479"/>
      </w:tblGrid>
      <w:tr>
        <w:trPr/>
        <w:tc>
          <w:tcPr>
            <w:tcW w:w="105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6,418 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RELATED PARTY TRANSACTIONS - DISH NETWORK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EchoStar and DISH have operated as separate publicly-traded companies since 2008 (the “Spin-off”). A substantial majority of the voting power of the shares of each of EchoStar and DISH is owned beneficially by Charles W. Ergen, our Chairman, and by certain entities established for the benefit of his family. See Note 1 - </w:t>
      </w:r>
      <w:r>
        <w:rPr>
          <w:rFonts w:ascii="Arial;sans-serif" w:hAnsi="Arial;sans-serif"/>
          <w:b w:val="false"/>
          <w:i/>
          <w:color w:val="000000"/>
          <w:sz w:val="20"/>
        </w:rPr>
        <w:t>Organization and Business Activities</w:t>
      </w:r>
      <w:r>
        <w:rPr>
          <w:color w:val="000000"/>
        </w:rPr>
        <w:t xml:space="preserve"> </w:t>
      </w:r>
      <w:r>
        <w:rPr>
          <w:rFonts w:ascii="Arial;sans-serif" w:hAnsi="Arial;sans-serif"/>
          <w:b w:val="false"/>
          <w:color w:val="000000"/>
          <w:sz w:val="20"/>
        </w:rPr>
        <w:t xml:space="preserve">and Note 16 - </w:t>
      </w:r>
      <w:r>
        <w:rPr>
          <w:rFonts w:ascii="Arial;sans-serif" w:hAnsi="Arial;sans-serif"/>
          <w:b w:val="false"/>
          <w:i/>
          <w:color w:val="000000"/>
          <w:sz w:val="20"/>
        </w:rPr>
        <w:t xml:space="preserve">Subsequent Events </w:t>
      </w:r>
      <w:r>
        <w:rPr>
          <w:rFonts w:ascii="Arial;sans-serif" w:hAnsi="Arial;sans-serif"/>
          <w:b w:val="false"/>
          <w:color w:val="000000"/>
          <w:sz w:val="20"/>
        </w:rPr>
        <w:t>for further details on the proposed merger with DIS</w:t>
      </w:r>
      <w:r>
        <w:rPr>
          <w:rFonts w:ascii="Arial;sans-serif" w:hAnsi="Arial;sans-serif"/>
          <w:b w:val="false"/>
          <w:color w:val="000000"/>
          <w:sz w:val="20"/>
          <w:shd w:fill="FFFFFF" w:val="clear"/>
        </w:rPr>
        <w:t xml:space="preserve">H.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 EchoStar Technologies businesses and certain other assets (collectively, the “Share Exchange”).</w:t>
      </w:r>
      <w:r>
        <w:rPr>
          <w:color w:val="000000"/>
        </w:rPr>
        <w:t xml:space="preserve"> </w:t>
      </w:r>
      <w:r>
        <w:rPr>
          <w:rFonts w:ascii="Arial;sans-serif" w:hAnsi="Arial;sans-serif"/>
          <w:b w:val="false"/>
          <w:color w:val="000000"/>
          <w:sz w:val="20"/>
        </w:rPr>
        <w:t>The Tracking Stock was retired in March 2017.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2019, pursuant to a master transaction agreement (the “Master Transaction Agreement”) with DISH and a wholly-owned subsidiary of DISH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Network and our former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DISH Merger Sub merged with and into BSS Corp. (the “BSS Merger”), such that BSS Corp. became a wholly-owned subsidiary of DISH and with DISH then owning and operating the BSS Business, and (2) each issued and outstanding share of BSS Common Stock owned by EchoStar stockholders was converted into the right to receive 0.235 shares of DISH Class A common stock, par value $0.001 per share ((i) - (iii) collectively, the “BSS Transaction”).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is a summary of the transactions and the terms of the underlying principal agreements that have had or may have an impact on our consolidated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Services and Other Revenue — DISH Network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Services and other revenue - DISH Network</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988"/>
        <w:gridCol w:w="868"/>
        <w:gridCol w:w="871"/>
        <w:gridCol w:w="109"/>
        <w:gridCol w:w="109"/>
        <w:gridCol w:w="109"/>
        <w:gridCol w:w="314"/>
        <w:gridCol w:w="963"/>
        <w:gridCol w:w="161"/>
        <w:gridCol w:w="161"/>
        <w:gridCol w:w="161"/>
        <w:gridCol w:w="161"/>
        <w:gridCol w:w="314"/>
        <w:gridCol w:w="963"/>
        <w:gridCol w:w="161"/>
        <w:gridCol w:w="109"/>
        <w:gridCol w:w="109"/>
        <w:gridCol w:w="109"/>
        <w:gridCol w:w="290"/>
        <w:gridCol w:w="1032"/>
        <w:gridCol w:w="149"/>
        <w:gridCol w:w="149"/>
        <w:gridCol w:w="149"/>
        <w:gridCol w:w="149"/>
        <w:gridCol w:w="290"/>
        <w:gridCol w:w="1032"/>
        <w:gridCol w:w="225"/>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related trade accounts receivable:</w:t>
      </w:r>
    </w:p>
    <w:tbl>
      <w:tblPr>
        <w:tblW w:w="8288"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418"/>
        <w:gridCol w:w="1282"/>
        <w:gridCol w:w="219"/>
        <w:gridCol w:w="109"/>
        <w:gridCol w:w="109"/>
        <w:gridCol w:w="109"/>
        <w:gridCol w:w="393"/>
        <w:gridCol w:w="1207"/>
        <w:gridCol w:w="290"/>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Satellite Capacity Leased to DISH Network. </w:t>
      </w:r>
      <w:r>
        <w:rPr>
          <w:rFonts w:ascii="Arial;sans-serif" w:hAnsi="Arial;sans-serif"/>
          <w:b w:val="false"/>
          <w:color w:val="000000"/>
          <w:sz w:val="20"/>
        </w:rPr>
        <w:t>Effective January 2008, DISH Network began leasing satellite capacity from us on the EchoStar IX satellite. We terminated the provision of this satellite capacity in December 2022.</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76" w:before="0" w:after="0"/>
        <w:jc w:val="both"/>
        <w:rPr/>
      </w:pPr>
      <w:r>
        <w:rPr>
          <w:rFonts w:ascii="Arial;sans-serif" w:hAnsi="Arial;sans-serif"/>
          <w:b/>
          <w:i/>
          <w:color w:val="000000"/>
          <w:sz w:val="20"/>
        </w:rPr>
        <w:t xml:space="preserve">Telesat Obligation Agreement. </w:t>
      </w:r>
      <w:r>
        <w:rPr>
          <w:rFonts w:ascii="Arial;sans-serif" w:hAnsi="Arial;sans-serif"/>
          <w:b w:val="false"/>
          <w:color w:val="000000"/>
          <w:sz w:val="20"/>
        </w:rPr>
        <w:t>In September 2009, we entered into an agreement with Telesat Canada to lease satellite capacity from Telesat Canada on all 32 direct broadcast satellite (“DBS”) transponders on the Nimiq 5 satellite at the 72.7 degree west longitude orbital location (the “Telesat Transponder Agreement”).</w:t>
      </w:r>
      <w:r>
        <w:rPr>
          <w:color w:val="000000"/>
        </w:rPr>
        <w:t xml:space="preserve"> </w:t>
      </w:r>
      <w:r>
        <w:rPr>
          <w:rFonts w:ascii="Arial;sans-serif" w:hAnsi="Arial;sans-serif"/>
          <w:b w:val="false"/>
          <w:color w:val="000000"/>
          <w:sz w:val="20"/>
        </w:rPr>
        <w:t>In September 2009, we entered into an agreement with DISH Network, pursuant to which DISH Network leased satellite capacity from us on all 32 of the DBS transponders covered by the Telesat Transponder Agreement (the “DISH Nimiq 5 Agreement”).</w:t>
      </w:r>
      <w:r>
        <w:rPr>
          <w:color w:val="000000"/>
        </w:rPr>
        <w:t xml:space="preserve"> </w:t>
      </w:r>
      <w:r>
        <w:rPr>
          <w:rFonts w:ascii="Arial;sans-serif" w:hAnsi="Arial;sans-serif"/>
          <w:b w:val="false"/>
          <w:color w:val="000000"/>
          <w:sz w:val="20"/>
        </w:rPr>
        <w:t xml:space="preserve">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Real Estate Leases to DISH Network. </w:t>
      </w:r>
      <w:r>
        <w:rPr>
          <w:rFonts w:ascii="Arial;sans-serif" w:hAnsi="Arial;sans-serif"/>
          <w:b w:val="false"/>
          <w:color w:val="000000"/>
          <w:sz w:val="20"/>
        </w:rPr>
        <w:t>We have entered into lease agreements pursuant to which DISH Network leases certain real estate 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100 Inverness Occupancy License Agreement</w:t>
      </w:r>
      <w:r>
        <w:rPr>
          <w:color w:val="000000"/>
        </w:rPr>
        <w:t xml:space="preserve"> — </w:t>
      </w:r>
      <w:r>
        <w:rPr>
          <w:rFonts w:ascii="Arial;sans-serif" w:hAnsi="Arial;sans-serif"/>
          <w:b w:val="false"/>
          <w:color w:val="000000"/>
          <w:sz w:val="20"/>
        </w:rPr>
        <w:t xml:space="preserve">In March 2017, we and DISH Network entered into a license agreement for DISH Network to use certain of our space at 100 Inverness Terrace East, Englewood, Colorado for an initial period ending in December 2020. We and DISH Network have amended this lease over time to, among other things, extend the term through December 2023. This agreement may be terminated by either party upon 180 days’ prior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 xml:space="preserve">Meridian Lease Agreement </w:t>
      </w:r>
      <w:r>
        <w:rPr>
          <w:color w:val="000000"/>
        </w:rPr>
        <w:t xml:space="preserve">— </w:t>
      </w:r>
      <w:r>
        <w:rPr>
          <w:rFonts w:ascii="Arial;sans-serif" w:hAnsi="Arial;sans-serif"/>
          <w:b w:val="false"/>
          <w:color w:val="000000"/>
          <w:sz w:val="20"/>
        </w:rPr>
        <w:t>The lease for all of 9601 S. Meridian Blvd., Englewood, Colorado was originally for a period ending in December 2016. We and DISH Network have amended this lease over time to, among other things, extend the term through December 2023.</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TerreStar Agreement. </w:t>
      </w:r>
      <w:r>
        <w:rPr>
          <w:rFonts w:ascii="Arial;sans-serif" w:hAnsi="Arial;sans-serif"/>
          <w:b w:val="false"/>
          <w:color w:val="000000"/>
          <w:sz w:val="20"/>
        </w:rPr>
        <w:t xml:space="preserve">In March 2012, DISH Network completed its acquisition of substantially all the assets of TerreStar Networks Inc. (“TerreStar”).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 The price for warranty and operations and maintenance services is only valid until December 31, 2023. As such, if those services are to continue beyond December 31, 2023, DISH Network and HNS must agree on the price for these services as of January 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i/>
          <w:color w:val="000000"/>
          <w:sz w:val="20"/>
        </w:rPr>
        <w:t xml:space="preserve">Hughes Broadband Distribution Agreement. </w:t>
      </w:r>
      <w:r>
        <w:rPr>
          <w:rFonts w:ascii="Arial;sans-serif" w:hAnsi="Arial;sans-serif"/>
          <w:b w:val="false"/>
          <w:color w:val="000000"/>
          <w:sz w:val="20"/>
        </w:rPr>
        <w:t xml:space="preserve">Effective October 2012, we and DISH Network entered into a distribution agreement (the “Distribution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DBSD North America Agreement. </w:t>
      </w:r>
      <w:r>
        <w:rPr>
          <w:rFonts w:ascii="Arial;sans-serif" w:hAnsi="Arial;sans-serif"/>
          <w:b w:val="false"/>
          <w:color w:val="000000"/>
          <w:sz w:val="20"/>
        </w:rPr>
        <w:t xml:space="preserve">In March 2012, DISH Network completed its acquisition of all of the equity of DBSD North 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The price for warranty and operations and maintenance services is only valid until December 31, 2023. As such, if those services are to continue beyond December 31, 2023, DBSD North America and HNS must agree on the price for these services as of January 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Hughes Equipment and Services Agreement</w:t>
      </w:r>
      <w:r>
        <w:rPr>
          <w:rFonts w:ascii="Arial;sans-serif" w:hAnsi="Arial;sans-serif"/>
          <w:b w:val="false"/>
          <w:color w:val="000000"/>
          <w:sz w:val="20"/>
        </w:rPr>
        <w:t xml:space="preserve">. In February 2019, we and DISH Network entered into an agreement pursuant to which we 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Operating Expenses — DISH Network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operating expenses related to DISH Network: </w:t>
      </w:r>
    </w:p>
    <w:tbl>
      <w:tblPr>
        <w:tblW w:w="10205" w:type="dxa"/>
        <w:jc w:val="center"/>
        <w:tblInd w:w="0" w:type="dxa"/>
        <w:tblLayout w:type="fixed"/>
        <w:tblCellMar>
          <w:top w:w="28" w:type="dxa"/>
          <w:left w:w="28" w:type="dxa"/>
          <w:bottom w:w="28" w:type="dxa"/>
          <w:right w:w="28" w:type="dxa"/>
        </w:tblCellMar>
      </w:tblPr>
      <w:tblGrid>
        <w:gridCol w:w="920"/>
        <w:gridCol w:w="809"/>
        <w:gridCol w:w="811"/>
        <w:gridCol w:w="109"/>
        <w:gridCol w:w="109"/>
        <w:gridCol w:w="109"/>
        <w:gridCol w:w="327"/>
        <w:gridCol w:w="1002"/>
        <w:gridCol w:w="168"/>
        <w:gridCol w:w="168"/>
        <w:gridCol w:w="168"/>
        <w:gridCol w:w="168"/>
        <w:gridCol w:w="327"/>
        <w:gridCol w:w="1002"/>
        <w:gridCol w:w="168"/>
        <w:gridCol w:w="109"/>
        <w:gridCol w:w="109"/>
        <w:gridCol w:w="109"/>
        <w:gridCol w:w="321"/>
        <w:gridCol w:w="984"/>
        <w:gridCol w:w="165"/>
        <w:gridCol w:w="165"/>
        <w:gridCol w:w="165"/>
        <w:gridCol w:w="165"/>
        <w:gridCol w:w="321"/>
        <w:gridCol w:w="984"/>
        <w:gridCol w:w="243"/>
      </w:tblGrid>
      <w:tr>
        <w:trPr/>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related trade accounts payable: </w:t>
      </w:r>
    </w:p>
    <w:tbl>
      <w:tblPr>
        <w:tblW w:w="8077" w:type="dxa"/>
        <w:jc w:val="center"/>
        <w:tblInd w:w="0" w:type="dxa"/>
        <w:tblLayout w:type="fixed"/>
        <w:tblCellMar>
          <w:top w:w="28" w:type="dxa"/>
          <w:left w:w="28" w:type="dxa"/>
          <w:bottom w:w="28" w:type="dxa"/>
          <w:right w:w="28" w:type="dxa"/>
        </w:tblCellMar>
      </w:tblPr>
      <w:tblGrid>
        <w:gridCol w:w="1310"/>
        <w:gridCol w:w="1148"/>
        <w:gridCol w:w="1156"/>
        <w:gridCol w:w="109"/>
        <w:gridCol w:w="109"/>
        <w:gridCol w:w="109"/>
        <w:gridCol w:w="418"/>
        <w:gridCol w:w="1282"/>
        <w:gridCol w:w="219"/>
        <w:gridCol w:w="109"/>
        <w:gridCol w:w="109"/>
        <w:gridCol w:w="109"/>
        <w:gridCol w:w="470"/>
        <w:gridCol w:w="1074"/>
        <w:gridCol w:w="346"/>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i/>
          <w:color w:val="000000"/>
          <w:sz w:val="20"/>
        </w:rPr>
        <w:t>Amended and Restated Professional Services Agreement</w:t>
      </w:r>
      <w:r>
        <w:rPr>
          <w:rFonts w:ascii="Arial;sans-serif" w:hAnsi="Arial;sans-serif"/>
          <w:b w:val="false"/>
          <w:color w:val="000000"/>
          <w:sz w:val="20"/>
        </w:rPr>
        <w:t xml:space="preserve">. In connection with the Spin-off, we entered into various agreements with DISH 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current term of the Amended and Restated Professional Services Agreement is through January 1, 2024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Real Estate Leases from DISH Network. </w:t>
      </w:r>
      <w:r>
        <w:rPr>
          <w:rFonts w:ascii="Arial;sans-serif" w:hAnsi="Arial;sans-serif"/>
          <w:b w:val="false"/>
          <w:color w:val="000000"/>
          <w:sz w:val="20"/>
        </w:rPr>
        <w:t>Effective March 2017, we entered into a lease with DISH Network for certain space at 530 EchoStar 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w:t>
      </w:r>
      <w:r>
        <w:rPr>
          <w:color w:val="000000"/>
        </w:rPr>
        <w:t xml:space="preserve"> </w:t>
      </w:r>
      <w:r>
        <w:rPr>
          <w:rFonts w:ascii="Arial;sans-serif" w:hAnsi="Arial;sans-serif"/>
          <w:b w:val="false"/>
          <w:color w:val="000000"/>
          <w:sz w:val="20"/>
        </w:rPr>
        <w:t>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 at which time this lease expired.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both"/>
        <w:rPr/>
      </w:pPr>
      <w:r>
        <w:rPr>
          <w:rFonts w:ascii="Arial;sans-serif" w:hAnsi="Arial;sans-serif"/>
          <w:b/>
          <w:i/>
          <w:color w:val="000000"/>
          <w:sz w:val="20"/>
        </w:rPr>
        <w:t>Collocation and Antenna Space Agreements</w:t>
      </w:r>
      <w:r>
        <w:rPr>
          <w:rFonts w:ascii="Arial;sans-serif" w:hAnsi="Arial;sans-serif"/>
          <w:b w:val="false"/>
          <w:color w:val="000000"/>
          <w:sz w:val="20"/>
        </w:rPr>
        <w:t xml:space="preserve">. We and DISH Network entered into an agreement pursuant to which DISH Network 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60 days’ prior written notice and certain other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 March 2021, we entered into additional agreements pursuant to which DISH Network provides us with</w:t>
      </w:r>
      <w:r>
        <w:rPr>
          <w:color w:val="000000"/>
        </w:rPr>
        <w:t xml:space="preserve"> </w:t>
      </w:r>
      <w:r>
        <w:rPr>
          <w:rFonts w:ascii="Arial;sans-serif" w:hAnsi="Arial;sans-serif"/>
          <w:b w:val="false"/>
          <w:color w:val="000000"/>
          <w:sz w:val="20"/>
        </w:rPr>
        <w:t>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Hughes Broadband Master Services Agreement</w:t>
      </w:r>
      <w:r>
        <w:rPr>
          <w:rFonts w:ascii="Arial;sans-serif" w:hAnsi="Arial;sans-serif"/>
          <w:b w:val="false"/>
          <w:color w:val="000000"/>
          <w:sz w:val="20"/>
        </w:rPr>
        <w:t>. In conjunction with the launch of our EchoStar XIX satellite, in March 2017, we and 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2024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$0.5 million and $1.8 million for the three months ended September 30, 2023 and 2022, respectively, and $1.4 million and $5.4 million for the nine months ended September 30,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Arial;sans-serif" w:hAnsi="Arial;sans-serif"/>
          <w:b/>
          <w:i/>
          <w:color w:val="000000"/>
          <w:sz w:val="20"/>
        </w:rPr>
        <w:t>2019 TT&amp;C Agreement</w:t>
      </w:r>
      <w:r>
        <w:rPr>
          <w:rFonts w:ascii="Arial;sans-serif" w:hAnsi="Arial;sans-serif"/>
          <w:b w:val="false"/>
          <w:color w:val="000000"/>
          <w:sz w:val="20"/>
        </w:rPr>
        <w:t>. In September 2019, in connection with the BSS Transaction, we entered into an agreement pursuant to which 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We have exercised our option to renew the 2019 TT&amp;C Agreement on several occasions, and its current term expires in September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i/>
          <w:color w:val="000000"/>
          <w:sz w:val="20"/>
        </w:rPr>
        <w:t>Referral Marketing Agreement</w:t>
      </w:r>
      <w:r>
        <w:rPr>
          <w:rFonts w:ascii="Arial;sans-serif" w:hAnsi="Arial;sans-serif"/>
          <w:b w:val="false"/>
          <w:color w:val="000000"/>
          <w:sz w:val="20"/>
        </w:rPr>
        <w:t xml:space="preserve">. In June 2021, we and DISH Network entered into an agreement pursuant to which we will pre-qualify 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Whidbey Island 5G Network Test Bed Subcontract</w:t>
      </w:r>
      <w:r>
        <w:rPr>
          <w:rFonts w:ascii="Arial;sans-serif" w:hAnsi="Arial;sans-serif"/>
          <w:b w:val="false"/>
          <w:color w:val="000000"/>
          <w:sz w:val="20"/>
        </w:rPr>
        <w:t xml:space="preserve">. In June 2022, we and DISH Wireless entered into a subcontract (“DISH Subcontract”) pursuant to which DISH provides access and use of a DISH lab, technical support and integration and testing support for the 5G network test bed to be delivered by Hughes to its customer. DISH Wireless additionally has agreed to lease certain licensed wireless spectrum to Hughes in connection with the project. Between June 2022 and October 2023, the scope of the DISH Subcontract has expanded to include additional spectrum leases and construction and related services work at Whidbey Island and the Lualualei Annex.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Launch Credit. </w:t>
      </w:r>
      <w:r>
        <w:rPr>
          <w:rFonts w:ascii="Arial;sans-serif" w:hAnsi="Arial;sans-serif"/>
          <w:b w:val="false"/>
          <w:color w:val="000000"/>
          <w:sz w:val="20"/>
        </w:rPr>
        <w:t>EchoStar Global Australia Pty Ltd (“EchoStar Australia”) previously entered into four launch services agreements pursuant to which EchoStar Australia held credits that may be applied to a future launch for EchoStar Australia or an affiliate. To ensure the use of this credit prior to its expiration, EchoStar Australia and DISH Orbital II L.L.C. (“DISH Orbital II”) agreed that EchoStar Australia would transfer the launch credit to DISH Orbital II for application against costs of a launch for DISH Orbital II.</w:t>
      </w:r>
      <w:r>
        <w:rPr>
          <w:color w:val="000000"/>
        </w:rPr>
        <w:t xml:space="preserve"> </w:t>
      </w:r>
      <w:r>
        <w:rPr>
          <w:rFonts w:ascii="Arial;sans-serif" w:hAnsi="Arial;sans-serif"/>
          <w:b w:val="false"/>
          <w:color w:val="000000"/>
          <w:sz w:val="20"/>
        </w:rPr>
        <w:t>DISH Orbital II agreed to make a cash payment to EchoStar Australia.</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Other Receivables - DISH Network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other receivables owed from DISH Network:</w:t>
      </w:r>
    </w:p>
    <w:tbl>
      <w:tblPr>
        <w:tblW w:w="8557" w:type="dxa"/>
        <w:jc w:val="center"/>
        <w:tblInd w:w="0" w:type="dxa"/>
        <w:tblLayout w:type="fixed"/>
        <w:tblCellMar>
          <w:top w:w="28" w:type="dxa"/>
          <w:left w:w="28" w:type="dxa"/>
          <w:bottom w:w="28" w:type="dxa"/>
          <w:right w:w="28" w:type="dxa"/>
        </w:tblCellMar>
      </w:tblPr>
      <w:tblGrid>
        <w:gridCol w:w="1482"/>
        <w:gridCol w:w="1305"/>
        <w:gridCol w:w="1308"/>
        <w:gridCol w:w="109"/>
        <w:gridCol w:w="109"/>
        <w:gridCol w:w="109"/>
        <w:gridCol w:w="376"/>
        <w:gridCol w:w="1346"/>
        <w:gridCol w:w="197"/>
        <w:gridCol w:w="109"/>
        <w:gridCol w:w="109"/>
        <w:gridCol w:w="109"/>
        <w:gridCol w:w="357"/>
        <w:gridCol w:w="1272"/>
        <w:gridCol w:w="260"/>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 DISH Network,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77,751 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Tax Sharing Agreement. </w:t>
      </w:r>
      <w:r>
        <w:rPr>
          <w:rFonts w:ascii="Arial;sans-serif" w:hAnsi="Arial;sans-serif"/>
          <w:b w:val="false"/>
          <w:color w:val="000000"/>
          <w:sz w:val="20"/>
        </w:rPr>
        <w:t xml:space="preserve">Effective December 2007, we and DISH Network entered into a tax sharing agreement (the “Tax Sharing 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val="false"/>
          <w:color w:val="000000"/>
          <w:sz w:val="20"/>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w:t>
      </w:r>
      <w:r>
        <w:rPr>
          <w:rFonts w:ascii="Arial;sans-serif" w:hAnsi="Arial;sans-serif"/>
          <w:b w:val="false"/>
          <w:i/>
          <w:color w:val="000000"/>
          <w:sz w:val="20"/>
        </w:rPr>
        <w:t>Other receivables - DISH Network</w:t>
      </w:r>
      <w:r>
        <w:rPr>
          <w:rFonts w:ascii="Arial;sans-serif" w:hAnsi="Arial;sans-serif"/>
          <w:b w:val="false"/>
          <w:color w:val="000000"/>
          <w:sz w:val="20"/>
        </w:rPr>
        <w:t xml:space="preserve">, current and a non-current receivable from DISH Network in </w:t>
      </w:r>
      <w:r>
        <w:rPr>
          <w:rFonts w:ascii="Arial;sans-serif" w:hAnsi="Arial;sans-serif"/>
          <w:b w:val="false"/>
          <w:i/>
          <w:color w:val="000000"/>
          <w:sz w:val="20"/>
        </w:rPr>
        <w:t>Other receivables - DISH Network</w:t>
      </w:r>
      <w:r>
        <w:rPr>
          <w:rFonts w:ascii="Arial;sans-serif" w:hAnsi="Arial;sans-serif"/>
          <w:b w:val="false"/>
          <w:color w:val="000000"/>
          <w:sz w:val="20"/>
        </w:rPr>
        <w:t xml:space="preserve">, noncurrent and a corresponding increase in our </w:t>
      </w:r>
      <w:r>
        <w:rPr>
          <w:rFonts w:ascii="Arial;sans-serif" w:hAnsi="Arial;sans-serif"/>
          <w:b w:val="false"/>
          <w:i/>
          <w:color w:val="000000"/>
          <w:sz w:val="20"/>
        </w:rPr>
        <w:t>Deferred tax liabilities, net</w:t>
      </w:r>
      <w:r>
        <w:rPr>
          <w:color w:val="000000"/>
        </w:rPr>
        <w:t xml:space="preserve"> </w:t>
      </w:r>
      <w:r>
        <w:rPr>
          <w:rFonts w:ascii="Arial;sans-serif" w:hAnsi="Arial;sans-serif"/>
          <w:b w:val="false"/>
          <w:color w:val="000000"/>
          <w:sz w:val="20"/>
        </w:rPr>
        <w:t>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sans-serif" w:hAnsi="Arial;sans-serif"/>
          <w:b w:val="false"/>
          <w:i/>
          <w:color w:val="000000"/>
          <w:sz w:val="20"/>
        </w:rPr>
        <w:t xml:space="preserve">Additional paid-in capital </w:t>
      </w:r>
      <w:r>
        <w:rPr>
          <w:rFonts w:ascii="Arial;sans-serif" w:hAnsi="Arial;sans-serif"/>
          <w:b w:val="false"/>
          <w:color w:val="000000"/>
          <w:sz w:val="20"/>
        </w:rPr>
        <w:t xml:space="preserve">in prior periods when DISH Network has utilized such tax benefits. We expect to increase </w:t>
      </w:r>
      <w:r>
        <w:rPr>
          <w:rFonts w:ascii="Arial;sans-serif" w:hAnsi="Arial;sans-serif"/>
          <w:b w:val="false"/>
          <w:i/>
          <w:color w:val="000000"/>
          <w:sz w:val="20"/>
        </w:rPr>
        <w:t>Additional paid-in capital</w:t>
      </w:r>
      <w:r>
        <w:rPr>
          <w:color w:val="000000"/>
        </w:rPr>
        <w:t xml:space="preserve"> </w:t>
      </w:r>
      <w:r>
        <w:rPr>
          <w:rFonts w:ascii="Arial;sans-serif" w:hAnsi="Arial;sans-serif"/>
          <w:b w:val="false"/>
          <w:color w:val="000000"/>
          <w:sz w:val="20"/>
        </w:rPr>
        <w:t>upon receipt of any consideration that DISH Network pays to us in exchange for these tax credits.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Master Transaction Agreement. </w:t>
      </w:r>
      <w:r>
        <w:rPr>
          <w:rFonts w:ascii="Arial;sans-serif" w:hAnsi="Arial;sans-serif"/>
          <w:b w:val="false"/>
          <w:color w:val="000000"/>
          <w:sz w:val="20"/>
        </w:rPr>
        <w:t>In May 2019, we and BSS Corp. entered into the Master Transaction Agreement with DISH and DISH Merger 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i/>
          <w:color w:val="000000"/>
          <w:sz w:val="20"/>
        </w:rPr>
        <w:t xml:space="preserve">BSS Transaction Intellectual Property and Technology License Agreement. </w:t>
      </w:r>
      <w:r>
        <w:rPr>
          <w:rFonts w:ascii="Arial;sans-serif" w:hAnsi="Arial;sans-serif"/>
          <w:b w:val="false"/>
          <w:color w:val="000000"/>
          <w:sz w:val="20"/>
        </w:rPr>
        <w:t xml:space="preserve">Effective September 2019, in connection with the BSS 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BSS Transaction Tax Matters Agreement. </w:t>
      </w:r>
      <w:r>
        <w:rPr>
          <w:rFonts w:ascii="Arial;sans-serif" w:hAnsi="Arial;sans-serif"/>
          <w:b w:val="false"/>
          <w:color w:val="000000"/>
          <w:sz w:val="20"/>
        </w:rPr>
        <w:t xml:space="preserve">Effective September 2019, in connection with the BSS Transaction, we, BSS Corp., and DISH 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 xml:space="preserve">BSS Transaction Employee Matters Agreement. </w:t>
      </w:r>
      <w:r>
        <w:rPr>
          <w:rFonts w:ascii="Arial;sans-serif" w:hAnsi="Arial;sans-serif"/>
          <w:b w:val="false"/>
          <w:color w:val="000000"/>
          <w:sz w:val="20"/>
        </w:rPr>
        <w:t>Effective September 2019, in connection with the BSS Transaction, we and DISH 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Share Exchange Agreement</w:t>
      </w:r>
      <w:r>
        <w:rPr>
          <w:rFonts w:ascii="Arial;sans-serif" w:hAnsi="Arial;sans-serif"/>
          <w:b w:val="false"/>
          <w:color w:val="000000"/>
          <w:sz w:val="20"/>
        </w:rPr>
        <w:t xml:space="preserve">. In February 2017 we consummated the Share Exchange, following which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i/>
          <w:color w:val="000000"/>
          <w:sz w:val="20"/>
        </w:rPr>
        <w:t>Share Exchange Intellectual Property and Technology License Agreement</w:t>
      </w:r>
      <w:r>
        <w:rPr>
          <w:rFonts w:ascii="Arial;sans-serif" w:hAnsi="Arial;sans-serif"/>
          <w:b w:val="false"/>
          <w:color w:val="000000"/>
          <w:sz w:val="20"/>
        </w:rPr>
        <w:t xml:space="preserve">. Effective March 2017, in connection with the Share 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Share Exchange Tax Matters Agreement</w:t>
      </w:r>
      <w:r>
        <w:rPr>
          <w:rFonts w:ascii="Arial;sans-serif" w:hAnsi="Arial;sans-serif"/>
          <w:b w:val="false"/>
          <w:color w:val="000000"/>
          <w:sz w:val="20"/>
        </w:rPr>
        <w:t xml:space="preserve">. Effective March 2017, in connection with the Share Exchange, we and DISH entered into a tax 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i/>
          <w:color w:val="000000"/>
          <w:sz w:val="20"/>
        </w:rPr>
        <w:t>Share Exchange Employee Matters Agreement</w:t>
      </w:r>
      <w:r>
        <w:rPr>
          <w:rFonts w:ascii="Arial;sans-serif" w:hAnsi="Arial;sans-serif"/>
          <w:b w:val="false"/>
          <w:color w:val="000000"/>
          <w:sz w:val="20"/>
        </w:rPr>
        <w:t>. Effective March 2017, in connection with the Share Exchange, we and DISH 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RELATED PARTY TRANSACTIONS - OTHER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Hughes Systique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contract with Hughes Systique Corporation (“Hughes Systique”) for software development services. In addition to our approximately 42% ownership in Hughes Systique, Mr. Pradman Kaul, the former President of our subsidiary Hughes Communications and Vice-Chair of our board of directors (effective January 1, 2023), and his brother, who is the Chief Executive Officer and President of Hughes Systique, own in the aggregate approximately 25%, on an undiluted basis, of Hughes Systique’s outstanding shares as of September 30, 2023.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TerreStar Solutions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DISH Network owns more than 15% of TerreStar Solutions, Inc. (“TSI”) as of September 30, 2023. In May 2018, we and TSI entered into an equipment and services agreement pursuant to which we design, manufacture and install upgraded ground communications network equipment for TSI’s network and provide, among other things, warranty and support services. We recognized revenue from TSI of $0.5 million and $0.5 million for the three months ended September 30, 2023 and 2022, respectively, and $1.4 million, and $1.5 million for the nine months ended September 30, 2023, and 2022, respectively. As of September 30, 2023 we had no trade accounts receivable from TSI.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13. CONTINGENCIES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Patents and Intellectual Property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Certain Arrangements with DISH Network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selling, general and administrative expense as incurred.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License Fee Dispute with Government of India, Department of Telecommunications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Pursuant to the Contribution and Membership Interest Purchase Agreement (the “Purchase Agreement”) dated December 3, 2004 between The DirecTV Group, Inc. ("DirecTV") and certain other entities relating to the spinoff by DirecTV of certain of its subsidiaries, including HCIPL, DirecTV undertook indemnification obligations to HCIPL, and HCIPL has pursued indemnification claims against DirecTV under the Purchase Agreement in connection with the license fees assessed in this proceeding.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June 22, 2023, the United States Court of Appeals for the Second Circuit ruled that, under the Purchase Agreement, HCIPL, is entitled to indemnification from DirecTV, with the amount of indemnification to be determined in further proceedings before the district court in New York.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the accrual:</w:t>
      </w:r>
    </w:p>
    <w:tbl>
      <w:tblPr>
        <w:tblW w:w="7431"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376"/>
        <w:gridCol w:w="1346"/>
        <w:gridCol w:w="197"/>
        <w:gridCol w:w="109"/>
        <w:gridCol w:w="109"/>
        <w:gridCol w:w="109"/>
        <w:gridCol w:w="357"/>
        <w:gridCol w:w="1272"/>
        <w:gridCol w:w="260"/>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license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interest on penalties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78,327 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60,649 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67,483 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eventual payments made with respect to the ultimate outcome of this matter may be different from our accrual and such differences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SEGMENT REPORTING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Business segments are components of an enterprise for which separate financial information is available and regularly evaluated by our chief operating decision maker (“CODM”), who is our Chief Executive Officer. We operate in two business segments: Hughes segment and ESS segment.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primary measure of segment profitability that is reported regularly to our CODM is earnings before interest, taxes, depreciation and amortization, and net income (loss) attributable to non-controlling interests (“EBITDA”).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assets by segment have not been reported herein because the information is not provided to our CODM on a regular basis.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total revenue, capital expenditures and EBITDA for each of our business segments: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9"/>
        <w:gridCol w:w="1117"/>
        <w:gridCol w:w="1124"/>
        <w:gridCol w:w="109"/>
        <w:gridCol w:w="109"/>
        <w:gridCol w:w="109"/>
        <w:gridCol w:w="211"/>
        <w:gridCol w:w="976"/>
        <w:gridCol w:w="109"/>
        <w:gridCol w:w="109"/>
        <w:gridCol w:w="109"/>
        <w:gridCol w:w="109"/>
        <w:gridCol w:w="211"/>
        <w:gridCol w:w="721"/>
        <w:gridCol w:w="109"/>
        <w:gridCol w:w="109"/>
        <w:gridCol w:w="109"/>
        <w:gridCol w:w="109"/>
        <w:gridCol w:w="319"/>
        <w:gridCol w:w="1193"/>
        <w:gridCol w:w="164"/>
        <w:gridCol w:w="109"/>
        <w:gridCol w:w="109"/>
        <w:gridCol w:w="109"/>
        <w:gridCol w:w="211"/>
        <w:gridCol w:w="976"/>
        <w:gridCol w:w="157"/>
      </w:tblGrid>
      <w:tr>
        <w:trPr/>
        <w:tc>
          <w:tcPr>
            <w:tcW w:w="129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(45,812)</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(32,963)</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145,493 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1,305,780 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440,435 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(99,979)</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354,541 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1,498,237 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1,498,237 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546,108 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(16,023)</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539,743 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 xml:space="preserve">The following table reconciles </w:t>
      </w:r>
      <w:r>
        <w:rPr>
          <w:rFonts w:ascii="Arial;sans-serif" w:hAnsi="Arial;sans-serif"/>
          <w:b w:val="false"/>
          <w:i/>
          <w:color w:val="000000"/>
          <w:sz w:val="20"/>
        </w:rPr>
        <w:t>Income (loss) before income taxes</w:t>
      </w:r>
      <w:r>
        <w:rPr>
          <w:color w:val="000000"/>
        </w:rPr>
        <w:t xml:space="preserve"> </w:t>
      </w:r>
      <w:r>
        <w:rPr>
          <w:rFonts w:ascii="Arial;sans-serif" w:hAnsi="Arial;sans-serif"/>
          <w:b w:val="false"/>
          <w:color w:val="000000"/>
          <w:sz w:val="20"/>
        </w:rPr>
        <w:t xml:space="preserve">in the Consolidated Statements of Operations to EBITDA: </w:t>
      </w:r>
    </w:p>
    <w:tbl>
      <w:tblPr>
        <w:tblW w:w="10205" w:type="dxa"/>
        <w:jc w:val="left"/>
        <w:tblInd w:w="0" w:type="dxa"/>
        <w:tblLayout w:type="fixed"/>
        <w:tblCellMar>
          <w:top w:w="28" w:type="dxa"/>
          <w:left w:w="28" w:type="dxa"/>
          <w:bottom w:w="28" w:type="dxa"/>
          <w:right w:w="28" w:type="dxa"/>
        </w:tblCellMar>
      </w:tblPr>
      <w:tblGrid>
        <w:gridCol w:w="1273"/>
        <w:gridCol w:w="823"/>
        <w:gridCol w:w="830"/>
        <w:gridCol w:w="109"/>
        <w:gridCol w:w="109"/>
        <w:gridCol w:w="109"/>
        <w:gridCol w:w="265"/>
        <w:gridCol w:w="1042"/>
        <w:gridCol w:w="137"/>
        <w:gridCol w:w="137"/>
        <w:gridCol w:w="137"/>
        <w:gridCol w:w="137"/>
        <w:gridCol w:w="265"/>
        <w:gridCol w:w="1042"/>
        <w:gridCol w:w="137"/>
        <w:gridCol w:w="109"/>
        <w:gridCol w:w="109"/>
        <w:gridCol w:w="109"/>
        <w:gridCol w:w="263"/>
        <w:gridCol w:w="1029"/>
        <w:gridCol w:w="135"/>
        <w:gridCol w:w="135"/>
        <w:gridCol w:w="135"/>
        <w:gridCol w:w="135"/>
        <w:gridCol w:w="263"/>
        <w:gridCol w:w="1029"/>
        <w:gridCol w:w="202"/>
      </w:tblGrid>
      <w:tr>
        <w:trPr/>
        <w:tc>
          <w:tcPr>
            <w:tcW w:w="12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145,493 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354,541 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539,743 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15. SUPPLEMENTAL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Other Current Assets, Net and Other Non-current Assets, Net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Other current assets, net and</w:t>
      </w:r>
      <w:r>
        <w:rPr>
          <w:color w:val="000000"/>
        </w:rPr>
        <w:t xml:space="preserve"> </w:t>
      </w:r>
      <w:r>
        <w:rPr>
          <w:rFonts w:ascii="Arial;sans-serif" w:hAnsi="Arial;sans-serif"/>
          <w:b w:val="false"/>
          <w:i/>
          <w:color w:val="000000"/>
          <w:sz w:val="20"/>
        </w:rPr>
        <w:t>Other non-current assets, net</w:t>
      </w:r>
      <w:r>
        <w:rPr>
          <w:rFonts w:ascii="Arial;sans-serif" w:hAnsi="Arial;sans-serif"/>
          <w:b w:val="false"/>
          <w:color w:val="000000"/>
          <w:sz w:val="20"/>
        </w:rPr>
        <w:t>:</w:t>
      </w:r>
    </w:p>
    <w:tbl>
      <w:tblPr>
        <w:tblW w:w="8407" w:type="dxa"/>
        <w:jc w:val="center"/>
        <w:tblInd w:w="0" w:type="dxa"/>
        <w:tblLayout w:type="fixed"/>
        <w:tblCellMar>
          <w:top w:w="28" w:type="dxa"/>
          <w:left w:w="28" w:type="dxa"/>
          <w:bottom w:w="28" w:type="dxa"/>
          <w:right w:w="28" w:type="dxa"/>
        </w:tblCellMar>
      </w:tblPr>
      <w:tblGrid>
        <w:gridCol w:w="1429"/>
        <w:gridCol w:w="1253"/>
        <w:gridCol w:w="1262"/>
        <w:gridCol w:w="109"/>
        <w:gridCol w:w="109"/>
        <w:gridCol w:w="109"/>
        <w:gridCol w:w="344"/>
        <w:gridCol w:w="1398"/>
        <w:gridCol w:w="178"/>
        <w:gridCol w:w="109"/>
        <w:gridCol w:w="109"/>
        <w:gridCol w:w="109"/>
        <w:gridCol w:w="326"/>
        <w:gridCol w:w="1325"/>
        <w:gridCol w:w="238"/>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248,241 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210,446 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fulfillment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326,485 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317,062 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Inventory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inventory: </w:t>
      </w:r>
    </w:p>
    <w:tbl>
      <w:tblPr>
        <w:tblW w:w="5994" w:type="dxa"/>
        <w:jc w:val="center"/>
        <w:tblInd w:w="0" w:type="dxa"/>
        <w:tblLayout w:type="fixed"/>
        <w:tblCellMar>
          <w:top w:w="28" w:type="dxa"/>
          <w:left w:w="28" w:type="dxa"/>
          <w:bottom w:w="28" w:type="dxa"/>
          <w:right w:w="28" w:type="dxa"/>
        </w:tblCellMar>
      </w:tblPr>
      <w:tblGrid>
        <w:gridCol w:w="554"/>
        <w:gridCol w:w="486"/>
        <w:gridCol w:w="491"/>
        <w:gridCol w:w="109"/>
        <w:gridCol w:w="109"/>
        <w:gridCol w:w="109"/>
        <w:gridCol w:w="344"/>
        <w:gridCol w:w="1398"/>
        <w:gridCol w:w="178"/>
        <w:gridCol w:w="109"/>
        <w:gridCol w:w="109"/>
        <w:gridCol w:w="109"/>
        <w:gridCol w:w="326"/>
        <w:gridCol w:w="1325"/>
        <w:gridCol w:w="238"/>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40,227 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74,278 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167,511 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123,606 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Accrued Expenses and Other Current Liabilities and Other Non-Current Liabilities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table presents the components of</w:t>
      </w:r>
      <w:r>
        <w:rPr>
          <w:color w:val="000000"/>
        </w:rPr>
        <w:t xml:space="preserve"> </w:t>
      </w:r>
      <w:r>
        <w:rPr>
          <w:rFonts w:ascii="Arial;sans-serif" w:hAnsi="Arial;sans-serif"/>
          <w:b w:val="false"/>
          <w:i/>
          <w:color w:val="000000"/>
          <w:sz w:val="20"/>
        </w:rPr>
        <w:t xml:space="preserve">Accrued expenses and other current liabilities </w:t>
      </w:r>
      <w:r>
        <w:rPr>
          <w:rFonts w:ascii="Arial;sans-serif" w:hAnsi="Arial;sans-serif"/>
          <w:b w:val="false"/>
          <w:color w:val="000000"/>
          <w:sz w:val="20"/>
        </w:rPr>
        <w:t xml:space="preserve">and </w:t>
      </w:r>
      <w:r>
        <w:rPr>
          <w:rFonts w:ascii="Arial;sans-serif" w:hAnsi="Arial;sans-serif"/>
          <w:b w:val="false"/>
          <w:i/>
          <w:color w:val="000000"/>
          <w:sz w:val="20"/>
        </w:rPr>
        <w:t>Other non-current liabilities:</w:t>
      </w:r>
    </w:p>
    <w:tbl>
      <w:tblPr>
        <w:tblW w:w="9007" w:type="dxa"/>
        <w:jc w:val="left"/>
        <w:tblInd w:w="0" w:type="dxa"/>
        <w:tblLayout w:type="fixed"/>
        <w:tblCellMar>
          <w:top w:w="28" w:type="dxa"/>
          <w:left w:w="28" w:type="dxa"/>
          <w:bottom w:w="28" w:type="dxa"/>
          <w:right w:w="28" w:type="dxa"/>
        </w:tblCellMar>
      </w:tblPr>
      <w:tblGrid>
        <w:gridCol w:w="1646"/>
        <w:gridCol w:w="1444"/>
        <w:gridCol w:w="1454"/>
        <w:gridCol w:w="109"/>
        <w:gridCol w:w="109"/>
        <w:gridCol w:w="109"/>
        <w:gridCol w:w="344"/>
        <w:gridCol w:w="1398"/>
        <w:gridCol w:w="178"/>
        <w:gridCol w:w="109"/>
        <w:gridCol w:w="109"/>
        <w:gridCol w:w="109"/>
        <w:gridCol w:w="326"/>
        <w:gridCol w:w="1325"/>
        <w:gridCol w:w="238"/>
      </w:tblGrid>
      <w:tr>
        <w:trPr/>
        <w:tc>
          <w:tcPr>
            <w:tcW w:w="16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199,853 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109,396 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119,787 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Supplemental and Non-cash Investing and Financing Activities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year-to-date supplemental and non-cash investing and financing activities: </w:t>
      </w:r>
    </w:p>
    <w:tbl>
      <w:tblPr>
        <w:tblW w:w="10205" w:type="dxa"/>
        <w:jc w:val="center"/>
        <w:tblInd w:w="0" w:type="dxa"/>
        <w:tblLayout w:type="fixed"/>
        <w:tblCellMar>
          <w:top w:w="28" w:type="dxa"/>
          <w:left w:w="28" w:type="dxa"/>
          <w:bottom w:w="28" w:type="dxa"/>
          <w:right w:w="28" w:type="dxa"/>
        </w:tblCellMar>
      </w:tblPr>
      <w:tblGrid>
        <w:gridCol w:w="2186"/>
        <w:gridCol w:w="1921"/>
        <w:gridCol w:w="1930"/>
        <w:gridCol w:w="109"/>
        <w:gridCol w:w="109"/>
        <w:gridCol w:w="109"/>
        <w:gridCol w:w="315"/>
        <w:gridCol w:w="1122"/>
        <w:gridCol w:w="162"/>
        <w:gridCol w:w="162"/>
        <w:gridCol w:w="162"/>
        <w:gridCol w:w="162"/>
        <w:gridCol w:w="315"/>
        <w:gridCol w:w="1204"/>
        <w:gridCol w:w="237"/>
      </w:tblGrid>
      <w:tr>
        <w:trPr/>
        <w:tc>
          <w:tcPr>
            <w:tcW w:w="218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60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19,976 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32,577 </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 paid in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capital expenditures included in accounts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(22,146)</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net assets received as part of the India JV 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36,701 </w:t>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16. SUBSEQUENT EVENTS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2, 2023, the Company entered into an Amended and Restated Agreement and Plan of Merger with DISH and EAV Corp., a Nevada corporation and a wholly owned subsidiary of EchoStar. The Amended Merger Agreement revises the structure of the merger of DISH and EchoStar contemplated by the Original Merger Agreement. The Amended Merger Agreement provides, among other things, that subject to the satisfaction or waiver of the conditions set forth in the Amended Merger Agreement, Merger Sub will merge with and into DISH, with DISH surviving the Merger as a wholly owned subsidiary of EchoStar. The expected proportional ownership of existing EchoStar stockholders and DISH stockholders in the combined company upon the consummation of the Merger remains the same as the expected proportional ownership contemplated by the Original Merger Agreement. Pursuant to the Amended Merger Agreement, at the effective time of the Merger, each share of DISH Class A Common Stock, par value $0.01 per share, and DISH Class C Common Stock, par value $0.01 per share, outstanding immediately prior to the Effective Time, will be converted into the right to receive a number of validly issued, fully paid and non-assessable shares of EchoStar Class A Common Stock, par value $0.001 per share, equal to 0.350877. On the terms and subject to the conditions set forth in the Amended Merger Agreement, at the Effective Time, each share of DISH Class B Common Stock, par value $0.01 per share, outstanding immediately prior to the Effective Time will be converted into the right to receive a number of validly issued, fully paid and non-assessable shares of EchoStar Class B Common Stock, par value $0.001 per share, equal to the Exchange Ratio. Any shares of DISH Class A Common Stock, DISH Class B Common Stock and DISH Class C Common Stock that are held in DISH’s treasury or held directly by EchoStar or Merger Sub immediately prior to the Effective Time will be cancelled and cease to exist and no consideration shall be paid or payable in respect thereof.</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Concurrently with the entry into the Amended Merger Agreement, Charles W. Ergen and Ergen family stockholders entered into an amended support agreement with the Company and DISH, pursuant to which the Ergen stockholders agreed to not vote, or cause or direct to be voted, the shares of EchoStar Class A Common Stock owned by them, other than with respect of any matter presented to the holders of EchoStar Class A Common Stock on which holders of EchoStar Class B Common Stock are not entitled to vote, for three years following the closing of the Merger. The parties have agreed to enter into a registration rights agreement reasonably acceptable to the parties providing for the registration of the Ergen stockholders’ shares of EchoStar Class A Common Stock or EchoStar Class B Common Stock received as part of the Merger consideration and/or EchoStar Class B Common Stock held by such stockholders immediately prior to the closing of the Merger, at EchoStar’s sole cost and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of directors of the Company (the “Board”), acting upon the unanimous recommendation of a special transaction committee of independent directors of the Board, has unanimously approved, adopted and declared advisable the Amended Merger Agreement and the transactions contemplated by the Amended Merger Agreement. The closing of the Merger is expected to occur in the fourth calendar quarter of 2023, subject to the satisfaction of certain regulatory approvals and other customary closing conditions. The Amended Merger Agreement provides certain termination rights for each of the Company and DISH including, among others, if the consummation of the Merger does not occur on or before April 2,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EXECUTIVE SUMMARY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operate in two business segments: our Hughes segment and our EchoStar Satellite Services segment (“ESS segment”). Our operations include various corporate functions that have not been assigned to our business segments. These activities, costs and income, as well as eliminations of intersegment transactions, are accounted for in Corporate and Other.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amounts presented in this Management’s Discussion and Analysis are expressed in thousands of U.S. dollars, except share and per share amounts and unless otherwise noted.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8, 2023, the Company entered into an Agreement and Plan of Merger (the “Original Merger Agreement”) with DISH Network Corporation, a Nevada corporation (“DISH”), and Eagle Sub Corp, a Nevada corporation and a wholly owned subsidiary of DISH. The Original Merger Agreement provided, among other things, that subject to the satisfaction or waiver of the conditions set forth in the agreement, Eagle Sub Corp would merge with and into EchoStar, with EchoStar surviving as a wholly owned subsidiary of DISH.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October 2, 2023, the Company entered into an Amended and Restated Agreement and Plan of Merger (the “Amended Merger Agreement”) with DISH and EAV Corp., a Nevada corporation and a wholly owned subsidiary of EchoStar (“Merger Sub”). The Amended Merger Agreement revises the structure of the merger of DISH and EchoStar contemplated by the Original Merger Agreement. The Amended Merger Agreement provides, among other things, that subject to the satisfaction or waiver of the conditions set forth in the Amended Merger Agreement, Merger Sub will merge with and into DISH (the “Merger”), with DISH surviving the Merger as a wholly owned subsidiary of EchoStar. The expected proportional ownership of existing EchoStar stockholders and DISH stockholders in the combined company upon the consummation of the Merger remains the same as the expected proportional ownership contemplated by the Original Merger Agreement. Pursuant to the Amended Merger Agreement, at the effective time of the Merger, (the “Effective Time”), each share of DISH Class A Common Stock, par value $0.01 per share (“DISH Class A Common Stock”) and DISH Class C Common Stock, par value $0.01 per share (“DISH Class C Common Stock”), outstanding immediately prior to the Effective Time, will be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Class B Common Stock, par value $0.01 per share (“DISH Class B Common Stock”), outstanding immediately prior to the Effective Time will be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Class A Common Stock, DISH Class B Common Stock and DISH Class C Common Stock (collectively, “DISH Common Stock”) that are held in DISH’s treasury or held directly by EchoStar or Merger Sub immediately prior to the Effective Time will be cancelled and cease to exist and no consideration shall be paid or payable in respect thereof.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Concurrently with the entry into the Amended Merger Agreement, Charles W. Ergen and Ergen family stockholders entered into an amended support agreement with the Company and DISH, pursuant to which they have agreed to not vote, or cause or direct to be voted, the shares of EchoStar Class A Common Stock owned by them, other than with respect of any matter presented to the holders of EchoStar Class A Common Stock on which holders of EchoStar Class B Common Stock are not entitled to vote, for three years following the closing of the Merger. Under the terms of the amended support agreement, EchoStar and the Ergen Stockholders will enter into a registration rights agreement reasonably acceptable to the parties prior to the closing of the Merger providing for the registration of such stockholders’ shares of EchoStar Class A Common Stock or EchoStar Class B Common Stock received as part of the Merger consideration and/or shares of EchoStar Class B Common Stock held by such stockholders immediately prior to the closing of the Merger, at EchoStar’s sole cost and expense.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Upon the consummation of the Merger, the Company Board will consist of eleven directors, comprised of (i) seven individuals who were members of the DISH board as of immediately prior to the Merger, (ii) three individuals who were independent directors on the Company Board as of immediately prior to the Merger and (iii) the President and Chief Executive Officer of EchoStar. The Company and DISH will consult with each other in connection with selecting the directors of the existing Company Board who will continue to serve on the Company Board from and after the Merger</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of directors of the Company (the “Board”), acting upon the unanimous recommendation of a special transaction committee of independent directors of the Board, has unanimously approved, adopted and declared advisable the Amended Merger Agreement and the transactions contemplated by the Amended Merger Agreement. The closing of the Merger is expected to occur in the fourth calendar quarter of 2023, subject to the satisfaction of certain regulatory approvals and other customary closing conditions. The Amended Merger Agreement provides certain termination rights for each of the Company and DISH, including, among others, if the consummation of the Merger does not occur on or before April 2,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Hughes Segment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Hughes segment is an industry leader in both networking technologies and services, innovating to deliver the global solutions that power a connected future for people, enterprises and things everywhere. We offer broadband satellite technologies and broadband internet products and services to consumer customers. We offer broadband network technologies, managed services, equipment, hardware, satellite services and communications solutions to government and enterprise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Anticipating the commencement of commercial operations of the EchoStar XXIV satellite, as discussed below, our consumer business, marketed under the HughesNet® brand, has been focused on optimizing financial returns of our existing satellites, while planning for new satellite capacity.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We expect that our enterprise business will also benefit from the new capacity added with EchoStar XXIV.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are expected to be addressed by the EchoStar XXIV satellite.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EchoStar XXIV satellite launched in July 2023 and is expected to begin service in December 2023. Once in service, the satellite is expected to bring further consumer broadband capacity across North and South America and generate additional sales in other markets, including in-flight Wi-Fi, enterprise networking and cellular backhaul for mobile network operators across the two continents.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broadband subscribers include customers that subscribe to our HughesNet services in the U.S. and Latin America through retail, wholesale and small/medium enterprise service channels.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approximate number of broadband subscribers:</w:t>
      </w:r>
    </w:p>
    <w:tbl>
      <w:tblPr>
        <w:tblW w:w="6893" w:type="dxa"/>
        <w:jc w:val="left"/>
        <w:tblInd w:w="0" w:type="dxa"/>
        <w:tblLayout w:type="fixed"/>
        <w:tblCellMar>
          <w:top w:w="28" w:type="dxa"/>
          <w:left w:w="28" w:type="dxa"/>
          <w:bottom w:w="28" w:type="dxa"/>
          <w:right w:w="28" w:type="dxa"/>
        </w:tblCellMar>
      </w:tblPr>
      <w:tblGrid>
        <w:gridCol w:w="934"/>
        <w:gridCol w:w="821"/>
        <w:gridCol w:w="825"/>
        <w:gridCol w:w="109"/>
        <w:gridCol w:w="109"/>
        <w:gridCol w:w="109"/>
        <w:gridCol w:w="639"/>
        <w:gridCol w:w="639"/>
        <w:gridCol w:w="641"/>
        <w:gridCol w:w="109"/>
        <w:gridCol w:w="109"/>
        <w:gridCol w:w="109"/>
        <w:gridCol w:w="541"/>
        <w:gridCol w:w="480"/>
        <w:gridCol w:w="456"/>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801,000 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846,000 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262,000 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broadband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1,063,000 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1,122,000 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approximate number of net subscriber decreases:</w:t>
      </w:r>
    </w:p>
    <w:tbl>
      <w:tblPr>
        <w:tblW w:w="7791" w:type="dxa"/>
        <w:jc w:val="left"/>
        <w:tblInd w:w="0" w:type="dxa"/>
        <w:tblLayout w:type="fixed"/>
        <w:tblCellMar>
          <w:top w:w="28" w:type="dxa"/>
          <w:left w:w="28" w:type="dxa"/>
          <w:bottom w:w="28" w:type="dxa"/>
          <w:right w:w="28" w:type="dxa"/>
        </w:tblCellMar>
      </w:tblPr>
      <w:tblGrid>
        <w:gridCol w:w="1016"/>
        <w:gridCol w:w="892"/>
        <w:gridCol w:w="897"/>
        <w:gridCol w:w="109"/>
        <w:gridCol w:w="109"/>
        <w:gridCol w:w="109"/>
        <w:gridCol w:w="639"/>
        <w:gridCol w:w="639"/>
        <w:gridCol w:w="641"/>
        <w:gridCol w:w="298"/>
        <w:gridCol w:w="298"/>
        <w:gridCol w:w="298"/>
        <w:gridCol w:w="453"/>
        <w:gridCol w:w="453"/>
        <w:gridCol w:w="459"/>
        <w:gridCol w:w="109"/>
        <w:gridCol w:w="109"/>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(44,000)</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subscriber decreases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(59,000)</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ability to gain new customers and retain existing customers in the U.S. is being impacted by our capacity limitations, competitive pressure from satellite-based competitors and other technologies, and increased bandwidth usage on average by our existing customers. For the three months ended September 30, 2023, these factors resulted in lower total subscribers as compared to the three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gain new customers and retain existing customers in Latin America were tempered by our focus on more profitable consumer segments and our allocation of capacity to enterprise opportunities. Capacity constraints in certain other areas also limit our ability to add new subscribers. For the three months ended September 30, 2023, the decline in net subscribers was primarily due to more selective customer screening as compared to the three months ended June 30,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continued to execute our strategy of maximizing financial returns by utilizing capacity for higher economic value enterprise and government applications in Latin America. Continued success of this strategy will further reduce the available capacity for consumers.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of September 30, 2023, our Hughes segment had $1.5 billion of contracted revenue backlog, which was primarily flat compared to December 31, 2022. We define Hughes segment contracted revenue backlog as our expected future revenue under enterprise customer contracts that are non-cancelable, including lease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date, we have not experienced a material adverse impact from the Russia-Ukraine conflict and the associated sanctions.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ESS Segment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make continuous use of our available satellite capacity on behalf of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without diminishing its capacity.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our ESS segment had $13.2 million of contracted revenue backlog, a decrease of 40.8%, as compared to December 31, 2022, primarily due to the recognition of revenue of existing contracts. We define contracted revenue backlog for our ESS segment as contracted future satellite lease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Satellite Anomalies and Impairments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2023, we lost contact with our third nano-satellite (“EG-3”), which was launched in the second quarter of 2021 and brought into use through our Sirion-1 ITU filing in the third quarter of 2021. Consequently, we canceled our contract with the vendor who manufactured and operated our nano-satellites and recorded an impairment charge of $3.1 million related to EG-3 and other related assets in the first quarter of 2023 in Corporate and Other. As a result, the ITU has suspended the filing, and we have three years from the date of suspension to place a new S-band spacecraft at the altitude prescribed in our Australian ITU filing. We expect the first group of S-band satellites ordered from our supplier, Astro Digital, to be launched well in advance of the three-year replacement deadline.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second quarter of 2023, we reduced the estimated useful life of the Al Yah 3 satellite, which serves our Brazilian customers, as a result of certain technical anomalies. In order to safeguard the future operability of the satellite, the Company has, in conjunction with recommendations from the satellite manufacturer, implemented immediate and long-term remedial actions. A revised estimate of the satellite’s remaining lifetime has been calculated using operational data of two previous quarters. Although the anomalies are expected to shorten the remaining useful life of the satellite, they have not affected its current operation.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not aware of any other anomalies with respect to our owned or leased satellites as of September 30, 2023. There can be no assurance, however, that undetected existing or future anomalies will not have a significant adverse effect on our operations or revenue in the future. In addition, there can be no assurance that we can recover critical transmission capacity in the event one or more of our satellites were to fail.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Cybersecurity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not aware of cyber-incidents with respect to our owned or leased satellites or other networks, equipment or systems that have had a material adverse effect on our business, costs, operations, prospects, results of operation or financial position during the nine months ended September 30, 2023 and through November 6, 2023. There can be no assurance, however, that any such incident can be detected or thwarted or will not have such a material adverse effect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EXPLANATION OF KEY METRICS AND OTHER ITEMS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primarily includes the sales of consumer and enterprise broadband services, maintenance and other contracted services, revenue associated with satellite and transponder leases and services, satellite uplinking/downlinking, subscriber wholesale service fees for the HughesNet service, professional services, and facilities rental revenue.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Equipment revenue</w:t>
      </w:r>
      <w:r>
        <w:rPr>
          <w:rFonts w:ascii="Arial;sans-serif" w:hAnsi="Arial;sans-serif"/>
          <w:b w:val="false"/>
          <w:color w:val="000000"/>
          <w:sz w:val="20"/>
        </w:rPr>
        <w:t xml:space="preserve">. Equipment revenue primarily includes broadband equipment and networks sold to customers in our consumer and enterprise markets.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xml:space="preserve">. Cost of sales - services and other primarily includes the cost of broadband services provided to our consumer and enterprise customers, maintenance and other contracted services, costs associated with satellite and transponder leases and services, professional services, and facilities rental expenses.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equipment</w:t>
      </w:r>
      <w:r>
        <w:rPr>
          <w:rFonts w:ascii="Arial;sans-serif" w:hAnsi="Arial;sans-serif"/>
          <w:b w:val="false"/>
          <w:color w:val="000000"/>
          <w:sz w:val="20"/>
        </w:rPr>
        <w:t xml:space="preserve">. Cost of sales - equipment consists primarily of the cost of broadband equipment and networks provided to customers in our consumer and enterprise markets. It also includes certain other costs associated with the deployment of equipment to our customers.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w:t>
      </w:r>
      <w:r>
        <w:rPr>
          <w:rFonts w:ascii="Arial;sans-serif" w:hAnsi="Arial;sans-serif"/>
          <w:b w:val="false"/>
          <w:color w:val="000000"/>
          <w:sz w:val="20"/>
        </w:rPr>
        <w:t xml:space="preserve">Selling, general and administrative expenses primarily include selling and marketing costs and employee-related costs associated with administrative services (e.g., information systems, human resources and other services), including bad debt expense and stock-based compensation expense. It also includes professional fees (e.g., legal, information systems and accounting services) and other expenses associated with facilities and administrative services.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Research and development expenses</w:t>
      </w:r>
      <w:r>
        <w:rPr>
          <w:rFonts w:ascii="Arial;sans-serif" w:hAnsi="Arial;sans-serif"/>
          <w:b w:val="false"/>
          <w:color w:val="000000"/>
          <w:sz w:val="20"/>
        </w:rPr>
        <w:t xml:space="preserve">. Research and development expenses primarily include costs associated with the design and development of products to support future growth and provide new technology and innovation to our customers.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Impairment of long-lived assets</w:t>
      </w:r>
      <w:r>
        <w:rPr>
          <w:rFonts w:ascii="Arial;sans-serif" w:hAnsi="Arial;sans-serif"/>
          <w:b w:val="false"/>
          <w:color w:val="000000"/>
          <w:sz w:val="20"/>
        </w:rPr>
        <w:t>. Impairment of long-lived assets includes our impairment losses related to our property and equipment, regulatory authorizations and other intangible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xml:space="preserve">. Interest income, net primarily includes interest earned on our cash, cash equivalents and marketable investment securities, and other investments including premium amortization, discount accretion on debt securities, and changes in allowance for estimated credit losses on investments.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xml:space="preserve">. Interest expense, net of amounts capitalized primarily includes interest expense associated with our debt and finance lease obligations (net of capitalized interest), amortization of debt issuance costs, and interest expense related to certain legal proceedings.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Gains (losses) on investments, net</w:t>
      </w:r>
      <w:r>
        <w:rPr>
          <w:rFonts w:ascii="Arial;sans-serif" w:hAnsi="Arial;sans-serif"/>
          <w:b w:val="false"/>
          <w:color w:val="000000"/>
          <w:sz w:val="20"/>
        </w:rPr>
        <w:t xml:space="preserve">. Gains (losses) on investments, net primarily includes changes in fair value of our marketable equity 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Equity in earnings (losses) of unconsolidated affiliates, net</w:t>
      </w:r>
      <w:r>
        <w:rPr>
          <w:rFonts w:ascii="Arial;sans-serif" w:hAnsi="Arial;sans-serif"/>
          <w:b w:val="false"/>
          <w:color w:val="000000"/>
          <w:sz w:val="20"/>
        </w:rPr>
        <w:t>. Equity in earnings (losses) of unconsolidated affiliates, net includes earnings or losses from our investments accounted for using the equity method.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Other-than-temporary impairment losses on equity method investments</w:t>
      </w:r>
      <w:r>
        <w:rPr>
          <w:rFonts w:ascii="Arial;sans-serif" w:hAnsi="Arial;sans-serif"/>
          <w:b/>
          <w:color w:val="000000"/>
          <w:sz w:val="20"/>
        </w:rPr>
        <w:t xml:space="preserve">. </w:t>
      </w:r>
      <w:r>
        <w:rPr>
          <w:rFonts w:ascii="Arial;sans-serif" w:hAnsi="Arial;sans-serif"/>
          <w:b w:val="false"/>
          <w:color w:val="000000"/>
          <w:sz w:val="20"/>
        </w:rPr>
        <w:t>Other-than-temporary impairment losses on equity method investments primarily includes impairment charges for losses on our equity method investments which were deemed permanent in 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i/>
          <w:color w:val="000000"/>
          <w:sz w:val="20"/>
        </w:rPr>
        <w:t>Foreign currency transaction gains (losses), net</w:t>
      </w:r>
      <w:r>
        <w:rPr>
          <w:rFonts w:ascii="Arial;sans-serif" w:hAnsi="Arial;sans-serif"/>
          <w:b w:val="false"/>
          <w:color w:val="000000"/>
          <w:sz w:val="20"/>
        </w:rPr>
        <w:t xml:space="preserve">. Foreign currency transaction gains (losses), net include gains </w:t>
      </w:r>
      <w:r>
        <w:rPr>
          <w:rFonts w:ascii="Arial;sans-serif" w:hAnsi="Arial;sans-serif"/>
          <w:b w:val="false"/>
          <w:color w:val="000000"/>
          <w:sz w:val="20"/>
          <w:shd w:fill="FFFFFF" w:val="clear"/>
        </w:rPr>
        <w:t xml:space="preserve">and losses resulting from the re-measurement of transactions denominated in foreign 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shd w:fill="FFFFFF" w:val="clear"/>
        </w:rPr>
        <w:t>Other, net</w:t>
      </w:r>
      <w:r>
        <w:rPr>
          <w:rFonts w:ascii="Arial;sans-serif" w:hAnsi="Arial;sans-serif"/>
          <w:b w:val="false"/>
          <w:color w:val="000000"/>
          <w:sz w:val="20"/>
          <w:shd w:fill="FFFFFF" w:val="clear"/>
        </w:rPr>
        <w:t>. Other, net primarily includes dividends received from our marketable investment securities, gains from repayment of other debt investments, transaction costs related to the proposed merger with DISH Network Corporation, and other non-operating income and expense items that are not appropriately classified elsewhere in the Consolidated Statements of Operations in our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Earnings before interest, taxes, depreciation and amortization (“EBITDA”)</w:t>
      </w:r>
      <w:r>
        <w:rPr>
          <w:rFonts w:ascii="Arial;sans-serif" w:hAnsi="Arial;sans-serif"/>
          <w:b w:val="false"/>
          <w:color w:val="000000"/>
          <w:sz w:val="20"/>
        </w:rPr>
        <w:t xml:space="preserve">. EBITDA is defined as Net income (loss) excluding Interest income and expense, net, Income tax benefit (provision), net, Depreciation and amortization, and Net income (loss) attributable to non-controlling interests. EBITDA is not a measure determined in accordance with U.S.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Subscribers. </w:t>
      </w:r>
      <w:r>
        <w:rPr>
          <w:rFonts w:ascii="Arial;sans-serif" w:hAnsi="Arial;sans-serif"/>
          <w:b w:val="false"/>
          <w:color w:val="000000"/>
          <w:sz w:val="20"/>
        </w:rPr>
        <w:t xml:space="preserve">Subscribers include customers that subscribe to our HughesNet service, through retail, wholesale and small/medium enterprise service channels.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Highlights from our Financial Results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Results of Operations for the Three Months Ended September 30, 2023:</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 </w:t>
      </w:r>
      <w:r>
        <w:rPr>
          <w:rFonts w:ascii="Arial;sans-serif" w:hAnsi="Arial;sans-serif"/>
          <w:b w:val="false"/>
          <w:color w:val="000000"/>
          <w:sz w:val="20"/>
        </w:rPr>
        <w:t>Revenue of $413.1 million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Operating income of $22.1 million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Net income of $0.5 million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Net income attributable to EchoStar common stock of $3.2 million and basic and diluted earnings per share of common stock of $0.04</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EBITDA of $101.3 million (see reconciliation of this non-GAAP measure in Results of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Financial Condition as of September 30, 2023:</w:t>
      </w:r>
    </w:p>
    <w:p>
      <w:pPr>
        <w:pStyle w:val="TextBody"/>
        <w:bidi w:val="0"/>
        <w:spacing w:before="0" w:after="0"/>
        <w:jc w:val="both"/>
        <w:rPr/>
      </w:pPr>
      <w:r>
        <w:rPr/>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Total assets of $6.2 billion</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 xml:space="preserve">Total liabilities of $2.5 billion </w:t>
      </w:r>
    </w:p>
    <w:p>
      <w:pPr>
        <w:pStyle w:val="TextBody"/>
        <w:bidi w:val="0"/>
        <w:spacing w:lineRule="auto" w:line="288" w:before="0" w:after="90"/>
        <w:ind w:left="0" w:right="0" w:hanging="360"/>
        <w:jc w:val="both"/>
        <w:rPr/>
      </w:pPr>
      <w:r>
        <w:rPr>
          <w:color w:val="000000"/>
        </w:rPr>
        <w:t>•</w:t>
      </w:r>
      <w:r>
        <w:rPr>
          <w:rFonts w:ascii="Arial;sans-serif" w:hAnsi="Arial;sans-serif"/>
          <w:b w:val="false"/>
          <w:color w:val="000000"/>
          <w:sz w:val="20"/>
        </w:rPr>
        <w:t>Total stockholders’ equity of $3.7 billion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Cash and cash equivalents and marketable investment securities of $2.0 billion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Three Months Ended September 30, 2023 Compared to the Three Months Ended September 30,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consolidated results of operations for the three months ended September 30, 2023 compared to the three months ended September 30, 2022:</w:t>
      </w:r>
    </w:p>
    <w:tbl>
      <w:tblPr>
        <w:tblW w:w="10205" w:type="dxa"/>
        <w:jc w:val="left"/>
        <w:tblInd w:w="0" w:type="dxa"/>
        <w:tblLayout w:type="fixed"/>
        <w:tblCellMar>
          <w:top w:w="28" w:type="dxa"/>
          <w:left w:w="28" w:type="dxa"/>
          <w:bottom w:w="28" w:type="dxa"/>
          <w:right w:w="28" w:type="dxa"/>
        </w:tblCellMar>
      </w:tblPr>
      <w:tblGrid>
        <w:gridCol w:w="1494"/>
        <w:gridCol w:w="1312"/>
        <w:gridCol w:w="1315"/>
        <w:gridCol w:w="109"/>
        <w:gridCol w:w="109"/>
        <w:gridCol w:w="109"/>
        <w:gridCol w:w="237"/>
        <w:gridCol w:w="929"/>
        <w:gridCol w:w="304"/>
        <w:gridCol w:w="122"/>
        <w:gridCol w:w="122"/>
        <w:gridCol w:w="122"/>
        <w:gridCol w:w="237"/>
        <w:gridCol w:w="929"/>
        <w:gridCol w:w="304"/>
        <w:gridCol w:w="109"/>
        <w:gridCol w:w="109"/>
        <w:gridCol w:w="109"/>
        <w:gridCol w:w="211"/>
        <w:gridCol w:w="763"/>
        <w:gridCol w:w="109"/>
        <w:gridCol w:w="109"/>
        <w:gridCol w:w="109"/>
        <w:gridCol w:w="109"/>
        <w:gridCol w:w="276"/>
        <w:gridCol w:w="276"/>
        <w:gridCol w:w="162"/>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Variance</w:t>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Statements of Operations Data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4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401,382 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96,005 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413,074 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497,387 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133,335 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145,189 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37.1</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36.2</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74,329 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80.4</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77.4</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104,988 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111,421 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103,028 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390,994 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450,353 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47,034 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(13,001)</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EchoStar Corporation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145,493 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Subscribers,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1,063,000 </w:t>
            </w:r>
          </w:p>
        </w:tc>
        <w:tc>
          <w:tcPr>
            <w:tcW w:w="3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1,285,000 </w:t>
            </w:r>
          </w:p>
        </w:tc>
        <w:tc>
          <w:tcPr>
            <w:tcW w:w="3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An explanation of our key metrics is included in Explanation of Key Metrics and Other Items.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    A reconciliation of EBITDA to Net income (loss), the most directly comparable GAAP measure in our Consolidated Financial Statements, is included in Results of Operations. For further information on our use of EBITDA, see Explanation of Key Metrics and Other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relates to our results of operations for the three months ended September 30, 2023 compared to the three months ended September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Services and other revenue.</w:t>
      </w:r>
      <w:r>
        <w:rPr>
          <w:color w:val="000000"/>
        </w:rPr>
        <w:t> </w:t>
      </w:r>
      <w:r>
        <w:rPr>
          <w:rFonts w:ascii="Arial;sans-serif" w:hAnsi="Arial;sans-serif"/>
          <w:b w:val="false"/>
          <w:color w:val="000000"/>
          <w:sz w:val="20"/>
        </w:rPr>
        <w:t>Services and other revenue totaled $359.3 million for the three months ended September 30, 2023, a decrease of $42.0 million, or 10.5%, as compared to 2022. The decrease was primarily attributable to our Hughes segment related to lower sales of broadband services to our consumer customers of $40.4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Equipment revenue</w:t>
      </w:r>
      <w:r>
        <w:rPr>
          <w:rFonts w:ascii="Arial;sans-serif" w:hAnsi="Arial;sans-serif"/>
          <w:b w:val="false"/>
          <w:color w:val="000000"/>
          <w:sz w:val="20"/>
        </w:rPr>
        <w:t xml:space="preserve">. Equipment revenue totaled $53.7 million for the three months ended September 30, 2023, a decrease of $42.3 million, or 44.0%, as compared to 2022. The decrease was primarily attributable to decreases in hardware sales to our North American enterprise customers of $27.0 million and a decrease in hardware sales to our international enterprise customers of $16.0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Cost of sales - services and other totaled $133.3 million for the three months ended September 30, 2023, a decrease of $11.9 million, or 8.2%, as compared to 2022. The decrease was primarily attributable to the corresponding decrease in services and other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equipment</w:t>
      </w:r>
      <w:r>
        <w:rPr>
          <w:rFonts w:ascii="Arial;sans-serif" w:hAnsi="Arial;sans-serif"/>
          <w:b w:val="false"/>
          <w:color w:val="000000"/>
          <w:sz w:val="20"/>
        </w:rPr>
        <w:t>. Cost of sales - equipment totaled $43.2 million for the three months ended September 30, 2023, a decrease of $31.1 million, or 41.9%, as compared to 2022. The decrease was primarily attributable to the corresponding decrease in equipment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 Selling, general and administrative expenses totaled $105.0 million for the three months ended September 30, 2023, a decrease of $6.4 million, or 5.8%, as compared to 2022. The decrease was primarily attributable to decreases in sales and marketing expenses of $5.4 million and bad debt expense of $1.1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expenses totaled $103.0 million for the three months ended September 30, 2023, a decrease of $7.2 million, or 6.5%, as compared to 2022. The decrease was primarily attributable to a decrease in non-satellite depreciation expense of $9.6 million, partially offset by an increase in satellite depreciation expense of $2.0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Interest income, net totaled $26.2 million for the three months ended September 30, 2023, an increase of $12.0 million, as compared to 2022, primarily attributable to increases in the yield on our marketable investment securities and an increase in our marketable investment securities average balance.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Interest expense, net of amounts capitalized totaled $12.7 million for the three months ended September 30, 2023, a decrease of $1.2 million, or 8.6%, as compared to 2022. The decrease was primarily attributable to an increase of $1.0 million in capitalized interest relating to the EchoStar XXIV satellite program.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Gains (losses) on investments, net.</w:t>
      </w:r>
      <w:r>
        <w:rPr>
          <w:color w:val="000000"/>
        </w:rPr>
        <w:t xml:space="preserve"> </w:t>
      </w:r>
      <w:r>
        <w:rPr>
          <w:rFonts w:ascii="Arial;sans-serif" w:hAnsi="Arial;sans-serif"/>
          <w:b w:val="false"/>
          <w:color w:val="000000"/>
          <w:sz w:val="20"/>
        </w:rPr>
        <w:t>Gains (losses) on investments, net totaled $10.7 million in losses for the three months ended September 30, 2023 as compared to $10.1 million in losses for the three months ended September 30, 2022, an increase in losses of $0.7 million. The change was primarily due to a loss of $28.3 million related to the exit of our investment in Dish Mexico for the three months ended September 30, 2022 compared to a loss of $24.4 million due to a decline in value of an equity investment previously held on a cost-basis method during the three months ended September 30, 2023, partially offset by a decrease in net gains on marketable equity securities of $4.6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Foreign currency transaction gains (losses), net. </w:t>
      </w:r>
      <w:r>
        <w:rPr>
          <w:rFonts w:ascii="Arial;sans-serif" w:hAnsi="Arial;sans-serif"/>
          <w:b w:val="false"/>
          <w:color w:val="000000"/>
          <w:sz w:val="20"/>
        </w:rPr>
        <w:t>Foreign currency transaction gains (losses), net</w:t>
      </w:r>
      <w:r>
        <w:rPr>
          <w:color w:val="000000"/>
        </w:rPr>
        <w:t xml:space="preserve"> </w:t>
      </w:r>
      <w:r>
        <w:rPr>
          <w:rFonts w:ascii="Arial;sans-serif" w:hAnsi="Arial;sans-serif"/>
          <w:b w:val="false"/>
          <w:color w:val="000000"/>
          <w:sz w:val="20"/>
        </w:rPr>
        <w:t>totaled $2.1 million in losses for the three months ended September 30, 2023, as compared to $2.8 million in losses for the three months ended September 30, 2022. The positive change of $0.7 million was primarily due to the net impact of foreign exchange rate fluctuations of certain foreign currencies in Latin America.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Other, net. </w:t>
      </w:r>
      <w:r>
        <w:rPr>
          <w:rFonts w:ascii="Arial;sans-serif" w:hAnsi="Arial;sans-serif"/>
          <w:b w:val="false"/>
          <w:color w:val="000000"/>
          <w:sz w:val="20"/>
        </w:rPr>
        <w:t>Other, net totaled $11.8 million expense for the three months ended September 30, 2023, as compared to $0.3 million expense for the three months ended September 30, 2022. The increase was primarily attributable to transaction costs related to the proposed merger with DISH Network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benefit (provision), net</w:t>
      </w:r>
      <w:r>
        <w:rPr>
          <w:rFonts w:ascii="Arial;sans-serif" w:hAnsi="Arial;sans-serif"/>
          <w:b w:val="false"/>
          <w:color w:val="000000"/>
          <w:sz w:val="20"/>
        </w:rPr>
        <w:t>. Income tax benefit (provision), net was $8.5 million provision for the three months ended September 30, 2023, as compared to $13.2 million provision for the three months ended September 30, 2022. Our effective income tax rate was 94.1% and 40.3% for the three months ended September 30, 2023 and 2022, respectively. The variations in our effective tax rate from the U.S federal statutory rate for the three months ended September 30, 2023 were primarily due to excluded investment impairment losses and the impact of research and development credits. The variations in our effective tax rate from the U.S. federal statutory rate for the three months ended September 30, 2022 were primarily due to excluded foreign losses where the Company carries a full valuation allowance and the impact of state and local taxes.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Net income (loss) attributable to EchoStar Corporation common stock. </w:t>
      </w:r>
      <w:r>
        <w:rPr>
          <w:rFonts w:ascii="Arial;sans-serif" w:hAnsi="Arial;sans-serif"/>
          <w:b w:val="false"/>
          <w:color w:val="000000"/>
          <w:sz w:val="20"/>
        </w:rPr>
        <w:t xml:space="preserve">The following table reconciles the change in Net income (loss) attributable to EchoStar Corporation common stock: </w:t>
      </w:r>
    </w:p>
    <w:tbl>
      <w:tblPr>
        <w:tblW w:w="10205" w:type="dxa"/>
        <w:jc w:val="left"/>
        <w:tblInd w:w="0" w:type="dxa"/>
        <w:tblLayout w:type="fixed"/>
        <w:tblCellMar>
          <w:top w:w="28" w:type="dxa"/>
          <w:left w:w="28" w:type="dxa"/>
          <w:bottom w:w="28" w:type="dxa"/>
          <w:right w:w="28" w:type="dxa"/>
        </w:tblCellMar>
      </w:tblPr>
      <w:tblGrid>
        <w:gridCol w:w="3177"/>
        <w:gridCol w:w="2788"/>
        <w:gridCol w:w="2796"/>
        <w:gridCol w:w="109"/>
        <w:gridCol w:w="109"/>
        <w:gridCol w:w="109"/>
        <w:gridCol w:w="211"/>
        <w:gridCol w:w="751"/>
        <w:gridCol w:w="155"/>
      </w:tblGrid>
      <w:tr>
        <w:trPr/>
        <w:tc>
          <w:tcPr>
            <w:tcW w:w="3177"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including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EBITDA.</w:t>
      </w:r>
      <w:r>
        <w:rPr>
          <w:color w:val="000000"/>
        </w:rPr>
        <w:t> </w:t>
      </w:r>
      <w:r>
        <w:rPr>
          <w:rFonts w:ascii="Arial;sans-serif" w:hAnsi="Arial;sans-serif"/>
          <w:b w:val="false"/>
          <w:color w:val="000000"/>
          <w:sz w:val="20"/>
        </w:rPr>
        <w:t xml:space="preserve">EBITDA is a non-GAAP financial measure and is described under Explanation of Key Metrics and Other Items section. The following table reconciles EBITDA to Net income (loss), the most directly comparable GAAP measure in our Consolidated Financial Statements: </w:t>
      </w:r>
    </w:p>
    <w:tbl>
      <w:tblPr>
        <w:tblW w:w="10205" w:type="dxa"/>
        <w:jc w:val="left"/>
        <w:tblInd w:w="0" w:type="dxa"/>
        <w:tblLayout w:type="fixed"/>
        <w:tblCellMar>
          <w:top w:w="28" w:type="dxa"/>
          <w:left w:w="28" w:type="dxa"/>
          <w:bottom w:w="28" w:type="dxa"/>
          <w:right w:w="28" w:type="dxa"/>
        </w:tblCellMar>
      </w:tblPr>
      <w:tblGrid>
        <w:gridCol w:w="1505"/>
        <w:gridCol w:w="1134"/>
        <w:gridCol w:w="1139"/>
        <w:gridCol w:w="109"/>
        <w:gridCol w:w="109"/>
        <w:gridCol w:w="109"/>
        <w:gridCol w:w="283"/>
        <w:gridCol w:w="1150"/>
        <w:gridCol w:w="146"/>
        <w:gridCol w:w="146"/>
        <w:gridCol w:w="146"/>
        <w:gridCol w:w="146"/>
        <w:gridCol w:w="283"/>
        <w:gridCol w:w="1150"/>
        <w:gridCol w:w="146"/>
        <w:gridCol w:w="109"/>
        <w:gridCol w:w="109"/>
        <w:gridCol w:w="109"/>
        <w:gridCol w:w="211"/>
        <w:gridCol w:w="790"/>
        <w:gridCol w:w="109"/>
        <w:gridCol w:w="109"/>
        <w:gridCol w:w="109"/>
        <w:gridCol w:w="109"/>
        <w:gridCol w:w="289"/>
        <w:gridCol w:w="290"/>
        <w:gridCol w:w="161"/>
      </w:tblGrid>
      <w:tr>
        <w:trPr/>
        <w:tc>
          <w:tcPr>
            <w:tcW w:w="150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101,260 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145,493 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reconciles the change in EBITDA:</w:t>
      </w:r>
    </w:p>
    <w:tbl>
      <w:tblPr>
        <w:tblW w:w="9242" w:type="dxa"/>
        <w:jc w:val="left"/>
        <w:tblInd w:w="0" w:type="dxa"/>
        <w:tblLayout w:type="fixed"/>
        <w:tblCellMar>
          <w:top w:w="28" w:type="dxa"/>
          <w:left w:w="28" w:type="dxa"/>
          <w:bottom w:w="28" w:type="dxa"/>
          <w:right w:w="28" w:type="dxa"/>
        </w:tblCellMar>
      </w:tblPr>
      <w:tblGrid>
        <w:gridCol w:w="2786"/>
        <w:gridCol w:w="2446"/>
        <w:gridCol w:w="2462"/>
        <w:gridCol w:w="109"/>
        <w:gridCol w:w="109"/>
        <w:gridCol w:w="109"/>
        <w:gridCol w:w="211"/>
        <w:gridCol w:w="856"/>
        <w:gridCol w:w="154"/>
      </w:tblGrid>
      <w:tr>
        <w:trPr/>
        <w:tc>
          <w:tcPr>
            <w:tcW w:w="27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Segment Operating Results and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present our total revenue, capital expenditures and EBITDA by segment for the three months ended September 30, 2023, as compared to the three months ended September 30, 2022: </w:t>
      </w:r>
    </w:p>
    <w:tbl>
      <w:tblPr>
        <w:tblW w:w="10205" w:type="dxa"/>
        <w:jc w:val="left"/>
        <w:tblInd w:w="0" w:type="dxa"/>
        <w:tblLayout w:type="fixed"/>
        <w:tblCellMar>
          <w:top w:w="28" w:type="dxa"/>
          <w:left w:w="28" w:type="dxa"/>
          <w:bottom w:w="28" w:type="dxa"/>
          <w:right w:w="28" w:type="dxa"/>
        </w:tblCellMar>
      </w:tblPr>
      <w:tblGrid>
        <w:gridCol w:w="1388"/>
        <w:gridCol w:w="1203"/>
        <w:gridCol w:w="1211"/>
        <w:gridCol w:w="109"/>
        <w:gridCol w:w="109"/>
        <w:gridCol w:w="109"/>
        <w:gridCol w:w="211"/>
        <w:gridCol w:w="826"/>
        <w:gridCol w:w="109"/>
        <w:gridCol w:w="109"/>
        <w:gridCol w:w="109"/>
        <w:gridCol w:w="109"/>
        <w:gridCol w:w="211"/>
        <w:gridCol w:w="616"/>
        <w:gridCol w:w="109"/>
        <w:gridCol w:w="109"/>
        <w:gridCol w:w="109"/>
        <w:gridCol w:w="109"/>
        <w:gridCol w:w="391"/>
        <w:gridCol w:w="1142"/>
        <w:gridCol w:w="202"/>
        <w:gridCol w:w="109"/>
        <w:gridCol w:w="109"/>
        <w:gridCol w:w="109"/>
        <w:gridCol w:w="226"/>
        <w:gridCol w:w="884"/>
        <w:gridCol w:w="168"/>
      </w:tblGrid>
      <w:tr>
        <w:trPr/>
        <w:tc>
          <w:tcPr>
            <w:tcW w:w="138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are net of refunds and other receipts related to property and equipment.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Hughes Segment</w:t>
      </w:r>
    </w:p>
    <w:tbl>
      <w:tblPr>
        <w:tblW w:w="8943"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321"/>
        <w:gridCol w:w="1303"/>
        <w:gridCol w:w="166"/>
        <w:gridCol w:w="166"/>
        <w:gridCol w:w="166"/>
        <w:gridCol w:w="166"/>
        <w:gridCol w:w="321"/>
        <w:gridCol w:w="1303"/>
        <w:gridCol w:w="166"/>
        <w:gridCol w:w="109"/>
        <w:gridCol w:w="109"/>
        <w:gridCol w:w="109"/>
        <w:gridCol w:w="211"/>
        <w:gridCol w:w="811"/>
        <w:gridCol w:w="109"/>
        <w:gridCol w:w="109"/>
        <w:gridCol w:w="109"/>
        <w:gridCol w:w="109"/>
        <w:gridCol w:w="299"/>
        <w:gridCol w:w="301"/>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489,565 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 was $404.2 million for the three months ended September 30, 2023, a decrease of $85.4 million, or 17.4%, as compared to 2022. Services and other revenue decreased primarily due to lower sales of broadband services to our consumer customers of $40.4 million. Equipment revenue decreased primarily due to a decrease in hardware sales to our enterprise customers of $43.0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Capital expenditures were $51.2 million for the three months ended September 30, 2023, an increase of $0.4 million, or 0.8%, as compared to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reconciles the change in the Hughes Segment EBITDA:  </w:t>
      </w:r>
    </w:p>
    <w:tbl>
      <w:tblPr>
        <w:tblW w:w="9242" w:type="dxa"/>
        <w:jc w:val="left"/>
        <w:tblInd w:w="0" w:type="dxa"/>
        <w:tblLayout w:type="fixed"/>
        <w:tblCellMar>
          <w:top w:w="28" w:type="dxa"/>
          <w:left w:w="28" w:type="dxa"/>
          <w:bottom w:w="28" w:type="dxa"/>
          <w:right w:w="28" w:type="dxa"/>
        </w:tblCellMar>
      </w:tblPr>
      <w:tblGrid>
        <w:gridCol w:w="2786"/>
        <w:gridCol w:w="2446"/>
        <w:gridCol w:w="2462"/>
        <w:gridCol w:w="109"/>
        <w:gridCol w:w="109"/>
        <w:gridCol w:w="109"/>
        <w:gridCol w:w="211"/>
        <w:gridCol w:w="856"/>
        <w:gridCol w:w="154"/>
      </w:tblGrid>
      <w:tr>
        <w:trPr/>
        <w:tc>
          <w:tcPr>
            <w:tcW w:w="27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ESS Segment</w:t>
      </w:r>
    </w:p>
    <w:tbl>
      <w:tblPr>
        <w:tblW w:w="8608"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381"/>
        <w:gridCol w:w="1167"/>
        <w:gridCol w:w="196"/>
        <w:gridCol w:w="196"/>
        <w:gridCol w:w="196"/>
        <w:gridCol w:w="196"/>
        <w:gridCol w:w="381"/>
        <w:gridCol w:w="1167"/>
        <w:gridCol w:w="196"/>
        <w:gridCol w:w="109"/>
        <w:gridCol w:w="109"/>
        <w:gridCol w:w="109"/>
        <w:gridCol w:w="211"/>
        <w:gridCol w:w="646"/>
        <w:gridCol w:w="109"/>
        <w:gridCol w:w="109"/>
        <w:gridCol w:w="109"/>
        <w:gridCol w:w="109"/>
        <w:gridCol w:w="270"/>
        <w:gridCol w:w="27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before="100" w:after="283"/>
        <w:ind w:left="0" w:right="0" w:hanging="27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 was $6.4 million for the three months ended September 30, 2023, an increase of $1.5 million, or 29.4%, compared to 2022, primarily due to an increase in transponder services provided to third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EBITDA was $4.9 million for the three months ended September 30, 2023, an increase of $1.4 million, or 41.3%, primarily due to the increase in overall ESS segment revenue.</w:t>
      </w:r>
    </w:p>
    <w:p>
      <w:pPr>
        <w:pStyle w:val="TextBody"/>
        <w:bidi w:val="0"/>
        <w:spacing w:before="0" w:after="0"/>
        <w:jc w:val="both"/>
        <w:rPr/>
      </w:pPr>
      <w:r>
        <w:rPr/>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Corporate and Other</w:t>
      </w:r>
    </w:p>
    <w:tbl>
      <w:tblPr>
        <w:tblW w:w="8647"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381"/>
        <w:gridCol w:w="1167"/>
        <w:gridCol w:w="196"/>
        <w:gridCol w:w="196"/>
        <w:gridCol w:w="196"/>
        <w:gridCol w:w="196"/>
        <w:gridCol w:w="381"/>
        <w:gridCol w:w="1167"/>
        <w:gridCol w:w="196"/>
        <w:gridCol w:w="109"/>
        <w:gridCol w:w="109"/>
        <w:gridCol w:w="109"/>
        <w:gridCol w:w="249"/>
        <w:gridCol w:w="568"/>
        <w:gridCol w:w="129"/>
        <w:gridCol w:w="109"/>
        <w:gridCol w:w="109"/>
        <w:gridCol w:w="109"/>
        <w:gridCol w:w="299"/>
        <w:gridCol w:w="30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$2.4 million for the three months ended September 30, 2023, which is primarily flat compared to 2022.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net of refunds were $27.8 million for the three months ended September 30, 2023, an increase of $17.1 million, as compared to 2022, primarily due to an increase in expenditures for EchoStar XXIV satellite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reconciles the change in the Corporate and Other EBITDA: </w:t>
      </w:r>
    </w:p>
    <w:tbl>
      <w:tblPr>
        <w:tblW w:w="9197" w:type="dxa"/>
        <w:jc w:val="left"/>
        <w:tblInd w:w="0" w:type="dxa"/>
        <w:tblLayout w:type="fixed"/>
        <w:tblCellMar>
          <w:top w:w="28" w:type="dxa"/>
          <w:left w:w="28" w:type="dxa"/>
          <w:bottom w:w="28" w:type="dxa"/>
          <w:right w:w="28" w:type="dxa"/>
        </w:tblCellMar>
      </w:tblPr>
      <w:tblGrid>
        <w:gridCol w:w="2786"/>
        <w:gridCol w:w="2446"/>
        <w:gridCol w:w="2462"/>
        <w:gridCol w:w="109"/>
        <w:gridCol w:w="109"/>
        <w:gridCol w:w="109"/>
        <w:gridCol w:w="211"/>
        <w:gridCol w:w="811"/>
        <w:gridCol w:w="154"/>
      </w:tblGrid>
      <w:tr>
        <w:trPr/>
        <w:tc>
          <w:tcPr>
            <w:tcW w:w="27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shd w:fill="FFFFFF" w:val="clear"/>
        </w:rPr>
        <w:t>Nine Months Ended</w:t>
      </w:r>
      <w:r>
        <w:rPr>
          <w:color w:val="000000"/>
        </w:rPr>
        <w:t xml:space="preserve"> </w:t>
      </w:r>
      <w:r>
        <w:rPr>
          <w:rFonts w:ascii="Arial;sans-serif" w:hAnsi="Arial;sans-serif"/>
          <w:b/>
          <w:color w:val="000000"/>
          <w:sz w:val="20"/>
        </w:rPr>
        <w:t xml:space="preserve">September 30, 2023 Compared to the </w:t>
      </w:r>
      <w:r>
        <w:rPr>
          <w:rFonts w:ascii="Arial;sans-serif" w:hAnsi="Arial;sans-serif"/>
          <w:b/>
          <w:color w:val="000000"/>
          <w:sz w:val="20"/>
          <w:shd w:fill="FFFFFF" w:val="clear"/>
        </w:rPr>
        <w:t>Nine Months Ended</w:t>
      </w:r>
      <w:r>
        <w:rPr>
          <w:color w:val="000000"/>
        </w:rPr>
        <w:t xml:space="preserve"> </w:t>
      </w:r>
      <w:r>
        <w:rPr>
          <w:rFonts w:ascii="Arial;sans-serif" w:hAnsi="Arial;sans-serif"/>
          <w:b/>
          <w:color w:val="000000"/>
          <w:sz w:val="20"/>
        </w:rPr>
        <w:t xml:space="preserve">September 30, 2022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consolidated results of operations for the nine months ended September 30, 2023 compared to the nine months ended September 30, 2022:</w:t>
      </w:r>
    </w:p>
    <w:tbl>
      <w:tblPr>
        <w:tblW w:w="10205" w:type="dxa"/>
        <w:jc w:val="left"/>
        <w:tblInd w:w="0" w:type="dxa"/>
        <w:tblLayout w:type="fixed"/>
        <w:tblCellMar>
          <w:top w:w="28" w:type="dxa"/>
          <w:left w:w="28" w:type="dxa"/>
          <w:bottom w:w="28" w:type="dxa"/>
          <w:right w:w="28" w:type="dxa"/>
        </w:tblCellMar>
      </w:tblPr>
      <w:tblGrid>
        <w:gridCol w:w="1389"/>
        <w:gridCol w:w="1220"/>
        <w:gridCol w:w="1222"/>
        <w:gridCol w:w="109"/>
        <w:gridCol w:w="109"/>
        <w:gridCol w:w="109"/>
        <w:gridCol w:w="228"/>
        <w:gridCol w:w="1056"/>
        <w:gridCol w:w="293"/>
        <w:gridCol w:w="117"/>
        <w:gridCol w:w="117"/>
        <w:gridCol w:w="117"/>
        <w:gridCol w:w="228"/>
        <w:gridCol w:w="1056"/>
        <w:gridCol w:w="293"/>
        <w:gridCol w:w="109"/>
        <w:gridCol w:w="109"/>
        <w:gridCol w:w="109"/>
        <w:gridCol w:w="211"/>
        <w:gridCol w:w="861"/>
        <w:gridCol w:w="109"/>
        <w:gridCol w:w="109"/>
        <w:gridCol w:w="109"/>
        <w:gridCol w:w="109"/>
        <w:gridCol w:w="273"/>
        <w:gridCol w:w="273"/>
        <w:gridCol w:w="161"/>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Variance</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Statements of Operations Data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1,108,386 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1,234,890 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197,394 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263,347 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1,305,780 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1,498,237 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401,431 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430,553 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36.2</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34.9</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151,004 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213,497 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equipment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81.1</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322,469 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342,682 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24.7</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22.9</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311,474 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347,224 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1,211,080 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1,360,229 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94,700 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138,008 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(23,337)</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(18,483)</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32,327 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76,217 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(51,367)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EchoStar Corporation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43,442 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127,704 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354,541 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539,743 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Subscribers,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1,063,000 </w:t>
            </w:r>
          </w:p>
        </w:tc>
        <w:tc>
          <w:tcPr>
            <w:tcW w:w="2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1,285,000 </w:t>
            </w:r>
          </w:p>
        </w:tc>
        <w:tc>
          <w:tcPr>
            <w:tcW w:w="2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An explanation of our key metrics is included in Explanation of Key Metrics and Other Items.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A reconciliation of EBITDA to Net income (loss), the most directly comparable GAAP measure in our Consolidated Financial Statements, is included in Results of Operations. For further information on our use of EBITDA, see Explanation of Key Metrics and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relates to our results of operations for the nine months ended September 30, 2023 compared to the nine months ended September 30, 2022:</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totaled $1.1 billion for the nine months ended September 30, 2023, a decrease of $126.5 million, or 10.2%, as compared to 2022. The decrease was primarily attributable to our Hughes segment related to lower sales of broadband services to our consumer customers of $123.7 million.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 xml:space="preserve">Equipment revenue. </w:t>
      </w:r>
      <w:r>
        <w:rPr>
          <w:rFonts w:ascii="Arial;sans-serif" w:hAnsi="Arial;sans-serif"/>
          <w:b w:val="false"/>
          <w:color w:val="000000"/>
          <w:sz w:val="20"/>
        </w:rPr>
        <w:t xml:space="preserve">Equipment revenue totaled $197.4 million for the nine months ended September 30, 2023, a decrease of $66.0 million, or 25.0%, as compared to 2022. The decrease was primarily attributable to a decrease of $37.6 million in hardware sales to our international enterprise customers and a net decrease of $33.8 million related to our North American enterprise customers due to lower hardware sales and positive adjustments on certain long-term contracts, partially offset by an increase of $7.1 million in sales to our mobile satellite system customers.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Cost of sales - services and other.</w:t>
      </w:r>
      <w:r>
        <w:rPr>
          <w:color w:val="000000"/>
        </w:rPr>
        <w:t> </w:t>
      </w:r>
      <w:r>
        <w:rPr>
          <w:rFonts w:ascii="Arial;sans-serif" w:hAnsi="Arial;sans-serif"/>
          <w:b w:val="false"/>
          <w:color w:val="000000"/>
          <w:sz w:val="20"/>
        </w:rPr>
        <w:t>Cost of sales - services and other totaled $401.4 million for the nine months ended September 30, 2023, a decrease of $29.1 million, or 6.8%, as compared to 2022. The decrease was primarily attributable to the corresponding decrease in services and other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 - equipment.</w:t>
      </w:r>
      <w:r>
        <w:rPr>
          <w:color w:val="000000"/>
        </w:rPr>
        <w:t> </w:t>
      </w:r>
      <w:r>
        <w:rPr>
          <w:rFonts w:ascii="Arial;sans-serif" w:hAnsi="Arial;sans-serif"/>
          <w:b w:val="false"/>
          <w:color w:val="000000"/>
          <w:sz w:val="20"/>
        </w:rPr>
        <w:t>Cost of sales - equipment totaled $151.0 million for the nine months ended September 30, 2023, a decrease of $62.5 million, or 29.3%, as compared to 2022. The decrease was primarily attributable to the corresponding decrease in equipment revenue.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 xml:space="preserve">. Selling, general and administrative expenses totaled $322.5 million for the nine months ended September 30, 2023, a decrease of $20.2 million, or 5.9%, as compared to 2022. The decrease was primarily attributable to decreases in sales and marketing expenses of $22.4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Depreciation and amortization.</w:t>
      </w:r>
      <w:r>
        <w:rPr>
          <w:color w:val="000000"/>
        </w:rPr>
        <w:t> </w:t>
      </w:r>
      <w:r>
        <w:rPr>
          <w:rFonts w:ascii="Arial;sans-serif" w:hAnsi="Arial;sans-serif"/>
          <w:b w:val="false"/>
          <w:color w:val="000000"/>
          <w:sz w:val="20"/>
        </w:rPr>
        <w:t>Depreciation and amortization expenses totaled $311.5 million for the nine months ended September 30, 2023, a decrease of $35.8 million, or 10.3%, as compared to 2022. The decrease was primarily attributable to decreases in other non-satellite depreciation expense of $37.2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Impairment of long-lived assets. </w:t>
      </w:r>
      <w:r>
        <w:rPr>
          <w:rFonts w:ascii="Arial;sans-serif" w:hAnsi="Arial;sans-serif"/>
          <w:b w:val="false"/>
          <w:color w:val="000000"/>
          <w:sz w:val="20"/>
        </w:rPr>
        <w:t>Impairment of long-lived assets totaled $3.1 million for the nine months ended September 30, 2023. This impairment charge was related to our EG-3 nano-satellite and other related assets abandoned during the first quarter of 2023 due to lost contact with EG-3.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Interest income, net totaled $78.3 million for the nine months ended September 30, 2023, an increase of $48.7 million as compared to 2022, primarily attributable to increases in the yield on our marketable investment securities and an increase in our marketable investment securities average balance.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xml:space="preserve">. Interest expense, net of amounts capitalized, totaled $39.2 million for the nine months ended September 30, 2023, a decrease of $3.9 million, or 9.2%, as compared to 2022. The decrease was primarily attributable to an increase of $3.1 million in capitalized interest relating to the EchoStar XXIV satellite program.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Gains (losses) on investments, net. </w:t>
      </w:r>
      <w:r>
        <w:rPr>
          <w:rFonts w:ascii="Arial;sans-serif" w:hAnsi="Arial;sans-serif"/>
          <w:b w:val="false"/>
          <w:color w:val="000000"/>
          <w:sz w:val="20"/>
        </w:rPr>
        <w:t xml:space="preserve">Gains (losses) on investments, net totaled $23.3 million in losses for the nine months ended September 30, 2023, as compared to $48.1 million in gains for the nine months ended September 30, 2022, a negative change of $71.4 million. The change was primarily related to a gain of $49.8 million on a cost-method investment from an adjustment for observable price changes and a $29.5 million gain on marketable equity securities, offset by a net loss of $28.3 million related to the exit of our investment in Dish Mexico during the nine months ended September 30, 2022, compared to a loss of $24.4 million from a decline in value of an investment previously held on a cost-basis method whose fair value subsequently became determinable as a result of a merger between that entity and a publicly traded entity, and a $1.1 million gain on marketable equity securities during the nine months ended September 30, 2023.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Foreign currency transaction gains (losses), net. </w:t>
      </w:r>
      <w:r>
        <w:rPr>
          <w:rFonts w:ascii="Arial;sans-serif" w:hAnsi="Arial;sans-serif"/>
          <w:b w:val="false"/>
          <w:color w:val="000000"/>
          <w:sz w:val="20"/>
        </w:rPr>
        <w:t>Foreign currency transaction gains (losses), net</w:t>
      </w:r>
      <w:r>
        <w:rPr>
          <w:color w:val="000000"/>
        </w:rPr>
        <w:t xml:space="preserve"> </w:t>
      </w:r>
      <w:r>
        <w:rPr>
          <w:rFonts w:ascii="Arial;sans-serif" w:hAnsi="Arial;sans-serif"/>
          <w:b w:val="false"/>
          <w:color w:val="000000"/>
          <w:sz w:val="20"/>
        </w:rPr>
        <w:t>totaled $4.5 million in gains for the nine months ended September 30, 2023, as compared to $0.1 million in losses for the nine months ended September 30, 2022, a positive change of $4.5 million. The change was due to the net impact of foreign exchange rate fluctuations of certain foreign currencies in Latin and Central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 xml:space="preserve">Other, net. </w:t>
      </w:r>
      <w:r>
        <w:rPr>
          <w:rFonts w:ascii="Arial;sans-serif" w:hAnsi="Arial;sans-serif"/>
          <w:b w:val="false"/>
          <w:color w:val="000000"/>
          <w:sz w:val="20"/>
        </w:rPr>
        <w:t>Other, net totaled $2.3 million expense for the nine months ended September 30, 2023, as compared to $2.2 million income for the nine months ended September 30, 2022. The decrease was primarily attributable to transaction costs incurred related to the proposed merger with DISH Network Corporation, partially offset by a recognized gain on the repayment of an other debt investment in April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Other-than-temporary impairment losses on equity method investments.</w:t>
      </w:r>
      <w:r>
        <w:rPr>
          <w:color w:val="000000"/>
        </w:rPr>
        <w:t xml:space="preserve"> </w:t>
      </w:r>
      <w:r>
        <w:rPr>
          <w:rFonts w:ascii="Arial;sans-serif" w:hAnsi="Arial;sans-serif"/>
          <w:b w:val="false"/>
          <w:color w:val="000000"/>
          <w:sz w:val="20"/>
        </w:rPr>
        <w:t xml:space="preserve">Other-than-temporary impairment losses on equity method investments was $33.4 million for the nine months ended September 30, 2023, related to the impairment of our investment in Broadband Connectivity Solutions (Restricted) Limited (BCS) as a result of increased competition and the economic environment for this business.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benefit (provision), net</w:t>
      </w:r>
      <w:r>
        <w:rPr>
          <w:rFonts w:ascii="Arial;sans-serif" w:hAnsi="Arial;sans-serif"/>
          <w:b w:val="false"/>
          <w:color w:val="000000"/>
          <w:sz w:val="20"/>
        </w:rPr>
        <w:t>. Income tax benefit (provision), net was $38.8 million provision for the nine months ended September 30, 2023, as compared to $51.4 million provision for the nine months ended September 30, 2022. Our effective income tax rate was 50.9% and 30.2% for the nine months ended September 30, 2023 and 2022, respectively. The variations in our effective tax rate from the U.S. federal statutory rate for the nine months ended September 30, 2023 were primarily due to excluded investment impairment losses and excluded foreign losses where the Company carries a full valuation allowance. The variations in our effective tax rate from the U.S. federal statutory rate for the nine months ended September 30, 2022, were primarily due to excluded foreign losses where the Company carries a full valuation allowance, and the impact of state and local taxes.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income (loss) attributable to EchoStar Corporation common stock</w:t>
      </w:r>
      <w:r>
        <w:rPr>
          <w:rFonts w:ascii="Arial;sans-serif" w:hAnsi="Arial;sans-serif"/>
          <w:b w:val="false"/>
          <w:color w:val="000000"/>
          <w:sz w:val="20"/>
        </w:rPr>
        <w:t>. The following table reconciles the change in Net income (loss) attributable to EchoStar Corporation common stock:</w:t>
      </w:r>
    </w:p>
    <w:tbl>
      <w:tblPr>
        <w:tblW w:w="10205" w:type="dxa"/>
        <w:jc w:val="left"/>
        <w:tblInd w:w="0" w:type="dxa"/>
        <w:tblLayout w:type="fixed"/>
        <w:tblCellMar>
          <w:top w:w="28" w:type="dxa"/>
          <w:left w:w="28" w:type="dxa"/>
          <w:bottom w:w="28" w:type="dxa"/>
          <w:right w:w="28" w:type="dxa"/>
        </w:tblCellMar>
      </w:tblPr>
      <w:tblGrid>
        <w:gridCol w:w="3154"/>
        <w:gridCol w:w="2747"/>
        <w:gridCol w:w="2755"/>
        <w:gridCol w:w="109"/>
        <w:gridCol w:w="109"/>
        <w:gridCol w:w="109"/>
        <w:gridCol w:w="211"/>
        <w:gridCol w:w="856"/>
        <w:gridCol w:w="155"/>
      </w:tblGrid>
      <w:tr>
        <w:trPr/>
        <w:tc>
          <w:tcPr>
            <w:tcW w:w="315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including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for the 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EBITDA.</w:t>
      </w:r>
      <w:r>
        <w:rPr>
          <w:color w:val="000000"/>
        </w:rPr>
        <w:t> </w:t>
      </w:r>
      <w:r>
        <w:rPr>
          <w:rFonts w:ascii="Arial;sans-serif" w:hAnsi="Arial;sans-serif"/>
          <w:b w:val="false"/>
          <w:color w:val="000000"/>
          <w:sz w:val="20"/>
        </w:rPr>
        <w:t xml:space="preserve">EBITDA is a non-GAAP financial measure and is described under Explanation of Key Metrics and Other Items section. The following table reconciles EBITDA to Net income (loss), the most directly comparable GAAP measure in our Consolidated Financial Statements: </w:t>
      </w:r>
    </w:p>
    <w:tbl>
      <w:tblPr>
        <w:tblW w:w="10205" w:type="dxa"/>
        <w:jc w:val="left"/>
        <w:tblInd w:w="0" w:type="dxa"/>
        <w:tblLayout w:type="fixed"/>
        <w:tblCellMar>
          <w:top w:w="28" w:type="dxa"/>
          <w:left w:w="28" w:type="dxa"/>
          <w:bottom w:w="28" w:type="dxa"/>
          <w:right w:w="28" w:type="dxa"/>
        </w:tblCellMar>
      </w:tblPr>
      <w:tblGrid>
        <w:gridCol w:w="1494"/>
        <w:gridCol w:w="1117"/>
        <w:gridCol w:w="1122"/>
        <w:gridCol w:w="109"/>
        <w:gridCol w:w="109"/>
        <w:gridCol w:w="109"/>
        <w:gridCol w:w="278"/>
        <w:gridCol w:w="1132"/>
        <w:gridCol w:w="143"/>
        <w:gridCol w:w="143"/>
        <w:gridCol w:w="143"/>
        <w:gridCol w:w="143"/>
        <w:gridCol w:w="278"/>
        <w:gridCol w:w="1132"/>
        <w:gridCol w:w="143"/>
        <w:gridCol w:w="109"/>
        <w:gridCol w:w="109"/>
        <w:gridCol w:w="109"/>
        <w:gridCol w:w="211"/>
        <w:gridCol w:w="894"/>
        <w:gridCol w:w="109"/>
        <w:gridCol w:w="109"/>
        <w:gridCol w:w="109"/>
        <w:gridCol w:w="109"/>
        <w:gridCol w:w="288"/>
        <w:gridCol w:w="290"/>
        <w:gridCol w:w="164"/>
      </w:tblGrid>
      <w:tr>
        <w:trPr/>
        <w:tc>
          <w:tcPr>
            <w:tcW w:w="149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347,224 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354,541 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539,743 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before="100" w:after="283"/>
        <w:ind w:left="0" w:right="0" w:hanging="27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reconciles the change in EBITDA:</w:t>
      </w:r>
    </w:p>
    <w:tbl>
      <w:tblPr>
        <w:tblW w:w="9812" w:type="dxa"/>
        <w:jc w:val="left"/>
        <w:tblInd w:w="0" w:type="dxa"/>
        <w:tblLayout w:type="fixed"/>
        <w:tblCellMar>
          <w:top w:w="28" w:type="dxa"/>
          <w:left w:w="28" w:type="dxa"/>
          <w:bottom w:w="28" w:type="dxa"/>
          <w:right w:w="28" w:type="dxa"/>
        </w:tblCellMar>
      </w:tblPr>
      <w:tblGrid>
        <w:gridCol w:w="2993"/>
        <w:gridCol w:w="2628"/>
        <w:gridCol w:w="2643"/>
        <w:gridCol w:w="109"/>
        <w:gridCol w:w="109"/>
        <w:gridCol w:w="109"/>
        <w:gridCol w:w="211"/>
        <w:gridCol w:w="856"/>
        <w:gridCol w:w="154"/>
      </w:tblGrid>
      <w:tr>
        <w:trPr/>
        <w:tc>
          <w:tcPr>
            <w:tcW w:w="299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other-than-temporary impairment losses on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Segment Operating Results and Capital Expenditures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present our total revenue, capital expenditures and EBITDA by segment for the nine months ended September 30, 2023, as compared to the nine months ended September 30, 2022: </w:t>
      </w:r>
    </w:p>
    <w:tbl>
      <w:tblPr>
        <w:tblW w:w="10205" w:type="dxa"/>
        <w:jc w:val="left"/>
        <w:tblInd w:w="0" w:type="dxa"/>
        <w:tblLayout w:type="fixed"/>
        <w:tblCellMar>
          <w:top w:w="28" w:type="dxa"/>
          <w:left w:w="28" w:type="dxa"/>
          <w:bottom w:w="28" w:type="dxa"/>
          <w:right w:w="28" w:type="dxa"/>
        </w:tblCellMar>
      </w:tblPr>
      <w:tblGrid>
        <w:gridCol w:w="1275"/>
        <w:gridCol w:w="1123"/>
        <w:gridCol w:w="1125"/>
        <w:gridCol w:w="109"/>
        <w:gridCol w:w="109"/>
        <w:gridCol w:w="109"/>
        <w:gridCol w:w="211"/>
        <w:gridCol w:w="1021"/>
        <w:gridCol w:w="109"/>
        <w:gridCol w:w="109"/>
        <w:gridCol w:w="109"/>
        <w:gridCol w:w="109"/>
        <w:gridCol w:w="211"/>
        <w:gridCol w:w="751"/>
        <w:gridCol w:w="109"/>
        <w:gridCol w:w="109"/>
        <w:gridCol w:w="109"/>
        <w:gridCol w:w="109"/>
        <w:gridCol w:w="343"/>
        <w:gridCol w:w="1051"/>
        <w:gridCol w:w="178"/>
        <w:gridCol w:w="109"/>
        <w:gridCol w:w="109"/>
        <w:gridCol w:w="109"/>
        <w:gridCol w:w="211"/>
        <w:gridCol w:w="1021"/>
        <w:gridCol w:w="158"/>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1,305,780 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(99,979)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For the nine months ended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1,498,237 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are net of refunds and other receipts related to property and equipment.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Hughes Segment </w:t>
      </w:r>
    </w:p>
    <w:tbl>
      <w:tblPr>
        <w:tblW w:w="8876" w:type="dxa"/>
        <w:jc w:val="center"/>
        <w:tblInd w:w="0" w:type="dxa"/>
        <w:tblLayout w:type="fixed"/>
        <w:tblCellMar>
          <w:top w:w="28" w:type="dxa"/>
          <w:left w:w="28" w:type="dxa"/>
          <w:bottom w:w="28" w:type="dxa"/>
          <w:right w:w="28" w:type="dxa"/>
        </w:tblCellMar>
      </w:tblPr>
      <w:tblGrid>
        <w:gridCol w:w="685"/>
        <w:gridCol w:w="601"/>
        <w:gridCol w:w="604"/>
        <w:gridCol w:w="109"/>
        <w:gridCol w:w="109"/>
        <w:gridCol w:w="109"/>
        <w:gridCol w:w="281"/>
        <w:gridCol w:w="1364"/>
        <w:gridCol w:w="145"/>
        <w:gridCol w:w="145"/>
        <w:gridCol w:w="145"/>
        <w:gridCol w:w="145"/>
        <w:gridCol w:w="281"/>
        <w:gridCol w:w="1364"/>
        <w:gridCol w:w="145"/>
        <w:gridCol w:w="109"/>
        <w:gridCol w:w="109"/>
        <w:gridCol w:w="109"/>
        <w:gridCol w:w="211"/>
        <w:gridCol w:w="916"/>
        <w:gridCol w:w="109"/>
        <w:gridCol w:w="109"/>
        <w:gridCol w:w="109"/>
        <w:gridCol w:w="109"/>
        <w:gridCol w:w="299"/>
        <w:gridCol w:w="30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1,279,739 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1,475,512 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 was $1.3 billion for the nine months ended September 30, 2023, a decrease of $195.8 million, or 13.3%, as compared to 2022. Services and other revenue decreased primarily due to lower sales of broadband services to our consumer customers of $123.7 million. Equipment revenue decrease was primarily attributable to a decrease of $37.6 million in hardware sales to our international enterprise customers and a net decrease of $33.8 million related to our North American customers due to lower hardware sales and positive adjustments on certain long-term contracts, partially offset by an increase of $7.1 million in sales to our mobile satellite system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were $142.2 million for the nine months ended September 30, 2023, a decrease of $34.5 million, or 19.5%, as compared to 2022, primarily due to decreases in expenditures associated with our consumer business and decreases in expenditures related to the construction of our satellite-related ground infrastructure.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reconciles the change in the Hughes Segment EBITDA:  </w:t>
      </w:r>
    </w:p>
    <w:tbl>
      <w:tblPr>
        <w:tblW w:w="9812" w:type="dxa"/>
        <w:jc w:val="center"/>
        <w:tblInd w:w="0" w:type="dxa"/>
        <w:tblLayout w:type="fixed"/>
        <w:tblCellMar>
          <w:top w:w="28" w:type="dxa"/>
          <w:left w:w="28" w:type="dxa"/>
          <w:bottom w:w="28" w:type="dxa"/>
          <w:right w:w="28" w:type="dxa"/>
        </w:tblCellMar>
      </w:tblPr>
      <w:tblGrid>
        <w:gridCol w:w="2993"/>
        <w:gridCol w:w="2628"/>
        <w:gridCol w:w="2643"/>
        <w:gridCol w:w="109"/>
        <w:gridCol w:w="109"/>
        <w:gridCol w:w="109"/>
        <w:gridCol w:w="211"/>
        <w:gridCol w:w="856"/>
        <w:gridCol w:w="154"/>
      </w:tblGrid>
      <w:tr>
        <w:trPr/>
        <w:tc>
          <w:tcPr>
            <w:tcW w:w="299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other-than-temporary impairment losses on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ESS Segment </w:t>
      </w:r>
    </w:p>
    <w:tbl>
      <w:tblPr>
        <w:tblW w:w="8549" w:type="dxa"/>
        <w:jc w:val="center"/>
        <w:tblInd w:w="0" w:type="dxa"/>
        <w:tblLayout w:type="fixed"/>
        <w:tblCellMar>
          <w:top w:w="28" w:type="dxa"/>
          <w:left w:w="28" w:type="dxa"/>
          <w:bottom w:w="28" w:type="dxa"/>
          <w:right w:w="28" w:type="dxa"/>
        </w:tblCellMar>
      </w:tblPr>
      <w:tblGrid>
        <w:gridCol w:w="685"/>
        <w:gridCol w:w="601"/>
        <w:gridCol w:w="604"/>
        <w:gridCol w:w="109"/>
        <w:gridCol w:w="109"/>
        <w:gridCol w:w="109"/>
        <w:gridCol w:w="343"/>
        <w:gridCol w:w="1223"/>
        <w:gridCol w:w="177"/>
        <w:gridCol w:w="177"/>
        <w:gridCol w:w="177"/>
        <w:gridCol w:w="177"/>
        <w:gridCol w:w="343"/>
        <w:gridCol w:w="1223"/>
        <w:gridCol w:w="177"/>
        <w:gridCol w:w="109"/>
        <w:gridCol w:w="109"/>
        <w:gridCol w:w="109"/>
        <w:gridCol w:w="211"/>
        <w:gridCol w:w="646"/>
        <w:gridCol w:w="109"/>
        <w:gridCol w:w="109"/>
        <w:gridCol w:w="109"/>
        <w:gridCol w:w="109"/>
        <w:gridCol w:w="270"/>
        <w:gridCol w:w="27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before="10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$18.6 million for the nine months ended September 30, 2023, an increase of $4.3 million, or 29.8%, compared to 2022, primarily due to an increase in transponder services provided to third parties.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was $14.1 million for the nine months ended September 30, 2023, an increase of $4.4 million, or 45.8%, as compared to 2022, primarily due to the increase in overall ESS segment revenue and lower expenses.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Corporate and Other </w:t>
      </w:r>
    </w:p>
    <w:tbl>
      <w:tblPr>
        <w:tblW w:w="8562" w:type="dxa"/>
        <w:jc w:val="center"/>
        <w:tblInd w:w="0" w:type="dxa"/>
        <w:tblLayout w:type="fixed"/>
        <w:tblCellMar>
          <w:top w:w="28" w:type="dxa"/>
          <w:left w:w="28" w:type="dxa"/>
          <w:bottom w:w="28" w:type="dxa"/>
          <w:right w:w="28" w:type="dxa"/>
        </w:tblCellMar>
      </w:tblPr>
      <w:tblGrid>
        <w:gridCol w:w="685"/>
        <w:gridCol w:w="601"/>
        <w:gridCol w:w="604"/>
        <w:gridCol w:w="109"/>
        <w:gridCol w:w="109"/>
        <w:gridCol w:w="109"/>
        <w:gridCol w:w="375"/>
        <w:gridCol w:w="1149"/>
        <w:gridCol w:w="194"/>
        <w:gridCol w:w="194"/>
        <w:gridCol w:w="194"/>
        <w:gridCol w:w="194"/>
        <w:gridCol w:w="375"/>
        <w:gridCol w:w="1149"/>
        <w:gridCol w:w="194"/>
        <w:gridCol w:w="109"/>
        <w:gridCol w:w="109"/>
        <w:gridCol w:w="109"/>
        <w:gridCol w:w="227"/>
        <w:gridCol w:w="583"/>
        <w:gridCol w:w="109"/>
        <w:gridCol w:w="109"/>
        <w:gridCol w:w="109"/>
        <w:gridCol w:w="109"/>
        <w:gridCol w:w="299"/>
        <w:gridCol w:w="30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(99,979)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bidi w:val="0"/>
        <w:spacing w:before="10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 was $7.5 million for the nine months ended September 30, 2023, which is primarily flat compared to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net of refunds and other receipts related to property and equipment were $29.9 million for the nine months ended September 30, 2023, a decrease of $42.8 million, as compared to 2022, primarily due to decreases in expenditures, as well as refunds and other receipts, related to the EchoStar XXIV satellite program.</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reconciles the change in the Corporate and Other EBITDA: </w:t>
      </w:r>
    </w:p>
    <w:tbl>
      <w:tblPr>
        <w:tblW w:w="9198" w:type="dxa"/>
        <w:jc w:val="center"/>
        <w:tblInd w:w="0" w:type="dxa"/>
        <w:tblLayout w:type="fixed"/>
        <w:tblCellMar>
          <w:top w:w="28" w:type="dxa"/>
          <w:left w:w="28" w:type="dxa"/>
          <w:bottom w:w="28" w:type="dxa"/>
          <w:right w:w="28" w:type="dxa"/>
        </w:tblCellMar>
      </w:tblPr>
      <w:tblGrid>
        <w:gridCol w:w="2787"/>
        <w:gridCol w:w="2447"/>
        <w:gridCol w:w="2461"/>
        <w:gridCol w:w="109"/>
        <w:gridCol w:w="109"/>
        <w:gridCol w:w="109"/>
        <w:gridCol w:w="211"/>
        <w:gridCol w:w="811"/>
        <w:gridCol w:w="154"/>
      </w:tblGrid>
      <w:tr>
        <w:trPr/>
        <w:tc>
          <w:tcPr>
            <w:tcW w:w="278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Cash Equivalents and Marketable Investment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consider all liquid investments purchased with an original maturity of 90 days or less to be cash equivalents.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September 30, 2023 our cash, cash equivalents and marketable investment securities totaled $2.0 billion, $0.9 billion of which we held as marketable investment securities, consisting of various debt and equity instruments including corporate bonds, corporate equity securities, government bonds and mutual funds.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Flow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cash flows provided by (used for) operating, investing and financing activities, as reflected in the Consolidated Statement of Cash Flows: </w:t>
      </w:r>
    </w:p>
    <w:tbl>
      <w:tblPr>
        <w:tblW w:w="9428" w:type="dxa"/>
        <w:jc w:val="left"/>
        <w:tblInd w:w="0" w:type="dxa"/>
        <w:tblLayout w:type="fixed"/>
        <w:tblCellMar>
          <w:top w:w="28" w:type="dxa"/>
          <w:left w:w="28" w:type="dxa"/>
          <w:bottom w:w="28" w:type="dxa"/>
          <w:right w:w="28" w:type="dxa"/>
        </w:tblCellMar>
      </w:tblPr>
      <w:tblGrid>
        <w:gridCol w:w="1782"/>
        <w:gridCol w:w="1566"/>
        <w:gridCol w:w="1571"/>
        <w:gridCol w:w="109"/>
        <w:gridCol w:w="109"/>
        <w:gridCol w:w="109"/>
        <w:gridCol w:w="211"/>
        <w:gridCol w:w="856"/>
        <w:gridCol w:w="109"/>
        <w:gridCol w:w="109"/>
        <w:gridCol w:w="109"/>
        <w:gridCol w:w="109"/>
        <w:gridCol w:w="211"/>
        <w:gridCol w:w="856"/>
        <w:gridCol w:w="109"/>
        <w:gridCol w:w="109"/>
        <w:gridCol w:w="109"/>
        <w:gridCol w:w="109"/>
        <w:gridCol w:w="211"/>
        <w:gridCol w:w="811"/>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flows provided by (used for) operating activities decreased by $42.3 million primarily attributable to decreases in net income of $81.5 million, other, net, of $42.1 million, depreciation and amortization of $35.8 million, accretion of discounts on debt investments of $21.5 million, deferred tax provision, net of $20.8 million, and gain on repayment of other debt securities of $7.6 million, partially offset by other-than-temporary impairment losses on equity method investments of $33.4 million, changes in assets and liabilities, net of $65.8 million, and losses (gains) on investments, net of $71.4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Cash flows provided by (used for) investing activities decreased by $26.2 million primarily attributable to decreases in our marketable investment securities net activities of $241.6 million and externally marketed software expenditures of $5.4 million, partially offset by proceeds from repayment of other debt investments of $148.4 million, a decrease in expenditures for property and equipment of $77.1 million, and the absence of expenditures for the India JV formation in 2022 of $7.9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flows provided by (used for) financing activities increased by $83.1 million primarily attributable to decreases in treasury share repurchases of $89.3 million.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Obligations and Future Capital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Off-Balance Sheet Arrangements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generally do not engage in off-balance sheet financing activities or use material derivative financial instruments for hedge accounting or speculative purposes.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Letters of Credit and Surety Bonds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table presents the components of our letters of credit and surety bonds as of September 30, 2023</w:t>
      </w:r>
      <w:r>
        <w:rPr>
          <w:rFonts w:ascii="Arial;sans-serif" w:hAnsi="Arial;sans-serif"/>
          <w:b/>
          <w:color w:val="000000"/>
          <w:sz w:val="20"/>
        </w:rPr>
        <w:t>:</w:t>
      </w:r>
    </w:p>
    <w:tbl>
      <w:tblPr>
        <w:tblW w:w="6333" w:type="dxa"/>
        <w:jc w:val="left"/>
        <w:tblInd w:w="0" w:type="dxa"/>
        <w:tblLayout w:type="fixed"/>
        <w:tblCellMar>
          <w:top w:w="28" w:type="dxa"/>
          <w:left w:w="28" w:type="dxa"/>
          <w:bottom w:w="28" w:type="dxa"/>
          <w:right w:w="28" w:type="dxa"/>
        </w:tblCellMar>
      </w:tblPr>
      <w:tblGrid>
        <w:gridCol w:w="1770"/>
        <w:gridCol w:w="1554"/>
        <w:gridCol w:w="1566"/>
        <w:gridCol w:w="109"/>
        <w:gridCol w:w="109"/>
        <w:gridCol w:w="109"/>
        <w:gridCol w:w="211"/>
        <w:gridCol w:w="751"/>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Letters of credit secured by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Surety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arrangement available to our foreign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letters of credit and surety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Certain letters of credit are secured by assets of our foreign subsidiaries.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our satellite fleet ages, and as our business plans evolve, we will evaluate whether and to what extent to utilize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to improve the quality of our satellite services or to provide new satellites services.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Satellite Insurance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generally do not carry in-orbit insurance on our satellites or payloads because we have assessed that the cost of insurance is not economical relative to the risk of failures. Therefore, we generally bear the risk of any in-orbit failures.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Pursuant to the terms of our joint venture agreement with Yahsat, we are required to maintain insurance for the Al Yah 3 Brazilian payload during the commercial in-orbit service of such payload, subject to certain limitations on coverage. The insurance policies were procured by Yahsat, under which the Company and Yahsat are the beneficiaries of any claims in proportion to their shareholdings. An insurance claim was submitted in the second quarter of 2023 for compensation with respect to the reduction in estimated useful life of the Al Yah 3 satellite.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We also have obtained certain insurance for our EchoStar XXIV satellite covering launch plus the first year of operations.</w:t>
      </w:r>
      <w:r>
        <w:rPr>
          <w:color w:val="000000"/>
        </w:rPr>
        <w:t xml:space="preserve"> </w:t>
      </w:r>
      <w:r>
        <w:rPr>
          <w:rFonts w:ascii="Arial;sans-serif" w:hAnsi="Arial;sans-serif"/>
          <w:b w:val="false"/>
          <w:color w:val="000000"/>
          <w:sz w:val="20"/>
        </w:rPr>
        <w:t xml:space="preserve">We will continue to assess circumstances going forward and make insurance-related decisions on a case-by-case basis.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Future Capital Requirements</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primarily rely on our existing cash and marketable investment securities balances, as well as cash flow generated through our operations, to fund our business. Revenue in our ESS segment depends largely on our ability to make continuous use of our available satellite capacity on behalf of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There can be no assurance that we will have positive cash flows from operations in the future. Furthermore, if we experience negative cash flows, our existing cash and marketable investment securities balances may be reduced.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60"/>
        <w:jc w:val="both"/>
        <w:rPr/>
      </w:pPr>
      <w:r>
        <w:rPr>
          <w:rFonts w:ascii="Arial;sans-serif" w:hAnsi="Arial;sans-serif"/>
          <w:b w:val="false"/>
          <w:color w:val="000000"/>
          <w:sz w:val="20"/>
        </w:rPr>
        <w:t>We have a significant amount of outstanding indebtedness. As of September 30, 2023, our total indebtedness was $1.5 billion. Our liquidity requirements will continue to be significant, primarily due to our remaining debt service requirements. We may from time to time seek to repurchase amounts of our outstanding debt in open market purchases, privately negotiated transactions or otherwise, depending on market conditions, our liquidity needs and other factors. The amounts we may repurchase may be material. In the future, we may require material capital expenditures to make significant acquisitions or investments in infrastructure, technologies or joint ventures to support and expand our business, or if we decide to purchase or build additional satellites or invest in other technologies or assets. Other aspects of our business operations may also require additional capital. We also expect to owe U.S. federal income tax for 2023.</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our existing cash and marketable investment securities are sufficient to fund the currently anticipated operations of our business through the next twelve months.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Stock Repurchases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nine months ended September 30, 2023, we repurchased zero shares of our Class A common stock under this program. Notwithstanding this authorization, Section 4.1(a)(vii) of the Amended Merger Agreement contains an interim operating covenant that prohibits us from repurchasing our stock during the period between October 2, 2023, and the Effective Time of the Merger. As a result, we do not plan to undertake any stock repurchases until after the occurrence of either (a) the Merger Effective Time, or (b) the termination of the Amended Merger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critical accounting policies are described in Note 2. Summary of Significant Accounting Policies to our Consolidated Financial Statements in our Form 10-K. There have been no significant changes in our critical accounting policies from those presented in our Form 10-K.</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critical accounting estimates are described in our Form 10-K under the heading Part II - Item 7. Management’s Discussion and Analysis of Financial Condition and Results of Operations. There have been no significant changes in our critical accounting estimates from those presented in our Form 10-K.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NEW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a discussion of new accounting pronouncements, refer to </w:t>
      </w:r>
      <w:r>
        <w:rPr>
          <w:rFonts w:ascii="Arial;sans-serif" w:hAnsi="Arial;sans-serif"/>
          <w:b w:val="false"/>
          <w:i/>
          <w:color w:val="000000"/>
          <w:sz w:val="20"/>
        </w:rPr>
        <w:t>Note 2. Summary of Significant Accounting Policies</w:t>
      </w:r>
      <w:r>
        <w:rPr>
          <w:color w:val="000000"/>
        </w:rPr>
        <w:t xml:space="preserve"> </w:t>
      </w:r>
      <w:r>
        <w:rPr>
          <w:rFonts w:ascii="Arial;sans-serif" w:hAnsi="Arial;sans-serif"/>
          <w:b w:val="false"/>
          <w:color w:val="000000"/>
          <w:sz w:val="20"/>
        </w:rPr>
        <w:t>in our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our Hughes segment, service revenue is generally not impacted by seasonal fluctuations other than those related to sales and promotional activities.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ESS segment is not generally affected by seasonal impacts.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cannot predict with any certainty whether these trends will continue in the near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INFLATION AND SUPPLY CHAIN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Inflation has impacted our operations as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depends primarily on competitive pressures, contractual terms, and inflationary pressures.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Worldwide interruptions and delays in the supply of components, materials and parts, although not materially impacting our operations during the nine months ended September 30, 2023, may impact our ability to timely provide equipment deliveries in the future. Any such future interruptions and delays could increase the cost of our equipment, and we may not be able to pass these higher costs on to our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Refer to our Form 10-K, under the heading Part II - Item 7A. Quantitative and Qualitative Disclosures About Market Risk, for a more complete discussion of our risks. As of September 30, 2023, our market risks have not changed materially from those presented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 13a-15(f) and Rule 15d-15(f) under the Securities Exchange Act of 1934, as amended) that occurred during the three months ended September 30, 2023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a discussion of legal proceedings, refer to Part I, Item 1. Financial Statements - </w:t>
      </w:r>
      <w:r>
        <w:rPr>
          <w:rFonts w:ascii="Arial;sans-serif" w:hAnsi="Arial;sans-serif"/>
          <w:b w:val="false"/>
          <w:i/>
          <w:color w:val="000000"/>
          <w:sz w:val="20"/>
        </w:rPr>
        <w:t>Note 13. Contingencies</w:t>
      </w:r>
      <w:r>
        <w:rPr>
          <w:color w:val="000000"/>
        </w:rPr>
        <w:t xml:space="preserve"> </w:t>
      </w:r>
      <w:r>
        <w:rPr>
          <w:rFonts w:ascii="Arial;sans-serif" w:hAnsi="Arial;sans-serif"/>
          <w:b w:val="false"/>
          <w:color w:val="000000"/>
          <w:sz w:val="20"/>
        </w:rPr>
        <w:t>- Litigation in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information updates, and should be read in conjunction with, the information in Part I, Item 1A, Risk Factors, of our Form 10-K for the year ended December 31, 2022.</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Risks Relating to the DISH Merger</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While the Merger is pending, we will be subject to business uncertainties as well as contractual restrictions under the Amended Merger Agreement that may have an adverse effect on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Merger will occur only if stated conditions are met, many of which are outside of our control. In addition, we and DISH Network each have the right to terminate the Merger Agreement under specified circumstances. Accordingly, there may be uncertainty regarding the completion of the Merger. Further, there may be uncertainty about the effect of the Merger on employees, commercial partners and customers. Such uncertainty could cause customers and others to defer or decline entering into or extending contracts with, or making other decisions concerning, EchoStar and/or DISH Network, or to seek to change existing business relationships with either of them. Such uncertainty also may impair our and/or DISH Network’s ability to retain and motivate key personnel. These uncertainties may have an adverse effect on the companies’ respective businesses and, consequently, on EchoStar following the completion of the Merger.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Amended Merger Agreement contains customary covenants which restrict each of EchoStar and DISH Network, without the consent of the other party, from taking certain specified actions until the Merger closes or the Amended Merger Agreement terminates. These restrictions may prevent us and DISH Network from pursuing otherwise attractive business opportunities that may arise prior to the completion of the Merger or termination of the Amended Merger Agreement.</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will incur significant expenses in connection with the Merger, which may adversely affect our business, financial condition and results of operation.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expect to incur significant, nonrecurring costs in connection with the completion of the Merger and the integration of the operations of the two companies, and may incur additional costs to maintain employee morale and to retain key employees. These nonrecurring costs include significant fees and expenses relating to legal, accounting and financial advisory fees, regulatory filings and other costs associated with the Merger. These expenses, certain of which are payable whether or not the Merger is completed, may not be offset by any benefits ultimately realized as a result of the Merger and could adversely affect our business, financial condition and results of operations.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The Amended Merger Agreement restricts our ability to pursue alternatives to the Merger.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Amended Merger Agreement contains provisions that make it more difficult for us to enter into alternative transactions with third parties. The Amended Merger Agreement prohibits us from soliciting alternative acquisition proposals from third parties, providing information to third parties in connection with an alternative acquisition proposal and engaging in discussions with third parties regarding alternative acquisition proposals. These provisions could discourage a potential third-party acquirer that might have an interest in us from considering or pursuing an alternative transaction with us, or proposing such a transaction, even if it were prepared to pay consideration with a higher per share value than the total value proposed to be paid in the Merger. Further, because the required EchoStar stockholder vote was obtained by virtue of the delivery of written consents of the Ergen family stockholders, no other action by our stockholders is required to complete the Merger, and therefore we cannot solicit, initiate, facilitate or otherwise take any further action relating to any alternative acquisition proposal.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Failure to attract, motivate and retain executives and other key employees could diminish the anticipated benefits of the Merger.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success of the Merger will depend in part on the retention of personnel critical to the business and operations of EchoStar and DISH Network due to, for example, their technical skills or management expertise. Competition for qualified personnel can be intense and qualified personnel can be in high demand. Current and prospective employees of EchoStar and DISH Network may experience uncertainty about their future role until strategies with regard to these employees are announced or executed, which may impair each company’s ability to attract, retain and motivate key management, technical and other personnel prior to and following the Merger. Employee retention may be particularly challenging during the pendency of the Merger. If we and DISH Network are unable to retain personnel, including key management, who are critical to the successful integration and future operations of the companies, we could face, among other risks, disruptions in operations, loss of existing customers, loss of key information, expertise or know- how, and unanticipated additional recruitment and training costs. In addition, the loss of key personnel could diminish the anticipated benefits of the Merger.</w:t>
      </w:r>
    </w:p>
    <w:p>
      <w:pPr>
        <w:pStyle w:val="TextBody"/>
        <w:bidi w:val="0"/>
        <w:spacing w:before="0" w:after="0"/>
        <w:jc w:val="both"/>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Certain of our directors, executive officers and employees have interests in the Merger that may be different from, or in addition to, the interests of our stockholders.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Certain of our directors, executive officers and employees have interests in the Merger that may be different from, or in addition to, the interests of our stockholders. These interests include, among others, Mr. Ergen’s continuation as director and Chairman of EchoStar after the Merger, Hamid Akhavan, the Chief Executive Officer and President of EchoStar, serving as President and Chief Executive Officer of the combined company following the Merger, the continued employment of other of our other executive officers after the Merger, the continued positions of certain of our directors as directors of EchoStar after the Merger, and directors’, executive officers’ and employees’ equity holdings in EchoStar. Our special transaction committee and our Board were aware of and considered these interests, among other matters, in deciding to recommend and approve the terms of the Amended Merger Agreement and the Merger.</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may be subject to lawsuits relating to the Merger, which may impact the timing of the closing and the parties’ ability to close the Merger and may adversely impact our business.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and our directors, officers and advisors may be subject to lawsuits relating to the Merger. Litigation is very common in connection with the sale of public companies, and lawsuits are often brought in an effort to enjoin the relevant merger or seek monetary relief. In particular, the interests of our directors, executive officers and employees in the Merger may increase the risk of litigation intended to enjoin or prevent the Merger and the risk of other dissident stockholder activity related thereto. In the past, and in particular following the announcement of a significant transaction, periods of volatility in the overall market or declines in the market price of a company’s securities, stockholder litigation and dissident stockholder proposals have often been instituted against companies alleging conflicts of interest in business dealings with affiliated or related persons and entities. The affiliation between EchoStar and DISH Network and the interests of their respective directors, executive officers and employees in the Merger may precipitate such activities by dissident stockholders and, if instituted, such activities could result in substantial costs, a material delay or prevention of the Merger and a diversion of management’s attention, even if the stockholder action is without merit or ultimately unsuccessful.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cannot predict whether such lawsuits will be brought, or the outcome of such lawsuits or others, nor can we predict the amount of time and expense that will be required to resolve such litigation. An unfavorable resolution of any such litigation surrounding the Merger could delay or prevent the completion of the Merger, which may adversely affect our business, financial condition and results of operations. Further, the defense or settlement of any lawsuit or claim that remains unresolved at the time the Merger is completed may adversely affect our business, financial condition, results of operations and cash flows following the Merger.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4" w:before="0" w:after="0"/>
        <w:jc w:val="left"/>
        <w:rPr>
          <w:rFonts w:ascii="Arial;sans-serif" w:hAnsi="Arial;sans-serif"/>
          <w:b/>
          <w:i/>
          <w:color w:val="000000"/>
          <w:sz w:val="20"/>
        </w:rPr>
      </w:pPr>
      <w:r>
        <w:rPr>
          <w:rFonts w:ascii="Arial;sans-serif" w:hAnsi="Arial;sans-serif"/>
          <w:b/>
          <w:i/>
          <w:color w:val="000000"/>
          <w:sz w:val="20"/>
        </w:rPr>
        <w:t>The market value of our Class A Common Stock may vary significantly prior to the Merger, and we therefore cannot be sure of the value of the consideration that we will pay in the Merger.</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At the effective time of the Merger, (i) each share of DISH Network Class A Common Stock and DISH Network Class C Common Stock outstanding immediately prior to the Effective Time will be converted into the right to receive a number of validly issued, fully paid and non-assessable shares of EchoStar Class A Common Stock equal to the Exchange Ratio (with all shares of DISH Network Class C Common Stock outstanding, if any, treated for purposes of this calculation as if converted into DISH Network Class A Common Stock at the effective conversion rate set forth in the DISH Network Articles of Incorporation) and (ii) each share of DISH Network Class B Common Stock outstanding immediately prior to the Effective Time will be converted into the right to receive a number of validly issued, fully paid and non-assessable shares of EchoStar Class B Common Stock equal to the Exchange Ratio.</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EchoStar Class B Common Stock and DISH Network Class B Common Stock are not listed or traded on a national securities exchange, and there are no shares of DISH Network Class C Common Stock outstanding. The market value of EchoStar Class A Common Stock and DISH Network Class A Common Stock at the effective time of the Merger may vary significantly from the market value of such stock on October 2, 2023 (the last full trading day before the public announcement of the signing of the Amended Merger Agreement). Because the Exchange Ratio will not be adjusted to reflect any changes in the market price of EchoStar Class A Common Stock or DISH Network Class A Common Stock, the market price of EchoStar Class A Common Stock issued to DISH Network Class A stockholders in the Merger and the market value of DISH Network Class A Common Stock converted in the Merger may each be higher or lower than the values of those shares on earlier dates. Accordingly, at any time prior to the completion of the Merger, we will not know or be able to determine the value of the EchoStar Class A Common Stock that will be paid to DISH Network Class A Stockholders as consideration in the Merger.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Changes in the market price of EchoStar Class A Common Stock and DISH Network Class A Common Stock may result from a variety of factors that are beyond the companies’ control, including, but not limited to, changes in their respective businesses, operations and prospects, governmental actions, legal proceedings and developments and other matters generally affecting the securities market. Market assessments of the benefits of the Merger, the likelihood that the Merger will be completed and general and industry-specific market and economic conditions may also have an effect on the market price of EchoStar Class A Common Stock and DISH Network Class A Common Stock. Neither party is permitted to terminate the Amended Merger Agreement solely because of changes in the market prices of EchoStar Class A Common Stock or DISH Network Class A Common Stock. </w:t>
      </w:r>
    </w:p>
    <w:p>
      <w:pPr>
        <w:pStyle w:val="TextBody"/>
        <w:bidi w:val="0"/>
        <w:spacing w:before="0" w:after="0"/>
        <w:jc w:val="both"/>
        <w:rPr/>
      </w:pPr>
      <w:r>
        <w:rPr/>
      </w:r>
    </w:p>
    <w:p>
      <w:pPr>
        <w:pStyle w:val="TextBody"/>
        <w:bidi w:val="0"/>
        <w:spacing w:lineRule="auto" w:line="244" w:before="0" w:after="0"/>
        <w:jc w:val="both"/>
        <w:rPr>
          <w:rFonts w:ascii="Arial;sans-serif" w:hAnsi="Arial;sans-serif"/>
          <w:b/>
          <w:i/>
          <w:color w:val="000000"/>
          <w:sz w:val="20"/>
        </w:rPr>
      </w:pPr>
      <w:r>
        <w:rPr>
          <w:rFonts w:ascii="Arial;sans-serif" w:hAnsi="Arial;sans-serif"/>
          <w:b/>
          <w:i/>
          <w:color w:val="000000"/>
          <w:sz w:val="20"/>
        </w:rPr>
        <w:t>The Merger is subject to a number of conditions, including receipt of certain regulatory approvals. Failure to complete the Merger could adversely affect the market price of our Class A Common Stock, as well as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respective obligations of EchoStar and DISH Network to consummate the transactions contemplated by the Amended Merger Agreement are subject to the satisfaction or waiver of a number of conditions, including, among others, the receipt of certain regulatory approvals. As a condition to granting the necessary approvals or clearances, governmental authorities may impose requirements, limitations or costs or place restrictions on the conduct of the business of the combined company after the completion of the Merger. Any one of these requirements, limitations, costs, or restrictions could jeopardize or delay the completion, or reduce the anticipated benefits, of the Merger. In addition, there is no guarantee that the conditions to closing will be satisfied (or, if applicable, validly waived) in a timely manner or at all, in which case the closing of the Merger may be delayed or may not occur and the benefits expected to result from the Merger may not be achieved. If the Merger is not completed for any reason, our business may be adversely affected, and we will be subject to several risks and consequences, including, but not limited to,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we will be required to pay certain costs relating to the Merger regardless of whether the Merger is completed, such as significant fees and expenses relating to financial advisory, legal, accounting, consulting and other advisory fees and expenses and regulatory filings;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matters relating to the Merger may require substantial commitments of time and resources by our management and the expenditure of significant funds in the form of fees and expenses, which could otherwise have been devoted to day-to-day operations and other opportunities that may have been beneficial to us.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if the Merger is not completed, we may experience negative reactions from the financial markets and from our employees, commercial partners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also could be subject to litigation, including litigation related to failure to complete the Merger, or to enforce DISH Network’s obligations under the Amended Merger Agreement.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the Merger is not completed, we cannot assure you that the risks described above will not materially affect our stock price, business, financial condition and results of operations.</w:t>
      </w:r>
    </w:p>
    <w:p>
      <w:pPr>
        <w:pStyle w:val="TextBody"/>
        <w:bidi w:val="0"/>
        <w:spacing w:before="0" w:after="0"/>
        <w:jc w:val="both"/>
        <w:rPr/>
      </w:pPr>
      <w:r>
        <w:rPr/>
      </w:r>
    </w:p>
    <w:p>
      <w:pPr>
        <w:pStyle w:val="TextBody"/>
        <w:bidi w:val="0"/>
        <w:spacing w:lineRule="auto" w:line="244" w:before="0" w:after="0"/>
        <w:jc w:val="both"/>
        <w:rPr>
          <w:rFonts w:ascii="Arial;sans-serif" w:hAnsi="Arial;sans-serif"/>
          <w:b/>
          <w:i/>
          <w:color w:val="000000"/>
          <w:sz w:val="20"/>
        </w:rPr>
      </w:pPr>
      <w:r>
        <w:rPr>
          <w:rFonts w:ascii="Arial;sans-serif" w:hAnsi="Arial;sans-serif"/>
          <w:b/>
          <w:i/>
          <w:color w:val="000000"/>
          <w:sz w:val="20"/>
        </w:rPr>
        <w:t>DISH Network currently has significant indebtedness as compared to EchoStar. Following the Merger, EchoStar stockholders will hold equity interests in a company with substantially higher leverage than EchoStar had prior to the Merger.</w:t>
      </w:r>
    </w:p>
    <w:p>
      <w:pPr>
        <w:pStyle w:val="TextBody"/>
        <w:bidi w:val="0"/>
        <w:spacing w:before="0" w:after="0"/>
        <w:jc w:val="both"/>
        <w:rPr/>
      </w:pPr>
      <w:r>
        <w:rPr/>
      </w:r>
    </w:p>
    <w:p>
      <w:pPr>
        <w:pStyle w:val="TextBody"/>
        <w:bidi w:val="0"/>
        <w:spacing w:lineRule="auto" w:line="244" w:before="0" w:after="0"/>
        <w:jc w:val="both"/>
        <w:rPr>
          <w:rFonts w:ascii="Arial;sans-serif" w:hAnsi="Arial;sans-serif"/>
          <w:b w:val="false"/>
          <w:color w:val="000000"/>
          <w:sz w:val="20"/>
        </w:rPr>
      </w:pPr>
      <w:r>
        <w:rPr>
          <w:rFonts w:ascii="Arial;sans-serif" w:hAnsi="Arial;sans-serif"/>
          <w:b w:val="false"/>
          <w:color w:val="000000"/>
          <w:sz w:val="20"/>
        </w:rPr>
        <w:t>As of September 30, 2023, EchoStar had consolidated long-term debt outstanding of $1.5 billion in principal amount and total assets of approximately $6.2 billion, and DISH Network had consolidated long-term debt outstanding of approximately $21.2 billion in principal amount and total assets of approximately $53.7 billion. After giving effect to the Merger, EchoStar and its subsidiaries will have consolidated long-term debt of approximately $22.7 billion in principal amount on a combined basis and total consolidated assets of approximately $59.9 billion. Therefore, after the completion of the Merger, EchoStar stockholders will hold equity interests in a company with substantially higher leverage than EchoStar had prior to the Merger. DISH Network’s indebtedness could have significant consequences, including, but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making it more difficult for EchoStar to satisfy its obligations;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 dilutive effect on EchoStar’s outstanding equity capital or future earnings;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0"/>
        </w:rPr>
        <w:t>increasing EchoStar’s vulnerability to general adverse economic conditions, including, but not limited to, changes in interest rates;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0"/>
        </w:rPr>
        <w:t>requiring EchoStar to devote a substantial portion of its cash toward making interest and principal payments on its indebtedness, thereby reducing the amount of cash available for other purposes, resulting in limited financial and operating flexibility to changing economic and competitive conditions;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0"/>
        </w:rPr>
        <w:t>limiting EchoStar’s ability to raise additional capital because it may be more difficult for it to obtain debt financing on attractive terms or at all;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placing EchoStar at a disadvantage compared to its competitors that are less leveraged.</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We may operate DISH Network’s business different from how it has been operated in the past.</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After the completion of the Merger, DISH Network will be a wholly owned subsidiary of EchoStar and will no longer be a publicly traded company. We may operate DISH Network’s business in a manner different from how DISH Network has operated in the past, and may pursue different strategic objectives than DISH Network has pursued to date as a separate public company. As a result, DISH Network’s prior results may not be indicative of DISH Network’s future performance as a subsidiary of EchoStar, and such results should not be relied upon as an indicator of DISH Network’s performance after the completion of the Merger.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Risks Related to Our Business Following the Merger</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The businesses of EchoStar and DISH Network may not be integrated successfully or such integration may be more difficult, time consuming or costly than expected. Operating costs, customer loss and business disruption, including, but not limited to, difficulties in maintaining relationships with employees, customers, suppliers or vendors, may be greater than expected following the Merger. Synergies from the Merger may not be realized within expected timeframes or at all.</w:t>
      </w:r>
    </w:p>
    <w:p>
      <w:pPr>
        <w:pStyle w:val="TextBody"/>
        <w:bidi w:val="0"/>
        <w:spacing w:before="0" w:after="0"/>
        <w:jc w:val="left"/>
        <w:rPr/>
      </w:pPr>
      <w:r>
        <w:rPr/>
      </w:r>
    </w:p>
    <w:p>
      <w:pPr>
        <w:pStyle w:val="TextBody"/>
        <w:bidi w:val="0"/>
        <w:spacing w:lineRule="auto" w:line="244" w:before="0" w:after="0"/>
        <w:jc w:val="both"/>
        <w:rPr>
          <w:rFonts w:ascii="Arial;sans-serif" w:hAnsi="Arial;sans-serif"/>
          <w:b w:val="false"/>
          <w:color w:val="000000"/>
          <w:sz w:val="20"/>
        </w:rPr>
      </w:pPr>
      <w:r>
        <w:rPr>
          <w:rFonts w:ascii="Arial;sans-serif" w:hAnsi="Arial;sans-serif"/>
          <w:b w:val="false"/>
          <w:color w:val="000000"/>
          <w:sz w:val="20"/>
        </w:rPr>
        <w:t>The Merger involves the combination of two companies that, although under common control and subject to existing commercial relationships, currently operate as separate public companies. The combination of two separate companies is complex, costly and time-consuming and may require significant management attention and resources which may divert attention from our ongoing businesses and operations. The failure to meet the challenges involved in combining the two companies and to realize the anticipated benefits of the Merger could cause an interruption of, or a loss of momentum in, our activities and could adversely affect the results of operations of the combined company following the Merger. The overall combination of the two companies may also result in material unanticipated problems, expenses, liabilities, competitive responses and loss of customer and other business relationships. The difficulties of combining the operations of the companies include, among others: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diversion of management and employee attention to integration matters;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20"/>
        </w:rPr>
        <w:t>difficulties in integrating operations and systems, including, but not limited to, communications systems, administrative and information technology infrastructure and financial reporting and internal control systems;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20"/>
        </w:rPr>
        <w:t>challenges in conforming standards, controls, procedures and accounting and other policies, business cultures and compensation structures between the two companies;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20"/>
        </w:rPr>
        <w:t>difficulties in integrating employees and teams of the respective businesses, and attracting and retaining key personnel;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challenges in retaining and obtaining customers, suppliers and other commercial relationships;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difficulties in managing the expanded operations of a larger and more complex company; and</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20"/>
        </w:rPr>
        <w:t>potential unknown liabilities, adverse consequences and unforeseen increased expenses associated with the Merger.</w:t>
      </w:r>
    </w:p>
    <w:p>
      <w:pPr>
        <w:pStyle w:val="TextBody"/>
        <w:bidi w:val="0"/>
        <w:spacing w:before="0" w:after="0"/>
        <w:jc w:val="left"/>
        <w:rPr/>
      </w:pPr>
      <w:r>
        <w:rPr/>
      </w:r>
    </w:p>
    <w:p>
      <w:pPr>
        <w:pStyle w:val="TextBody"/>
        <w:bidi w:val="0"/>
        <w:spacing w:lineRule="auto" w:line="247" w:before="0" w:after="0"/>
        <w:jc w:val="both"/>
        <w:rPr>
          <w:rFonts w:ascii="Arial;sans-serif" w:hAnsi="Arial;sans-serif"/>
          <w:b w:val="false"/>
          <w:color w:val="000000"/>
          <w:sz w:val="20"/>
        </w:rPr>
      </w:pPr>
      <w:r>
        <w:rPr>
          <w:rFonts w:ascii="Arial;sans-serif" w:hAnsi="Arial;sans-serif"/>
          <w:b w:val="false"/>
          <w:color w:val="000000"/>
          <w:sz w:val="20"/>
        </w:rPr>
        <w:t>Many of these factors are outside of our control and any one of them could result in lower revenues, higher costs and diversion of management time and energy, which could materially impact our business, financial condition and results of operations after the Merger. In addition, even if the operations of the companies are integrated successfully, the full benefits of the Merger may not be realized, including, among others, the synergies, cost savings or sales or growth opportunities that are expected. These benefits may not be achieved within the anticipated time frame or at all. All of these factors could negatively impact the price of our Class A Common Stock following the Merger. As a result, it cannot be assured that the combination of the two companies will result in the realization of the full benefits expected from the Merger within the anticipated time frames, or at all.</w:t>
      </w:r>
    </w:p>
    <w:p>
      <w:pPr>
        <w:pStyle w:val="TextBody"/>
        <w:bidi w:val="0"/>
        <w:spacing w:before="0" w:after="0"/>
        <w:jc w:val="both"/>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Following the Merger, we will continue to be controlled by one principal stockholder.</w:t>
      </w:r>
    </w:p>
    <w:p>
      <w:pPr>
        <w:pStyle w:val="TextBody"/>
        <w:bidi w:val="0"/>
        <w:spacing w:before="0" w:after="0"/>
        <w:jc w:val="left"/>
        <w:rPr/>
      </w:pPr>
      <w:r>
        <w:rPr/>
      </w:r>
    </w:p>
    <w:p>
      <w:pPr>
        <w:pStyle w:val="TextBody"/>
        <w:bidi w:val="0"/>
        <w:spacing w:lineRule="auto" w:line="247" w:before="0" w:after="0"/>
        <w:jc w:val="both"/>
        <w:rPr>
          <w:rFonts w:ascii="Arial;sans-serif" w:hAnsi="Arial;sans-serif"/>
          <w:b w:val="false"/>
          <w:color w:val="000000"/>
          <w:sz w:val="20"/>
        </w:rPr>
      </w:pPr>
      <w:r>
        <w:rPr>
          <w:rFonts w:ascii="Arial;sans-serif" w:hAnsi="Arial;sans-serif"/>
          <w:b w:val="false"/>
          <w:color w:val="000000"/>
          <w:sz w:val="20"/>
        </w:rPr>
        <w:t xml:space="preserve">EchoStar and DISH Network are each controlled by Mr. Ergen, who also serves as the Chairman of both companies and will continue to serve as the Chairman of EchoStar following the consummation of the Merger. Mr. Ergen beneficially owns approximately 93.4% of the total voting power of EchoStar equity securities, and also beneficially owns approximately 90.3% of the total voting power of DISH Network equity securities. </w:t>
      </w:r>
    </w:p>
    <w:p>
      <w:pPr>
        <w:pStyle w:val="TextBody"/>
        <w:bidi w:val="0"/>
        <w:spacing w:before="0" w:after="0"/>
        <w:jc w:val="both"/>
        <w:rPr/>
      </w:pPr>
      <w:r>
        <w:rPr/>
      </w:r>
    </w:p>
    <w:p>
      <w:pPr>
        <w:pStyle w:val="TextBody"/>
        <w:bidi w:val="0"/>
        <w:spacing w:lineRule="auto" w:line="247" w:before="0" w:after="0"/>
        <w:jc w:val="both"/>
        <w:rPr>
          <w:rFonts w:ascii="Arial;sans-serif" w:hAnsi="Arial;sans-serif"/>
          <w:b w:val="false"/>
          <w:color w:val="000000"/>
          <w:sz w:val="20"/>
        </w:rPr>
      </w:pPr>
      <w:r>
        <w:rPr>
          <w:rFonts w:ascii="Arial;sans-serif" w:hAnsi="Arial;sans-serif"/>
          <w:b w:val="false"/>
          <w:color w:val="000000"/>
          <w:sz w:val="20"/>
        </w:rPr>
        <w:t>Pursuant to the amended support agreement, Mr. Ergen and the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such that the Ergen Stockholders’ voting power of EchoStar will be approximately 90.4% for such three- year period. Through his beneficial ownership of our equity securities, Mr. Ergen has the ability to elect a majority of the directors and to control all other matters requiring the approval of our stockholders, and will continue to have such ability following completion of the Merger. As a result of Mr. Ergen’s voting power, we currently are, and following the Merger will continue to be, a “controlled company” as defined in the NASDAQ listing rules and, therefore, not subject to certain NASDAQ requirements relating to director independence and nomination and board committee composition.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7" w:before="0" w:after="0"/>
        <w:jc w:val="both"/>
        <w:rPr>
          <w:rFonts w:ascii="Arial;sans-serif" w:hAnsi="Arial;sans-serif"/>
          <w:b w:val="false"/>
          <w:color w:val="000000"/>
          <w:sz w:val="20"/>
        </w:rPr>
      </w:pPr>
      <w:r>
        <w:rPr>
          <w:rFonts w:ascii="Arial;sans-serif" w:hAnsi="Arial;sans-serif"/>
          <w:b w:val="false"/>
          <w:color w:val="000000"/>
          <w:sz w:val="20"/>
        </w:rPr>
        <w:t>Following the Merger, we will continue to be controlled by our principal stockholder and it will be difficult for a third party to acquire us without Mr. Ergen’s approval, even if doing so may be beneficial to stockholders.</w:t>
      </w:r>
    </w:p>
    <w:p>
      <w:pPr>
        <w:pStyle w:val="TextBody"/>
        <w:bidi w:val="0"/>
        <w:spacing w:before="0" w:after="0"/>
        <w:jc w:val="both"/>
        <w:rPr/>
      </w:pPr>
      <w:r>
        <w:rPr/>
      </w:r>
    </w:p>
    <w:p>
      <w:pPr>
        <w:pStyle w:val="TextBody"/>
        <w:bidi w:val="0"/>
        <w:spacing w:lineRule="auto" w:line="247" w:before="0" w:after="0"/>
        <w:jc w:val="both"/>
        <w:rPr>
          <w:rFonts w:ascii="Arial;sans-serif" w:hAnsi="Arial;sans-serif"/>
          <w:b w:val="false"/>
          <w:color w:val="000000"/>
          <w:sz w:val="20"/>
        </w:rPr>
      </w:pPr>
      <w:r>
        <w:rPr>
          <w:rFonts w:ascii="Arial;sans-serif" w:hAnsi="Arial;sans-serif"/>
          <w:b w:val="false"/>
          <w:color w:val="000000"/>
          <w:sz w:val="20"/>
        </w:rPr>
        <w:t>In addition, pursuant to the amended support agreement, prior to the Merger closing, we and the Ergen stockholders will enter into a registration rights agreement providing for the registration of the Ergen stockholders’ shares of our Class A Common Stock or Class B Common Stock received as part of the Merger consideration and/or our Class B Common Stock held by such stockholders immediately prior to the Merger.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Purchases of Equity Securities by the Issuer and Affiliated Purchasers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a stock repurchase program approved by our board of directors, we are authorized to repurchase up to $500.0 million of our Class A common stock through December 31, 2023. During the nine months ended September 30, 2023, we repurchased zero shares of our Class A common stock under this program. Notwithstanding this authorization, Section 4.1(a)(vii) of the Amended Merger Agreement contains an interim operating covenant that prohibits us from repurchasing our stock during the period between October 2, 2023, and the Effective Time of the Merger. As a result, we do not plan to undertake any stock repurchases until after the occurrence of either (a) the Merger Effective Time, or (b) the termination of the Amended Merger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4. MINE SAFETY DISCLOSURES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Results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November 6, 2023, we issued a press release (the “Press Release”) announcing our financial results for the quarter ended September 30, 2023.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Rule 10b5-1 Trading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None of the Company’s directors or Section 16 officers adopted, modified, or terminated a Rule 10b5-1 trading arrangement or a non-Rule 10b5-1 trading arrangement during the Company’s fiscal quarter ended September 30,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556"/>
        <w:gridCol w:w="2546"/>
        <w:gridCol w:w="3620"/>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"https://www.sec.gov/Archives/edgar/data/1415404/000110465923106157/tm2327406-1_s4.htm" \l "tANNA"</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2.1</w:t>
            </w:r>
            <w:r>
              <w:rPr>
                <w:rStyle w:val="InternetLink"/>
                <w:sz w:val="20"/>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Arial;sans-serif" w:hAnsi="Arial;sans-serif"/>
                <w:color w:val="0000FF"/>
              </w:rPr>
              <w:instrText xml:space="preserve"> HYPERLINK "https://www.sec.gov/Archives/edgar/data/1415404/000110465923106157/tm2327406-1_s4.htm" \l "tANNA"</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Amended and Restated Agreement and Plan of Merger, dated as of October 2, 2023, by and among EchoStar, DISH and Merger Sub (incorporated by reference to Exhibit 2.1 to the Company's Current Report on Form 8-K filed on October 03, 2023.)+</w:t>
            </w:r>
            <w:r>
              <w:rPr>
                <w:rStyle w:val="InternetLink"/>
                <w:sz w:val="20"/>
                <w:u w:val="single"/>
                <w:b w:val="false"/>
                <w:rFonts w:ascii="Arial;sans-serif" w:hAnsi="Arial;sans-serif"/>
                <w:color w:val="0000FF"/>
              </w:rPr>
              <w:fldChar w:fldCharType="end"/>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80"/>
                  <w:sz w:val="20"/>
                  <w:u w:val="single"/>
                </w:rPr>
                <w:t>Amendment No. 4 dated June 9, 2023 to the Contract between EchoStar XXIV L.L.C. and Maxar Space LLC for the JUPITER 3 Satellite Program</w:t>
              </w:r>
            </w:hyperlink>
            <w:hyperlink r:id="rId5">
              <w:r>
                <w:rPr>
                  <w:rStyle w:val="InternetLink"/>
                  <w:rFonts w:ascii="Arial;sans-serif" w:hAnsi="Arial;sans-serif"/>
                  <w:b w:val="false"/>
                  <w:color w:val="000080"/>
                  <w:sz w:val="20"/>
                  <w:u w:val="single"/>
                </w:rPr>
                <w:t xml:space="preserve"> </w:t>
              </w:r>
            </w:hyperlink>
            <w:hyperlink r:id="rId6">
              <w:r>
                <w:rPr>
                  <w:rStyle w:val="InternetLink"/>
                  <w:rFonts w:ascii="Arial;sans-serif" w:hAnsi="Arial;sans-serif"/>
                  <w:b w:val="false"/>
                  <w:color w:val="000080"/>
                  <w:sz w:val="20"/>
                  <w:u w:val="single"/>
                </w:rPr>
                <w:t xml:space="preserve">(incorporated by reference to Exhibit </w:t>
              </w:r>
            </w:hyperlink>
            <w:hyperlink r:id="rId7">
              <w:r>
                <w:rPr>
                  <w:rStyle w:val="InternetLink"/>
                  <w:rFonts w:ascii="Arial;sans-serif" w:hAnsi="Arial;sans-serif"/>
                  <w:b w:val="false"/>
                  <w:color w:val="000080"/>
                  <w:sz w:val="20"/>
                  <w:u w:val="single"/>
                </w:rPr>
                <w:t>10</w:t>
              </w:r>
            </w:hyperlink>
            <w:hyperlink r:id="rId8">
              <w:r>
                <w:rPr>
                  <w:rStyle w:val="InternetLink"/>
                  <w:rFonts w:ascii="Arial;sans-serif" w:hAnsi="Arial;sans-serif"/>
                  <w:b w:val="false"/>
                  <w:color w:val="000080"/>
                  <w:sz w:val="20"/>
                  <w:u w:val="single"/>
                </w:rPr>
                <w:t>.1 to the Company's Quarterly Report on Form 10-Q filed on August 08, 2023.)</w:t>
              </w:r>
            </w:hyperlink>
            <w:hyperlink r:id="rId9">
              <w:r>
                <w:rPr>
                  <w:rStyle w:val="InternetLink"/>
                  <w:rFonts w:ascii="Arial;sans-serif" w:hAnsi="Arial;sans-serif"/>
                  <w:b w:val="false"/>
                  <w:color w:val="000080"/>
                  <w:sz w:val="20"/>
                  <w:u w:val="single"/>
                </w:rPr>
                <w:t>*</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Arial;sans-serif" w:hAnsi="Arial;sans-serif"/>
                  <w:b w:val="false"/>
                  <w:color w:val="0000FF"/>
                  <w:sz w:val="20"/>
                  <w:u w:val="single"/>
                </w:rPr>
                <w:t>Amendment No. 5 dated July 17, 2023 to the Contract between EchoStar XXIV L.L.C. and Maxar Space LLC for the JUPITER 3 Satellite Program</w:t>
              </w:r>
            </w:hyperlink>
            <w:r>
              <w:rPr>
                <w:color w:val="000000"/>
              </w:rPr>
              <w:t xml:space="preserve"> </w:t>
            </w:r>
            <w:hyperlink r:id="rId12">
              <w:r>
                <w:rPr>
                  <w:rStyle w:val="InternetLink"/>
                  <w:rFonts w:ascii="Arial;sans-serif" w:hAnsi="Arial;sans-serif"/>
                  <w:b w:val="false"/>
                  <w:color w:val="000080"/>
                  <w:sz w:val="20"/>
                  <w:u w:val="single"/>
                </w:rPr>
                <w:t xml:space="preserve">(incorporated by reference to Exhibit </w:t>
              </w:r>
            </w:hyperlink>
            <w:hyperlink r:id="rId13">
              <w:r>
                <w:rPr>
                  <w:rStyle w:val="InternetLink"/>
                  <w:rFonts w:ascii="Arial;sans-serif" w:hAnsi="Arial;sans-serif"/>
                  <w:b w:val="false"/>
                  <w:color w:val="000080"/>
                  <w:sz w:val="20"/>
                  <w:u w:val="single"/>
                </w:rPr>
                <w:t>10</w:t>
              </w:r>
            </w:hyperlink>
            <w:hyperlink r:id="rId14">
              <w:r>
                <w:rPr>
                  <w:rStyle w:val="InternetLink"/>
                  <w:rFonts w:ascii="Arial;sans-serif" w:hAnsi="Arial;sans-serif"/>
                  <w:b w:val="false"/>
                  <w:color w:val="000080"/>
                  <w:sz w:val="20"/>
                  <w:u w:val="single"/>
                </w:rPr>
                <w:t>.</w:t>
              </w:r>
            </w:hyperlink>
            <w:hyperlink r:id="rId15">
              <w:r>
                <w:rPr>
                  <w:rStyle w:val="InternetLink"/>
                  <w:rFonts w:ascii="Arial;sans-serif" w:hAnsi="Arial;sans-serif"/>
                  <w:b w:val="false"/>
                  <w:color w:val="000080"/>
                  <w:sz w:val="20"/>
                  <w:u w:val="single"/>
                </w:rPr>
                <w:t>2</w:t>
              </w:r>
            </w:hyperlink>
            <w:hyperlink r:id="rId16">
              <w:r>
                <w:rPr>
                  <w:rStyle w:val="InternetLink"/>
                  <w:rFonts w:ascii="Arial;sans-serif" w:hAnsi="Arial;sans-serif"/>
                  <w:b w:val="false"/>
                  <w:color w:val="000080"/>
                  <w:sz w:val="20"/>
                  <w:u w:val="single"/>
                </w:rPr>
                <w:t xml:space="preserve"> to the Company's Quarterly Report on Form 10-Q filed on August 08, 2023.)</w:t>
              </w:r>
            </w:hyperlink>
            <w:hyperlink r:id="rId17">
              <w:r>
                <w:rPr>
                  <w:rStyle w:val="InternetLink"/>
                  <w:rFonts w:ascii="Arial;sans-serif" w:hAnsi="Arial;sans-serif"/>
                  <w:b w:val="false"/>
                  <w:color w:val="000080"/>
                  <w:sz w:val="20"/>
                  <w:u w:val="single"/>
                </w:rPr>
                <w:t>*</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Arial;sans-serif" w:hAnsi="Arial;sans-serif"/>
                  <w:b w:val="false"/>
                  <w:color w:val="0000FF"/>
                  <w:sz w:val="20"/>
                  <w:u w:val="single"/>
                </w:rPr>
                <w:t>Amended and Restated Support Agreement, dated as of October 2, 2023, by and among EchoStar, DISH Network, and the Ergen Stockholders (incorporated by reference to Exhibit 10.1 to the Company's Current Report on Form 8-K filed on October 03, 2023.)+</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Arial;sans-serif" w:hAnsi="Arial;sans-serif"/>
                  <w:b w:val="false"/>
                  <w:color w:val="0000FF"/>
                  <w:sz w:val="20"/>
                  <w:u w:val="single"/>
                </w:rPr>
                <w:t>Letter Agreement, dated October 2, 2023, by and between EchoStar and Hamid Akhavan (incorporated by reference to Exhibit 10.2 to the Company’s Registration Statement on Form S-4 filed on October 3, 2023)+**</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ial;sans-serif" w:hAnsi="Arial;sans-serif"/>
                  <w:b w:val="false"/>
                  <w:color w:val="0000FF"/>
                  <w:sz w:val="20"/>
                  <w:u w:val="single"/>
                </w:rPr>
                <w:t>Letter Agreement, dated October 2, 2023, by and between EchoStar and John W. Swieringa (incorporated by reference to Exhibit 10.3 to the Company’s Registration Statement on Form S-4 filed on October 3, 2023)+**</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ts09302310-qxexx311.htm">
              <w:r>
                <w:rPr>
                  <w:rStyle w:val="InternetLink"/>
                  <w:rFonts w:ascii="Arial;sans-serif" w:hAnsi="Arial;sans-serif"/>
                  <w:b w:val="false"/>
                  <w:color w:val="0000FF"/>
                  <w:sz w:val="20"/>
                  <w:u w:val="single"/>
                </w:rPr>
                <w:t>31.1(H)</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ats09302310-qxexx311.htm">
              <w:r>
                <w:rPr>
                  <w:rStyle w:val="InternetLink"/>
                  <w:rFonts w:ascii="Arial;sans-serif" w:hAnsi="Arial;sans-serif"/>
                  <w:b w:val="false"/>
                  <w:color w:val="0000FF"/>
                  <w:sz w:val="20"/>
                  <w:u w:val="single"/>
                </w:rPr>
                <w:t>Section 302 Certification of Chief Executive Officer and Principal Financial Officer</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ts09302310-qxexx321.htm">
              <w:r>
                <w:rPr>
                  <w:rStyle w:val="InternetLink"/>
                  <w:rFonts w:ascii="Arial;sans-serif" w:hAnsi="Arial;sans-serif"/>
                  <w:b w:val="false"/>
                  <w:color w:val="0000FF"/>
                  <w:sz w:val="20"/>
                  <w:u w:val="single"/>
                </w:rPr>
                <w:t>32.1(I)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ats09302310-qxexx321.htm">
              <w:r>
                <w:rPr>
                  <w:rStyle w:val="InternetLink"/>
                  <w:rFonts w:ascii="Arial;sans-serif" w:hAnsi="Arial;sans-serif"/>
                  <w:b w:val="false"/>
                  <w:color w:val="0000FF"/>
                  <w:sz w:val="20"/>
                  <w:u w:val="single"/>
                </w:rPr>
                <w:t>Section 906 Certification of Chief Executive Officer and Principal Financial Officer</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q32023-exx991.htm">
              <w:r>
                <w:rPr>
                  <w:rStyle w:val="InternetLink"/>
                  <w:rFonts w:ascii="Arial;sans-serif" w:hAnsi="Arial;sans-serif"/>
                  <w:b w:val="false"/>
                  <w:color w:val="0000FF"/>
                  <w:sz w:val="20"/>
                  <w:u w:val="single"/>
                </w:rPr>
                <w:t>99.1(I)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ressreleaseq32023-exx991.htm">
              <w:r>
                <w:rPr>
                  <w:rStyle w:val="InternetLink"/>
                  <w:rFonts w:ascii="Arial;sans-serif" w:hAnsi="Arial;sans-serif"/>
                  <w:b w:val="false"/>
                  <w:color w:val="0000FF"/>
                  <w:sz w:val="20"/>
                  <w:u w:val="single"/>
                </w:rPr>
                <w:t>Press release dated November 6, 2023 issued by EchoStar Corporation regarding financial results for the period ended September 30, 2023.</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 The instance document does not appear in the Interactive Data File because its XBRL tags are embedded within the Inline XBRL document.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iXBRL and contained in Exhibit 101.</w:t>
            </w:r>
          </w:p>
        </w:tc>
      </w:tr>
    </w:tbl>
    <w:p>
      <w:pPr>
        <w:pStyle w:val="TextBody"/>
        <w:bidi w:val="0"/>
        <w:spacing w:lineRule="auto" w:line="288" w:before="0" w:after="60"/>
        <w:ind w:left="0" w:right="0" w:firstLine="360"/>
        <w:jc w:val="both"/>
        <w:rPr>
          <w:color w:val="000000"/>
        </w:rPr>
      </w:pPr>
      <w:r>
        <w:rPr>
          <w:color w:val="000000"/>
        </w:rPr>
        <w:t> </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(H)    Filed herewith.</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(I)    Furnished herewith.</w:t>
      </w:r>
    </w:p>
    <w:p>
      <w:pPr>
        <w:pStyle w:val="TextBody"/>
        <w:bidi w:val="0"/>
        <w:spacing w:lineRule="auto" w:line="268" w:before="0" w:after="0"/>
        <w:ind w:left="0" w:right="0" w:hanging="540"/>
        <w:jc w:val="both"/>
        <w:rPr/>
      </w:pPr>
      <w:r>
        <w:rPr>
          <w:rFonts w:ascii="Arial;sans-serif" w:hAnsi="Arial;sans-serif"/>
          <w:b w:val="false"/>
          <w:color w:val="000000"/>
          <w:sz w:val="16"/>
        </w:rPr>
        <w:t>+ Schedules</w:t>
      </w:r>
      <w:r>
        <w:rPr>
          <w:rFonts w:ascii="Arial;sans-serif" w:hAnsi="Arial;sans-serif"/>
          <w:b w:val="false"/>
          <w:color w:val="000000"/>
          <w:sz w:val="20"/>
        </w:rPr>
        <w:t xml:space="preserve">, </w:t>
      </w:r>
      <w:r>
        <w:rPr>
          <w:rFonts w:ascii="Arial;sans-serif" w:hAnsi="Arial;sans-serif"/>
          <w:b w:val="false"/>
          <w:color w:val="000000"/>
          <w:sz w:val="16"/>
        </w:rPr>
        <w:t>annexes and/or exhibits have been omitted pursuant to Item 601(a)(5) of Regulation S-K. The Company hereby undertakes to furnish supplemental copies of any of the omitted schedules, annexes and/or exhibits upon request by the SEC; provided, that the Company may request confidential treatment pursuant to Rule 24b-2 of the Securities Exchange Act of 1934, as amended (the “Exchange Act”) for any schedules so furnished.</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Certain portions of the exhibit have been omitted in accordance with the Securities and Exchange Commission’s rules and regulations regarding confidential treatment.</w:t>
      </w:r>
    </w:p>
    <w:p>
      <w:pPr>
        <w:pStyle w:val="TextBody"/>
        <w:bidi w:val="0"/>
        <w:spacing w:lineRule="auto" w:line="268" w:before="0" w:after="0"/>
        <w:ind w:left="0" w:right="0" w:hanging="540"/>
        <w:jc w:val="left"/>
        <w:rPr>
          <w:rFonts w:ascii="Arial;sans-serif" w:hAnsi="Arial;sans-serif"/>
          <w:b w:val="false"/>
          <w:color w:val="000000"/>
          <w:sz w:val="16"/>
        </w:rPr>
      </w:pPr>
      <w:r>
        <w:rPr>
          <w:rFonts w:ascii="Arial;sans-serif" w:hAnsi="Arial;sans-serif"/>
          <w:b w:val="false"/>
          <w:color w:val="000000"/>
          <w:sz w:val="16"/>
        </w:rPr>
        <w:t>** Constitutes a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both"/>
        <w:rPr/>
      </w:pPr>
      <w:hyperlink w:anchor="i11d0cc0031bb46768b002011acb2e84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Form 10-Q to be signed on its behalf by the undersigned thereunto duly authorized. </w:t>
      </w:r>
    </w:p>
    <w:p>
      <w:pPr>
        <w:pStyle w:val="TextBody"/>
        <w:bidi w:val="0"/>
        <w:spacing w:lineRule="auto" w:line="288" w:before="0" w:after="0"/>
        <w:jc w:val="both"/>
        <w:rPr>
          <w:color w:val="000000"/>
        </w:rPr>
      </w:pPr>
      <w:r>
        <w:rPr>
          <w:color w:val="000000"/>
        </w:rPr>
        <w:t> </w:t>
      </w:r>
    </w:p>
    <w:tbl>
      <w:tblPr>
        <w:tblW w:w="7903"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541"/>
        <w:gridCol w:w="1541"/>
        <w:gridCol w:w="2183"/>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ECHOSTAR CORPORATION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/s/ </w:t>
            </w:r>
            <w:r>
              <w:rPr>
                <w:rFonts w:ascii="Arial;sans-serif" w:hAnsi="Arial;sans-serif"/>
                <w:b w:val="false"/>
                <w:i/>
                <w:color w:val="000000"/>
                <w:sz w:val="20"/>
              </w:rPr>
              <w:t>Hamid Akhavan</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/s/ </w:t>
            </w:r>
            <w:r>
              <w:rPr>
                <w:rFonts w:ascii="Arial;sans-serif" w:hAnsi="Arial;sans-serif"/>
                <w:b w:val="false"/>
                <w:i/>
                <w:color w:val="000000"/>
                <w:sz w:val="20"/>
              </w:rPr>
              <w:t>Veronika Takacs</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Veronika Takacs</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Accounting Officer and Controller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 AND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Hamid Akhavan,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EchoStar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 </w:t>
      </w:r>
    </w:p>
    <w:tbl>
      <w:tblPr>
        <w:tblW w:w="6734" w:type="dxa"/>
        <w:jc w:val="left"/>
        <w:tblInd w:w="0" w:type="dxa"/>
        <w:tblLayout w:type="fixed"/>
        <w:tblCellMar>
          <w:top w:w="28" w:type="dxa"/>
          <w:left w:w="28" w:type="dxa"/>
          <w:bottom w:w="28" w:type="dxa"/>
          <w:right w:w="28" w:type="dxa"/>
        </w:tblCellMar>
      </w:tblPr>
      <w:tblGrid>
        <w:gridCol w:w="414"/>
        <w:gridCol w:w="364"/>
        <w:gridCol w:w="364"/>
        <w:gridCol w:w="1740"/>
        <w:gridCol w:w="1740"/>
        <w:gridCol w:w="1740"/>
        <w:gridCol w:w="109"/>
        <w:gridCol w:w="109"/>
        <w:gridCol w:w="154"/>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85"/>
              <w:jc w:val="left"/>
              <w:rPr>
                <w:rFonts w:ascii="Arial;sans-serif" w:hAnsi="Arial;sans-serif"/>
                <w:b w:val="false"/>
                <w:color w:val="000000"/>
                <w:sz w:val="20"/>
              </w:rPr>
            </w:pPr>
            <w:r>
              <w:rPr>
                <w:rFonts w:ascii="Arial;sans-serif" w:hAnsi="Arial;sans-serif"/>
                <w:b w:val="false"/>
                <w:color w:val="000000"/>
                <w:sz w:val="20"/>
              </w:rPr>
              <w:t>By:</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Arial;sans-serif" w:hAnsi="Arial;sans-serif"/>
          <w:b/>
          <w:color w:val="000000"/>
          <w:sz w:val="20"/>
        </w:rPr>
        <w:t>CERTIFICATION OF</w:t>
      </w:r>
      <w:r>
        <w:rPr>
          <w:color w:val="000000"/>
        </w:rPr>
        <w:t xml:space="preserve"> </w:t>
      </w:r>
      <w:r>
        <w:rPr>
          <w:rFonts w:ascii="Arial;sans-serif" w:hAnsi="Arial;sans-serif"/>
          <w:b/>
          <w:color w:val="000000"/>
          <w:sz w:val="20"/>
        </w:rPr>
        <w:t>CHIEF EXECUTIVE OFFICER AND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for the quarter ended September 30, 2023 on Form 10-Q (the “Report”), of EchoStar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my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    the Report fully complies with the requirements of Section 13(a) or Section 15(d), as applicable, of the Securities Exchange Act of 1934; and</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6734" w:type="dxa"/>
        <w:jc w:val="left"/>
        <w:tblInd w:w="0" w:type="dxa"/>
        <w:tblLayout w:type="fixed"/>
        <w:tblCellMar>
          <w:top w:w="28" w:type="dxa"/>
          <w:left w:w="28" w:type="dxa"/>
          <w:bottom w:w="28" w:type="dxa"/>
          <w:right w:w="28" w:type="dxa"/>
        </w:tblCellMar>
      </w:tblPr>
      <w:tblGrid>
        <w:gridCol w:w="414"/>
        <w:gridCol w:w="364"/>
        <w:gridCol w:w="364"/>
        <w:gridCol w:w="1740"/>
        <w:gridCol w:w="1740"/>
        <w:gridCol w:w="1740"/>
        <w:gridCol w:w="109"/>
        <w:gridCol w:w="109"/>
        <w:gridCol w:w="154"/>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Section 1350 and is not being filed as part of the Annual Report or as a separate disclosure document.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EchoStar Announces Financial Results for the Three and Nine Months Ended September 30, 2023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Englewood, CO, November 6, 2023—</w:t>
      </w:r>
      <w:r>
        <w:rPr>
          <w:rFonts w:ascii="Arial;sans-serif" w:hAnsi="Arial;sans-serif"/>
          <w:b w:val="false"/>
          <w:color w:val="000000"/>
          <w:sz w:val="20"/>
        </w:rPr>
        <w:t>EchoStar Corporation (Nasdaq: SATS) announced its financial results for the three and nine months ended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Three Months Ended September 30, 2023 Financial Highlights:</w:t>
      </w:r>
    </w:p>
    <w:p>
      <w:pPr>
        <w:pStyle w:val="TextBody"/>
        <w:bidi w:val="0"/>
        <w:spacing w:before="0" w:after="0"/>
        <w:jc w:val="both"/>
        <w:rPr/>
      </w:pPr>
      <w:r>
        <w:rPr/>
      </w:r>
    </w:p>
    <w:p>
      <w:pPr>
        <w:pStyle w:val="TextBody"/>
        <w:bidi w:val="0"/>
        <w:spacing w:lineRule="auto" w:line="288" w:before="0" w:after="140"/>
        <w:ind w:left="0" w:right="0" w:hanging="360"/>
        <w:jc w:val="both"/>
        <w:rPr/>
      </w:pPr>
      <w:r>
        <w:rPr>
          <w:color w:val="000000"/>
          <w:shd w:fill="FFFFFF" w:val="clear"/>
        </w:rPr>
        <w:t>•</w:t>
      </w:r>
      <w:r>
        <w:rPr>
          <w:rFonts w:ascii="Arial;sans-serif" w:hAnsi="Arial;sans-serif"/>
          <w:b w:val="false"/>
          <w:color w:val="000000"/>
          <w:sz w:val="20"/>
        </w:rPr>
        <w:t>Consolidated revenue of $413.1 million.</w:t>
      </w:r>
    </w:p>
    <w:p>
      <w:pPr>
        <w:pStyle w:val="TextBody"/>
        <w:bidi w:val="0"/>
        <w:spacing w:lineRule="auto" w:line="288" w:before="0" w:after="140"/>
        <w:ind w:left="0" w:right="0" w:hanging="360"/>
        <w:jc w:val="both"/>
        <w:rPr/>
      </w:pPr>
      <w:r>
        <w:rPr>
          <w:color w:val="000000"/>
          <w:shd w:fill="FFFFFF" w:val="clear"/>
        </w:rPr>
        <w:t>•</w:t>
      </w:r>
      <w:r>
        <w:rPr>
          <w:rFonts w:ascii="Arial;sans-serif" w:hAnsi="Arial;sans-serif"/>
          <w:b w:val="false"/>
          <w:color w:val="000000"/>
          <w:sz w:val="20"/>
        </w:rPr>
        <w:t xml:space="preserve">Net income of $0.5 million, consolidated net income attributable to EchoStar common stock of $3.2 million, and basic and diluted earnings per share of common stock of $0.04. </w:t>
      </w:r>
    </w:p>
    <w:p>
      <w:pPr>
        <w:pStyle w:val="TextBody"/>
        <w:bidi w:val="0"/>
        <w:spacing w:lineRule="auto" w:line="288" w:before="0" w:after="140"/>
        <w:ind w:left="0" w:right="0" w:hanging="360"/>
        <w:jc w:val="both"/>
        <w:rPr/>
      </w:pPr>
      <w:r>
        <w:rPr>
          <w:color w:val="000000"/>
          <w:shd w:fill="FFFFFF" w:val="clear"/>
        </w:rPr>
        <w:t>•</w:t>
      </w:r>
      <w:r>
        <w:rPr>
          <w:rFonts w:ascii="Arial;sans-serif" w:hAnsi="Arial;sans-serif"/>
          <w:b w:val="false"/>
          <w:color w:val="000000"/>
          <w:sz w:val="20"/>
        </w:rPr>
        <w:t>Consolidated Adjusted EBITDA of $125.8 million (see discussion and the reconciliation of GAAP to this non-GAAP measure below).</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Cash, cash equivalents and current marketable investment securities were $2.0 billion as of September 30, 2023, up from $1.9 billion as of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Nine months ended September 30, 2023 Financial Highlights:</w:t>
      </w:r>
    </w:p>
    <w:p>
      <w:pPr>
        <w:pStyle w:val="TextBody"/>
        <w:bidi w:val="0"/>
        <w:spacing w:before="0" w:after="0"/>
        <w:jc w:val="both"/>
        <w:rPr/>
      </w:pPr>
      <w:r>
        <w:rPr/>
      </w:r>
    </w:p>
    <w:p>
      <w:pPr>
        <w:pStyle w:val="TextBody"/>
        <w:bidi w:val="0"/>
        <w:spacing w:lineRule="auto" w:line="288" w:before="0" w:after="140"/>
        <w:ind w:left="0" w:right="0" w:hanging="360"/>
        <w:jc w:val="both"/>
        <w:rPr/>
      </w:pPr>
      <w:r>
        <w:rPr>
          <w:color w:val="000000"/>
          <w:shd w:fill="FFFFFF" w:val="clear"/>
        </w:rPr>
        <w:t>•</w:t>
      </w:r>
      <w:r>
        <w:rPr>
          <w:rFonts w:ascii="Arial;sans-serif" w:hAnsi="Arial;sans-serif"/>
          <w:b w:val="false"/>
          <w:color w:val="000000"/>
          <w:sz w:val="20"/>
          <w:shd w:fill="FFFFFF" w:val="clear"/>
        </w:rPr>
        <w:t>Consolidated revenue of</w:t>
      </w:r>
      <w:r>
        <w:rPr>
          <w:color w:val="000000"/>
        </w:rPr>
        <w:t xml:space="preserve"> </w:t>
      </w:r>
      <w:r>
        <w:rPr>
          <w:rFonts w:ascii="Arial;sans-serif" w:hAnsi="Arial;sans-serif"/>
          <w:b w:val="false"/>
          <w:color w:val="000000"/>
          <w:sz w:val="20"/>
        </w:rPr>
        <w:t>$1.3 billion.</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Net income of $37.4 million, consolidated net income attributable to EchoStar common stock of $43.4 million, and basic and diluted earnings per share of common stock of $0.52.</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Consolidated Adjusted EBITDA of $414.1 million (see discussion and the reconciliation of GAAP to this non-GAAP measure below).</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0"/>
        </w:rPr>
        <w:t>In the third quarter of 2023, the EchoStar team was fully engaged across our business. We received orders from new and existing customers in our enterprise, international, government, and mobility groups,” said Hamid Akhavan, CEO and President of EchoStar. “Our consumer team continued to expand adoption of our low-latency HughesNet Fusion plans and the JUPITER 3/EchoStar XXIV satellite is fully functional and expected to begin commercial service in December.”</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Three Months Ended September 30, 2023 - Additional Information: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Consolidated revenue decreased 17.0% or $84.3 million year over year. The decrease was driven by lower service revenues of $42.0 million primarily due to fewer broadband customers. Equipment revenue decreased $42.3 million, primarily due to lower domestic and international deployments and shipments. Most enterprise orders are recognized over several years, which can create some variation or irregularity in our revenue, which we saw in the third quarter.</w:t>
      </w:r>
    </w:p>
    <w:p>
      <w:pPr>
        <w:pStyle w:val="TextBody"/>
        <w:bidi w:val="0"/>
        <w:spacing w:before="0" w:after="0"/>
        <w:jc w:val="left"/>
        <w:rPr/>
      </w:pPr>
      <w:r>
        <w:rPr/>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Net income decreased $19.0 million year over year. The decrease was primarily due to a decrease in operating income driven by lower revenue and higher transaction costs related to the proposed merger with DISH. These items were partially offset by higher interest income of $12.0 million and a favorable change of $4.7 million in our income tax provision.</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Adjusted EBITDA decreased 20.8% or $33.0 million year over year.</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Hughes segment Adjusted EBITDA decreased $33.8 million year over year. The decrease was driven primarily by lower service and equipment revenue, partially offset by lower sales and marketing expense from our broadband consumer business and lower research and development expenses.</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ESS segment Adjusted EBITDA increased $1.4 million year over year, primarily due to higher revenue.</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Corporate and Other Adjusted EBITDA remained relatively flat year over year.</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 xml:space="preserve">Hughes broadband subscribers totaled approximately 1,063,000, declining 165,000 from December 31, 2022. In the U.S., our current capacity limitations, increasing bandwidth usage by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40"/>
        <w:jc w:val="both"/>
        <w:rPr>
          <w:rFonts w:ascii="Arial;sans-serif" w:hAnsi="Arial;sans-serif"/>
          <w:b w:val="false"/>
          <w:color w:val="000000"/>
          <w:sz w:val="20"/>
        </w:rPr>
      </w:pPr>
      <w:r>
        <w:rPr>
          <w:rFonts w:ascii="Arial;sans-serif" w:hAnsi="Arial;sans-serif"/>
          <w:b w:val="false"/>
          <w:color w:val="000000"/>
          <w:sz w:val="20"/>
        </w:rPr>
        <w:t>our existing subscribers, and competitive pressures are impacting our consumer subscriber levels. In Latin America, subscriber levels were tempered by our focus on more profitable consumer subscribers and by our allocation of capacity to enterprise opportunities.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For the three months ended September 30, 2023, approximately 37% of Hughes segment revenue was attributable to our enterprise customers, decreasing from 40% in the same period last year. Despite this drop in revenue, we remain committed to growing our Enterprise market. Just recently, we announced a major deal with Delta Air Lines that will increase our backlog in the fourth quarter and diversify our business.</w:t>
      </w:r>
    </w:p>
    <w:p>
      <w:pPr>
        <w:pStyle w:val="TextBody"/>
        <w:bidi w:val="0"/>
        <w:spacing w:before="0" w:after="0"/>
        <w:jc w:val="left"/>
        <w:rPr/>
      </w:pPr>
      <w:r>
        <w:rPr/>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The JUPITER 3/EchoStar XXIV satellite launched successfully on July 28, 2023. Currently, the satellite is in the final stages of in-orbit testing. Service launch is on schedule for December which will instantly bring over 500 Gbps of capacity over North and South America.</w:t>
      </w:r>
    </w:p>
    <w:p>
      <w:pPr>
        <w:pStyle w:val="TextBody"/>
        <w:bidi w:val="0"/>
        <w:spacing w:lineRule="auto" w:line="288" w:before="0" w:after="140"/>
        <w:jc w:val="both"/>
        <w:rPr>
          <w:rFonts w:ascii="Arial;sans-serif" w:hAnsi="Arial;sans-serif"/>
          <w:b w:val="false"/>
          <w:color w:val="000000"/>
          <w:sz w:val="20"/>
        </w:rPr>
      </w:pPr>
      <w:r>
        <w:rPr>
          <w:rFonts w:ascii="Arial;sans-serif" w:hAnsi="Arial;sans-serif"/>
          <w:b w:val="false"/>
          <w:color w:val="000000"/>
          <w:sz w:val="20"/>
        </w:rPr>
        <w:t>Set forth below is a table highlighting certain of EchoStar’s segment results for the three and nine months ended September 30, 2023 and 2022 (amounts in thousands) (all US GAAP amounts reference results from operations):</w:t>
      </w:r>
    </w:p>
    <w:tbl>
      <w:tblPr>
        <w:tblW w:w="10205" w:type="dxa"/>
        <w:jc w:val="left"/>
        <w:tblInd w:w="0" w:type="dxa"/>
        <w:tblLayout w:type="fixed"/>
        <w:tblCellMar>
          <w:top w:w="28" w:type="dxa"/>
          <w:left w:w="28" w:type="dxa"/>
          <w:bottom w:w="28" w:type="dxa"/>
          <w:right w:w="28" w:type="dxa"/>
        </w:tblCellMar>
      </w:tblPr>
      <w:tblGrid>
        <w:gridCol w:w="1305"/>
        <w:gridCol w:w="886"/>
        <w:gridCol w:w="898"/>
        <w:gridCol w:w="109"/>
        <w:gridCol w:w="109"/>
        <w:gridCol w:w="109"/>
        <w:gridCol w:w="244"/>
        <w:gridCol w:w="991"/>
        <w:gridCol w:w="126"/>
        <w:gridCol w:w="126"/>
        <w:gridCol w:w="126"/>
        <w:gridCol w:w="126"/>
        <w:gridCol w:w="244"/>
        <w:gridCol w:w="991"/>
        <w:gridCol w:w="126"/>
        <w:gridCol w:w="109"/>
        <w:gridCol w:w="109"/>
        <w:gridCol w:w="109"/>
        <w:gridCol w:w="231"/>
        <w:gridCol w:w="1123"/>
        <w:gridCol w:w="119"/>
        <w:gridCol w:w="119"/>
        <w:gridCol w:w="119"/>
        <w:gridCol w:w="119"/>
        <w:gridCol w:w="231"/>
        <w:gridCol w:w="1123"/>
        <w:gridCol w:w="178"/>
      </w:tblGrid>
      <w:tr>
        <w:trPr/>
        <w:tc>
          <w:tcPr>
            <w:tcW w:w="130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489,565 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1,279,739 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1,475,512 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Satellite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413,074 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497,387 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1,305,780 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1,498,237 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118,968 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143,730 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177,574 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469,007 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544,284 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Satellite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(69,042)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(61,506)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125,809 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158,819 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414,050 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492,436 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Expenditures for property and equipment, net of refunds and other receipts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79,164 </w:t>
            </w:r>
          </w:p>
        </w:tc>
        <w:tc>
          <w:tcPr>
            <w:tcW w:w="12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61,457 </w:t>
            </w:r>
          </w:p>
        </w:tc>
        <w:tc>
          <w:tcPr>
            <w:tcW w:w="12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172,251 </w:t>
            </w:r>
          </w:p>
        </w:tc>
        <w:tc>
          <w:tcPr>
            <w:tcW w:w="11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249,374 </w:t>
            </w:r>
          </w:p>
        </w:tc>
        <w:tc>
          <w:tcPr>
            <w:tcW w:w="17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GAAP to Non-GAAP Measurement (amounts in thousands):</w:t>
      </w:r>
    </w:p>
    <w:tbl>
      <w:tblPr>
        <w:tblW w:w="10205" w:type="dxa"/>
        <w:jc w:val="center"/>
        <w:tblInd w:w="0" w:type="dxa"/>
        <w:tblLayout w:type="fixed"/>
        <w:tblCellMar>
          <w:top w:w="28" w:type="dxa"/>
          <w:left w:w="28" w:type="dxa"/>
          <w:bottom w:w="28" w:type="dxa"/>
          <w:right w:w="28" w:type="dxa"/>
        </w:tblCellMar>
      </w:tblPr>
      <w:tblGrid>
        <w:gridCol w:w="1731"/>
        <w:gridCol w:w="784"/>
        <w:gridCol w:w="787"/>
        <w:gridCol w:w="109"/>
        <w:gridCol w:w="109"/>
        <w:gridCol w:w="109"/>
        <w:gridCol w:w="244"/>
        <w:gridCol w:w="994"/>
        <w:gridCol w:w="126"/>
        <w:gridCol w:w="126"/>
        <w:gridCol w:w="126"/>
        <w:gridCol w:w="126"/>
        <w:gridCol w:w="244"/>
        <w:gridCol w:w="994"/>
        <w:gridCol w:w="126"/>
        <w:gridCol w:w="109"/>
        <w:gridCol w:w="109"/>
        <w:gridCol w:w="109"/>
        <w:gridCol w:w="242"/>
        <w:gridCol w:w="985"/>
        <w:gridCol w:w="125"/>
        <w:gridCol w:w="125"/>
        <w:gridCol w:w="125"/>
        <w:gridCol w:w="125"/>
        <w:gridCol w:w="242"/>
        <w:gridCol w:w="985"/>
        <w:gridCol w:w="189"/>
      </w:tblGrid>
      <w:tr>
        <w:trPr/>
        <w:tc>
          <w:tcPr>
            <w:tcW w:w="173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118,968 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(78,331)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(29,677)</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103,028 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311,474 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347,224 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101,260 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145,493 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354,541 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539,743 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(48,071)</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Other-than-temporary impairment losses on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Merger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repayment of 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dispute - India, net of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125,809 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158,819 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414,050 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492,436 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Note on Use of Non-GAAP Financial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is defined as “Net income (loss)” excluding “Interest income, net,” “Interest expense, net of amounts capitalized,” “Income tax benefit (provision), net,” “Depreciation and amortization,” and “Net income (loss) attributable to non-controlling interests.”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is defined as EBITDA excluding Gains and losses on investments, net, Foreign currency transaction gains (losses), net, and other non-recurring or non-operational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consolidated financial statements of EchoStar for the periods ended September 30, 2023 and 2022 are attached to this press release. Detailed financial data and other information are available in EchoStar’s Quarterly Report on Form 10-Q for the period ended September 30, 2023 filed today with the Securities and Exchange Commission.</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EchoStar will host a webcast to discuss its earnings on Monday, November 6, 2023 at 11:00 a.m. Eastern Time. The webcast will be broadcast live in listen-only mode on EchoStar’s investor relations website at ir.echostar.com. To participate via telephone and ask a question, participants must register using an online form found at: https://register.vevent.com/register/BIffe2a41bff0e4a198973106da5a17dab.</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EchoStar Corporation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EchoStar Corporation (Nasdaq: SATS) is a premier technology and networking services provider offering consumer, enterprise, operator and government solutions worldwide under its Hughes</w:t>
      </w:r>
      <w:r>
        <w:rPr>
          <w:rFonts w:ascii="Arial;sans-serif" w:hAnsi="Arial;sans-serif"/>
          <w:b w:val="false"/>
          <w:color w:val="000000"/>
          <w:sz w:val="13"/>
        </w:rPr>
        <w: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HughesNet</w:t>
      </w:r>
      <w:r>
        <w:rPr>
          <w:rFonts w:ascii="Arial;sans-serif" w:hAnsi="Arial;sans-serif"/>
          <w:b w:val="false"/>
          <w:color w:val="000000"/>
          <w:sz w:val="13"/>
        </w:rPr>
        <w:t xml:space="preserve">® </w:t>
      </w:r>
      <w:r>
        <w:rPr>
          <w:rFonts w:ascii="Arial;sans-serif" w:hAnsi="Arial;sans-serif"/>
          <w:b w:val="false"/>
          <w:color w:val="000000"/>
          <w:sz w:val="20"/>
        </w:rPr>
        <w:t>and EchoStar</w:t>
      </w:r>
      <w:r>
        <w:rPr>
          <w:rFonts w:ascii="Arial;sans-serif" w:hAnsi="Arial;sans-serif"/>
          <w:b w:val="false"/>
          <w:color w:val="000000"/>
          <w:sz w:val="13"/>
        </w:rPr>
        <w:t xml:space="preserve">® </w:t>
      </w:r>
      <w:r>
        <w:rPr>
          <w:rFonts w:ascii="Arial;sans-serif" w:hAnsi="Arial;sans-serif"/>
          <w:b w:val="false"/>
          <w:color w:val="000000"/>
          <w:sz w:val="20"/>
        </w:rPr>
        <w:t>brands. In Europe, EchoStar operates under its EchoStar Mobile Limited subsidiary and in Australia, the Company operates as EchoStar Global Australia. For more information, visit www.echostar.com and follow EchoStar on social media.</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Safe Harbor Statement under the US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noBreakHyphen/>
        <w:t>looking statements. Although management believes that the expectations reflected in these forward</w:t>
        <w:noBreakHyphen/>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that are described under the caption “Risk Factors” in EchoStar’s Annual Report on Form 10-K for the period ended December 31, 2022 and subsequent Quarterly Reports on Form 10-Q as filed with the Securities and Exchange Commission and in the other documents EchoStar files with the Securities and Exchange Commission from time to time.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jc w:val="left"/>
        <w:rPr/>
      </w:pPr>
      <w:r>
        <w:rPr/>
      </w:r>
    </w:p>
    <w:tbl>
      <w:tblPr>
        <w:tblW w:w="5924" w:type="dxa"/>
        <w:jc w:val="left"/>
        <w:tblInd w:w="0" w:type="dxa"/>
        <w:tblLayout w:type="fixed"/>
        <w:tblCellMar>
          <w:top w:w="28" w:type="dxa"/>
          <w:left w:w="28" w:type="dxa"/>
          <w:bottom w:w="28" w:type="dxa"/>
          <w:right w:w="28" w:type="dxa"/>
        </w:tblCellMar>
      </w:tblPr>
      <w:tblGrid>
        <w:gridCol w:w="983"/>
        <w:gridCol w:w="863"/>
        <w:gridCol w:w="868"/>
        <w:gridCol w:w="938"/>
        <w:gridCol w:w="938"/>
        <w:gridCol w:w="133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5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Contact Information:</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EchoStar Investor Relations</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EchoStar Media Relations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Samantha Whirley</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Phone: +1 301-601-6451</w:t>
            </w:r>
          </w:p>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Email: ir@echostar.com</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Mike Tippets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Phone: +1 801-772-5418</w:t>
            </w:r>
          </w:p>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Email: mike.tippets@echostar.com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bl>
      <w:tblPr>
        <w:tblW w:w="8527" w:type="dxa"/>
        <w:jc w:val="center"/>
        <w:tblInd w:w="0" w:type="dxa"/>
        <w:tblLayout w:type="fixed"/>
        <w:tblCellMar>
          <w:top w:w="28" w:type="dxa"/>
          <w:left w:w="28" w:type="dxa"/>
          <w:bottom w:w="28" w:type="dxa"/>
          <w:right w:w="28" w:type="dxa"/>
        </w:tblCellMar>
      </w:tblPr>
      <w:tblGrid>
        <w:gridCol w:w="1534"/>
        <w:gridCol w:w="1348"/>
        <w:gridCol w:w="1363"/>
        <w:gridCol w:w="109"/>
        <w:gridCol w:w="109"/>
        <w:gridCol w:w="109"/>
        <w:gridCol w:w="295"/>
        <w:gridCol w:w="1367"/>
        <w:gridCol w:w="152"/>
        <w:gridCol w:w="109"/>
        <w:gridCol w:w="109"/>
        <w:gridCol w:w="109"/>
        <w:gridCol w:w="285"/>
        <w:gridCol w:w="1321"/>
        <w:gridCol w:w="208"/>
      </w:tblGrid>
      <w:tr>
        <w:trPr/>
        <w:tc>
          <w:tcPr>
            <w:tcW w:w="153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1,094,531 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704,541 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894,744 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973,915 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235,421 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248,241 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210,446 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2,472,937 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2,125,381 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2,144,707 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2,237,617 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143,726 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532,710 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532,491 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authorizations,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459,463 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462,531 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136,455 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356,705 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326,485 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317,062 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3,757,521 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4,073,622 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6,230,458 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6,199,003 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82,291 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101,239 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122,288 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121,739 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192,100 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199,853 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396,679 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422,831 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1,497,396 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1,496,777 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433,370 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424,621 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127,829 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135,932 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109,396 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119,787 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2,167,991 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2,177,117 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2,564,670 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2,599,948 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38"/>
        <w:gridCol w:w="2184"/>
        <w:gridCol w:w="2190"/>
        <w:gridCol w:w="109"/>
        <w:gridCol w:w="109"/>
        <w:gridCol w:w="109"/>
        <w:gridCol w:w="211"/>
        <w:gridCol w:w="976"/>
        <w:gridCol w:w="109"/>
        <w:gridCol w:w="109"/>
        <w:gridCol w:w="109"/>
        <w:gridCol w:w="109"/>
        <w:gridCol w:w="211"/>
        <w:gridCol w:w="976"/>
        <w:gridCol w:w="156"/>
      </w:tblGrid>
      <w:tr>
        <w:trPr/>
        <w:tc>
          <w:tcPr>
            <w:tcW w:w="2538"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20,000,000 shares authorized, none issued and outstanding at both September 30, 2023 and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Common stock, $0.001 par value, 4,000,000,000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 common stock, $0.001 par value, 1,600,000,000 shares authorized, 59,532,668 shares issued and 36,219,357 shares outstanding at September 30, 2023 and 58,604,927 shares issued and 35,291,616 shares outstanding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B convertible common stock, $0.001 par value, 800,000,000 shares authorized, 47,687,039 shares issued and outstanding at both September 30, 2023 and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C convertible common stock, $0.001 par value, 800,000,000 shares authorized, none issued and outstanding at both September 30, 2023 and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D common stock, $0.001 par value, 800,000,000 shares authorized, none issued and outstanding at both September 30, 2023 and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3,367,058 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(172,239)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833,517 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23,313,311 at both September 30, 2023 and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EchoStar Corporation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3,573,398 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3,502,619 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3,665,788 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3,599,055 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6,230,458 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6,199,003 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8"/>
        <w:gridCol w:w="747"/>
        <w:gridCol w:w="749"/>
        <w:gridCol w:w="109"/>
        <w:gridCol w:w="109"/>
        <w:gridCol w:w="109"/>
        <w:gridCol w:w="241"/>
        <w:gridCol w:w="947"/>
        <w:gridCol w:w="124"/>
        <w:gridCol w:w="124"/>
        <w:gridCol w:w="124"/>
        <w:gridCol w:w="124"/>
        <w:gridCol w:w="241"/>
        <w:gridCol w:w="947"/>
        <w:gridCol w:w="124"/>
        <w:gridCol w:w="109"/>
        <w:gridCol w:w="109"/>
        <w:gridCol w:w="109"/>
        <w:gridCol w:w="231"/>
        <w:gridCol w:w="1073"/>
        <w:gridCol w:w="119"/>
        <w:gridCol w:w="119"/>
        <w:gridCol w:w="119"/>
        <w:gridCol w:w="119"/>
        <w:gridCol w:w="231"/>
        <w:gridCol w:w="1073"/>
        <w:gridCol w:w="119"/>
        <w:gridCol w:w="109"/>
        <w:gridCol w:w="169"/>
      </w:tblGrid>
      <w:tr>
        <w:trPr/>
        <w:tc>
          <w:tcPr>
            <w:tcW w:w="157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401,382 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1,108,386 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1,234,890 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96,005 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197,394 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413,074 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497,387 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1,305,780 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1,498,237 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133,335 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145,189 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430,553 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151,004 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213,497 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104,988 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111,421 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342,682 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311,474 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390,994 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450,353 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1,211,080 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1,360,229 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94,700 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138,008 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Other-than-temporary impairment losses on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(13,001)</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(14,289)</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(18,483)</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32,327 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76,217 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(51,367)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EchoStar Corporation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43,442 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127,704 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(losses) per share - Class A and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2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2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474"/>
        <w:gridCol w:w="1883"/>
        <w:gridCol w:w="1895"/>
        <w:gridCol w:w="109"/>
        <w:gridCol w:w="109"/>
        <w:gridCol w:w="109"/>
        <w:gridCol w:w="271"/>
        <w:gridCol w:w="1258"/>
        <w:gridCol w:w="140"/>
        <w:gridCol w:w="140"/>
        <w:gridCol w:w="140"/>
        <w:gridCol w:w="140"/>
        <w:gridCol w:w="271"/>
        <w:gridCol w:w="1064"/>
        <w:gridCol w:w="202"/>
      </w:tblGrid>
      <w:tr>
        <w:trPr/>
        <w:tc>
          <w:tcPr>
            <w:tcW w:w="2474"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nine months ended September 30,</w:t>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(loss) to cash flows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311,474 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347,224 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of unconsolidated affiliates,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provision,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repayment of other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Other-than-temporary impairment losses on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of discounts on debt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(6,634)</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Changes in assets and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(63,563)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and non-current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(21,694)</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301,023 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343,317 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(1,015,650)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(540,447)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marketable 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1,150,683 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917,077 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(206,862)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(249,374)</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Refunds and other receipts related to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externally marketed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repayment of other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148,448 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JV 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received from unconsolidated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 of unconsolidated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115,008 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finance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in-orbit incentive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Class A common stock issued under the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equity registration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share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(89,303)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(84,666)</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389,984 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370,536 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705,882 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536,874 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1,095,866 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907,410 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color w:val="000000"/>
                        </w:rPr>
                      </w:pPr>
                      <w:r>
                        <w:rPr>
                          <w:color w:val="000000"/>
                        </w:rPr>
                        <w:t>    </w:t>
                      </w:r>
                      <w:r>
                        <w:rPr>
                          <w:rFonts w:ascii="Times New Roman;sans-serif" w:hAnsi="Times New Roman;sans-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415404/000141540423000015/a20230612amendmentno4jup.htm" TargetMode="External"/><Relationship Id="rId4" Type="http://schemas.openxmlformats.org/officeDocument/2006/relationships/hyperlink" Target="https://www.sec.gov/Archives/edgar/data/1415404/000141540423000015/a20230612amendmentno4jup.htm" TargetMode="External"/><Relationship Id="rId5" Type="http://schemas.openxmlformats.org/officeDocument/2006/relationships/hyperlink" Target="https://www.sec.gov/Archives/edgar/data/1415404/000141540423000015/a20230612amendmentno4jup.htm" TargetMode="External"/><Relationship Id="rId6" Type="http://schemas.openxmlformats.org/officeDocument/2006/relationships/hyperlink" Target="https://www.sec.gov/Archives/edgar/data/1415404/000110465923106152/tm2326297d1_ex10-1.htm" TargetMode="External"/><Relationship Id="rId7" Type="http://schemas.openxmlformats.org/officeDocument/2006/relationships/hyperlink" Target="https://www.sec.gov/Archives/edgar/data/1415404/000110465923106152/tm2326297d1_ex10-1.htm" TargetMode="External"/><Relationship Id="rId8" Type="http://schemas.openxmlformats.org/officeDocument/2006/relationships/hyperlink" Target="https://www.sec.gov/Archives/edgar/data/1415404/000110465923106152/tm2326297d1_ex10-1.htm" TargetMode="External"/><Relationship Id="rId9" Type="http://schemas.openxmlformats.org/officeDocument/2006/relationships/hyperlink" Target="https://www.sec.gov/Archives/edgar/data/1415404/000141540423000015/a20230612amendmentno4jup.htm" TargetMode="External"/><Relationship Id="rId10" Type="http://schemas.openxmlformats.org/officeDocument/2006/relationships/hyperlink" Target="https://www.sec.gov/Archives/edgar/data/1415404/000141540423000015/a20230717amendmentno5jup.htm" TargetMode="External"/><Relationship Id="rId11" Type="http://schemas.openxmlformats.org/officeDocument/2006/relationships/hyperlink" Target="https://www.sec.gov/Archives/edgar/data/1415404/000141540423000015/a20230717amendmentno5jup.htm" TargetMode="External"/><Relationship Id="rId12" Type="http://schemas.openxmlformats.org/officeDocument/2006/relationships/hyperlink" Target="https://www.sec.gov/Archives/edgar/data/1415404/000110465923106152/tm2326297d1_ex10-1.htm" TargetMode="External"/><Relationship Id="rId13" Type="http://schemas.openxmlformats.org/officeDocument/2006/relationships/hyperlink" Target="https://www.sec.gov/Archives/edgar/data/1415404/000110465923106152/tm2326297d1_ex10-1.htm" TargetMode="External"/><Relationship Id="rId14" Type="http://schemas.openxmlformats.org/officeDocument/2006/relationships/hyperlink" Target="https://www.sec.gov/Archives/edgar/data/1415404/000110465923106152/tm2326297d1_ex10-1.htm" TargetMode="External"/><Relationship Id="rId15" Type="http://schemas.openxmlformats.org/officeDocument/2006/relationships/hyperlink" Target="https://www.sec.gov/Archives/edgar/data/1415404/000110465923106152/tm2326297d1_ex10-1.htm" TargetMode="External"/><Relationship Id="rId16" Type="http://schemas.openxmlformats.org/officeDocument/2006/relationships/hyperlink" Target="https://www.sec.gov/Archives/edgar/data/1415404/000110465923106152/tm2326297d1_ex10-1.htm" TargetMode="External"/><Relationship Id="rId17" Type="http://schemas.openxmlformats.org/officeDocument/2006/relationships/hyperlink" Target="https://www.sec.gov/Archives/edgar/data/1415404/000141540423000015/a20230717amendmentno5jup.htm" TargetMode="External"/><Relationship Id="rId18" Type="http://schemas.openxmlformats.org/officeDocument/2006/relationships/hyperlink" Target="https://www.sec.gov/Archives/edgar/data/1415404/000110465923106152/tm2326297d1_ex10-1.htm" TargetMode="External"/><Relationship Id="rId19" Type="http://schemas.openxmlformats.org/officeDocument/2006/relationships/hyperlink" Target="https://www.sec.gov/Archives/edgar/data/1415404/000110465923106152/tm2326297d1_ex10-1.htm" TargetMode="External"/><Relationship Id="rId20" Type="http://schemas.openxmlformats.org/officeDocument/2006/relationships/hyperlink" Target="https://www.sec.gov/Archives/edgar/data/1415404/000110465923106157/tm2327406d2_ex10-2.htm" TargetMode="External"/><Relationship Id="rId21" Type="http://schemas.openxmlformats.org/officeDocument/2006/relationships/hyperlink" Target="https://www.sec.gov/Archives/edgar/data/1415404/000110465923106157/tm2327406d2_ex10-2.htm" TargetMode="External"/><Relationship Id="rId22" Type="http://schemas.openxmlformats.org/officeDocument/2006/relationships/hyperlink" Target="https://www.sec.gov/Archives/edgar/data/1415404/000110465923106157/tm2327406d2_ex10-3.htm" TargetMode="External"/><Relationship Id="rId23" Type="http://schemas.openxmlformats.org/officeDocument/2006/relationships/hyperlink" Target="https://www.sec.gov/Archives/edgar/data/1415404/000110465923106157/tm2327406d2_ex10-3.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37283</Words>
  <Characters>209519</Characters>
  <CharactersWithSpaces>244290</CharactersWithSpaces>
  <Paragraphs>5088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