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6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 xml:space="preserve">Form </w:t>
      </w:r>
      <w:r>
        <w:rPr>
          <w:rFonts w:ascii="Arial" w:cs="Arial" w:eastAsia="Arial" w:hAnsi="Arial"/>
          <w:sz w:val="19"/>
          <w:szCs w:val="19"/>
          <w:b w:val="1"/>
          <w:bCs w:val="1"/>
          <w:color w:val="auto"/>
        </w:rPr>
        <w:t>10-K</w:t>
      </w: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3"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2016</w:t>
      </w:r>
    </w:p>
    <w:p>
      <w:pPr>
        <w:spacing w:after="0" w:line="109" w:lineRule="exact"/>
        <w:rPr>
          <w:rFonts w:ascii="MS PGothic" w:cs="MS PGothic" w:eastAsia="MS PGothic" w:hAnsi="MS PGothic"/>
          <w:sz w:val="14"/>
          <w:szCs w:val="14"/>
          <w:color w:val="auto"/>
        </w:rPr>
      </w:pPr>
    </w:p>
    <w:p>
      <w:pPr>
        <w:ind w:left="558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123" w:lineRule="exact"/>
        <w:rPr>
          <w:sz w:val="24"/>
          <w:szCs w:val="24"/>
          <w:color w:val="auto"/>
        </w:rPr>
      </w:pPr>
    </w:p>
    <w:p>
      <w:pPr>
        <w:ind w:left="360" w:hanging="352"/>
        <w:spacing w:after="0"/>
        <w:tabs>
          <w:tab w:leader="none" w:pos="36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TRANSITION REPORT PURSUANT TO SECTION 13 OR 15(d) OF THE SECURITIES EXCHANGE ACT OF 1934 FOR THE TRANSITION PERIOD</w:t>
      </w:r>
    </w:p>
    <w:p>
      <w:pPr>
        <w:spacing w:after="0" w:line="38" w:lineRule="exact"/>
        <w:rPr>
          <w:sz w:val="24"/>
          <w:szCs w:val="24"/>
          <w:color w:val="auto"/>
        </w:rPr>
      </w:pPr>
    </w:p>
    <w:tbl>
      <w:tblPr>
        <w:tblLayout w:type="fixed"/>
        <w:tblInd w:w="4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FROM</w:t>
            </w:r>
          </w:p>
        </w:tc>
        <w:tc>
          <w:tcPr>
            <w:tcW w:w="8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920" w:type="dxa"/>
            <w:vAlign w:val="bottom"/>
          </w:tcPr>
          <w:p>
            <w:pPr>
              <w:ind w:left="360"/>
              <w:spacing w:after="0"/>
              <w:rPr>
                <w:sz w:val="20"/>
                <w:szCs w:val="20"/>
                <w:color w:val="auto"/>
              </w:rPr>
            </w:pPr>
            <w:r>
              <w:rPr>
                <w:rFonts w:ascii="Arial" w:cs="Arial" w:eastAsia="Arial" w:hAnsi="Arial"/>
                <w:sz w:val="14"/>
                <w:szCs w:val="14"/>
                <w:b w:val="1"/>
                <w:bCs w:val="1"/>
                <w:color w:val="auto"/>
              </w:rPr>
              <w:t>TO</w:t>
            </w:r>
          </w:p>
        </w:tc>
        <w:tc>
          <w:tcPr>
            <w:tcW w:w="1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120" w:type="dxa"/>
            <w:vAlign w:val="bottom"/>
          </w:tcPr>
          <w:p>
            <w:pPr>
              <w:jc w:val="right"/>
              <w:ind w:right="4988"/>
              <w:spacing w:after="0"/>
              <w:rPr>
                <w:sz w:val="20"/>
                <w:szCs w:val="20"/>
                <w:color w:val="auto"/>
              </w:rPr>
            </w:pPr>
            <w:r>
              <w:rPr>
                <w:rFonts w:ascii="Arial" w:cs="Arial" w:eastAsia="Arial" w:hAnsi="Arial"/>
                <w:sz w:val="14"/>
                <w:szCs w:val="14"/>
                <w:b w:val="1"/>
                <w:bCs w:val="1"/>
                <w:color w:val="auto"/>
              </w:rPr>
              <w:t>.</w:t>
            </w:r>
          </w:p>
        </w:tc>
      </w:tr>
      <w:tr>
        <w:trPr>
          <w:trHeight w:val="205"/>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gridSpan w:val="2"/>
          </w:tcPr>
          <w:p>
            <w:pPr>
              <w:jc w:val="center"/>
              <w:ind w:right="2768"/>
              <w:spacing w:after="0"/>
              <w:rPr>
                <w:sz w:val="20"/>
                <w:szCs w:val="20"/>
                <w:color w:val="auto"/>
              </w:rPr>
            </w:pPr>
            <w:r>
              <w:rPr>
                <w:rFonts w:ascii="Arial" w:cs="Arial" w:eastAsia="Arial" w:hAnsi="Arial"/>
                <w:sz w:val="14"/>
                <w:szCs w:val="14"/>
                <w:b w:val="1"/>
                <w:bCs w:val="1"/>
                <w:color w:val="auto"/>
                <w:w w:val="93"/>
              </w:rPr>
              <w:t>Commission file number: 333-179121</w:t>
            </w:r>
          </w:p>
        </w:tc>
      </w:tr>
      <w:tr>
        <w:trPr>
          <w:trHeight w:val="375"/>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60" w:type="dxa"/>
            <w:vAlign w:val="bottom"/>
            <w:gridSpan w:val="3"/>
          </w:tcPr>
          <w:p>
            <w:pPr>
              <w:jc w:val="center"/>
              <w:ind w:right="1448"/>
              <w:spacing w:after="0"/>
              <w:rPr>
                <w:sz w:val="20"/>
                <w:szCs w:val="20"/>
                <w:color w:val="auto"/>
              </w:rPr>
            </w:pPr>
            <w:r>
              <w:rPr>
                <w:rFonts w:ascii="Arial" w:cs="Arial" w:eastAsia="Arial" w:hAnsi="Arial"/>
                <w:sz w:val="29"/>
                <w:szCs w:val="29"/>
                <w:b w:val="1"/>
                <w:bCs w:val="1"/>
                <w:color w:val="auto"/>
                <w:w w:val="88"/>
              </w:rPr>
              <w:t>Hughes Satellite Systems Corporation</w:t>
            </w:r>
          </w:p>
        </w:tc>
      </w:tr>
      <w:tr>
        <w:trPr>
          <w:trHeight w:val="199"/>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60" w:type="dxa"/>
            <w:vAlign w:val="bottom"/>
            <w:gridSpan w:val="3"/>
          </w:tcPr>
          <w:p>
            <w:pPr>
              <w:jc w:val="right"/>
              <w:ind w:right="2468"/>
              <w:spacing w:after="0"/>
              <w:rPr>
                <w:sz w:val="20"/>
                <w:szCs w:val="20"/>
                <w:color w:val="auto"/>
              </w:rPr>
            </w:pPr>
            <w:r>
              <w:rPr>
                <w:rFonts w:ascii="Arial" w:cs="Arial" w:eastAsia="Arial" w:hAnsi="Arial"/>
                <w:sz w:val="14"/>
                <w:szCs w:val="14"/>
                <w:color w:val="auto"/>
              </w:rPr>
              <w:t>(Exact name of registrant as specified in its charter)</w:t>
            </w:r>
          </w:p>
        </w:tc>
      </w:tr>
      <w:tr>
        <w:trPr>
          <w:trHeight w:val="32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0" w:type="dxa"/>
            <w:vAlign w:val="bottom"/>
            <w:gridSpan w:val="2"/>
          </w:tcPr>
          <w:p>
            <w:pPr>
              <w:jc w:val="center"/>
              <w:ind w:right="1272"/>
              <w:spacing w:after="0"/>
              <w:rPr>
                <w:sz w:val="20"/>
                <w:szCs w:val="20"/>
                <w:color w:val="auto"/>
              </w:rPr>
            </w:pPr>
            <w:r>
              <w:rPr>
                <w:rFonts w:ascii="Arial" w:cs="Arial" w:eastAsia="Arial" w:hAnsi="Arial"/>
                <w:sz w:val="14"/>
                <w:szCs w:val="14"/>
                <w:b w:val="1"/>
                <w:bCs w:val="1"/>
                <w:color w:val="auto"/>
                <w:w w:val="94"/>
              </w:rPr>
              <w:t>Colorado</w:t>
            </w:r>
          </w:p>
        </w:tc>
        <w:tc>
          <w:tcPr>
            <w:tcW w:w="5180" w:type="dxa"/>
            <w:vAlign w:val="bottom"/>
            <w:gridSpan w:val="2"/>
          </w:tcPr>
          <w:p>
            <w:pPr>
              <w:jc w:val="center"/>
              <w:ind w:left="3008"/>
              <w:spacing w:after="0"/>
              <w:rPr>
                <w:sz w:val="20"/>
                <w:szCs w:val="20"/>
                <w:color w:val="auto"/>
              </w:rPr>
            </w:pPr>
            <w:r>
              <w:rPr>
                <w:rFonts w:ascii="Arial" w:cs="Arial" w:eastAsia="Arial" w:hAnsi="Arial"/>
                <w:sz w:val="14"/>
                <w:szCs w:val="14"/>
                <w:b w:val="1"/>
                <w:bCs w:val="1"/>
                <w:color w:val="auto"/>
                <w:w w:val="93"/>
              </w:rPr>
              <w:t>45-0897865</w:t>
            </w:r>
          </w:p>
        </w:tc>
      </w:tr>
      <w:tr>
        <w:trPr>
          <w:trHeight w:val="203"/>
        </w:trPr>
        <w:tc>
          <w:tcPr>
            <w:tcW w:w="500" w:type="dxa"/>
            <w:vAlign w:val="bottom"/>
          </w:tcPr>
          <w:p>
            <w:pPr>
              <w:spacing w:after="0"/>
              <w:rPr>
                <w:sz w:val="17"/>
                <w:szCs w:val="17"/>
                <w:color w:val="auto"/>
              </w:rPr>
            </w:pPr>
          </w:p>
        </w:tc>
        <w:tc>
          <w:tcPr>
            <w:tcW w:w="3620" w:type="dxa"/>
            <w:vAlign w:val="bottom"/>
            <w:gridSpan w:val="4"/>
          </w:tcPr>
          <w:p>
            <w:pPr>
              <w:jc w:val="center"/>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60" w:type="dxa"/>
            <w:vAlign w:val="bottom"/>
          </w:tcPr>
          <w:p>
            <w:pPr>
              <w:spacing w:after="0"/>
              <w:rPr>
                <w:sz w:val="17"/>
                <w:szCs w:val="17"/>
                <w:color w:val="auto"/>
              </w:rPr>
            </w:pPr>
          </w:p>
        </w:tc>
        <w:tc>
          <w:tcPr>
            <w:tcW w:w="5120" w:type="dxa"/>
            <w:vAlign w:val="bottom"/>
          </w:tcPr>
          <w:p>
            <w:pPr>
              <w:jc w:val="center"/>
              <w:ind w:left="2948"/>
              <w:spacing w:after="0"/>
              <w:rPr>
                <w:sz w:val="20"/>
                <w:szCs w:val="20"/>
                <w:color w:val="auto"/>
              </w:rPr>
            </w:pPr>
            <w:r>
              <w:rPr>
                <w:rFonts w:ascii="Arial" w:cs="Arial" w:eastAsia="Arial" w:hAnsi="Arial"/>
                <w:sz w:val="14"/>
                <w:szCs w:val="14"/>
                <w:color w:val="auto"/>
                <w:w w:val="97"/>
              </w:rPr>
              <w:t>(I.R.S. Employer Identification No.)</w:t>
            </w:r>
          </w:p>
        </w:tc>
      </w:tr>
      <w:tr>
        <w:trPr>
          <w:trHeight w:val="33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100 Inverness Terrace East, Englewood, Colorado</w:t>
            </w:r>
          </w:p>
        </w:tc>
        <w:tc>
          <w:tcPr>
            <w:tcW w:w="5180" w:type="dxa"/>
            <w:vAlign w:val="bottom"/>
            <w:gridSpan w:val="2"/>
          </w:tcPr>
          <w:p>
            <w:pPr>
              <w:jc w:val="center"/>
              <w:ind w:left="3008"/>
              <w:spacing w:after="0"/>
              <w:rPr>
                <w:sz w:val="20"/>
                <w:szCs w:val="20"/>
                <w:color w:val="auto"/>
              </w:rPr>
            </w:pPr>
            <w:r>
              <w:rPr>
                <w:rFonts w:ascii="Arial" w:cs="Arial" w:eastAsia="Arial" w:hAnsi="Arial"/>
                <w:sz w:val="14"/>
                <w:szCs w:val="14"/>
                <w:b w:val="1"/>
                <w:bCs w:val="1"/>
                <w:color w:val="auto"/>
                <w:w w:val="93"/>
              </w:rPr>
              <w:t>80112-5308</w:t>
            </w:r>
          </w:p>
        </w:tc>
      </w:tr>
      <w:tr>
        <w:trPr>
          <w:trHeight w:val="270"/>
        </w:trPr>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40" w:type="dxa"/>
            <w:vAlign w:val="bottom"/>
            <w:gridSpan w:val="3"/>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60" w:type="dxa"/>
            <w:vAlign w:val="bottom"/>
          </w:tcPr>
          <w:p>
            <w:pPr>
              <w:spacing w:after="0"/>
              <w:rPr>
                <w:sz w:val="23"/>
                <w:szCs w:val="23"/>
                <w:color w:val="auto"/>
              </w:rPr>
            </w:pPr>
          </w:p>
        </w:tc>
        <w:tc>
          <w:tcPr>
            <w:tcW w:w="5120" w:type="dxa"/>
            <w:vAlign w:val="bottom"/>
          </w:tcPr>
          <w:p>
            <w:pPr>
              <w:jc w:val="center"/>
              <w:ind w:left="2948"/>
              <w:spacing w:after="0"/>
              <w:rPr>
                <w:sz w:val="20"/>
                <w:szCs w:val="20"/>
                <w:color w:val="auto"/>
              </w:rPr>
            </w:pPr>
            <w:r>
              <w:rPr>
                <w:rFonts w:ascii="Arial" w:cs="Arial" w:eastAsia="Arial" w:hAnsi="Arial"/>
                <w:sz w:val="14"/>
                <w:szCs w:val="14"/>
                <w:color w:val="auto"/>
                <w:w w:val="93"/>
              </w:rPr>
              <w:t>(Zip Code)</w:t>
            </w:r>
          </w:p>
        </w:tc>
      </w:tr>
    </w:tbl>
    <w:p>
      <w:pPr>
        <w:spacing w:after="0" w:line="219" w:lineRule="exact"/>
        <w:rPr>
          <w:sz w:val="24"/>
          <w:szCs w:val="24"/>
          <w:color w:val="auto"/>
        </w:rPr>
      </w:pPr>
    </w:p>
    <w:p>
      <w:pPr>
        <w:jc w:val="right"/>
        <w:ind w:right="370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(303) 706-4000</w:t>
      </w:r>
    </w:p>
    <w:p>
      <w:pPr>
        <w:spacing w:after="0" w:line="55" w:lineRule="exact"/>
        <w:rPr>
          <w:sz w:val="24"/>
          <w:szCs w:val="24"/>
          <w:color w:val="auto"/>
        </w:rPr>
      </w:pPr>
    </w:p>
    <w:p>
      <w:pPr>
        <w:jc w:val="right"/>
        <w:ind w:right="3660"/>
        <w:spacing w:after="0"/>
        <w:rPr>
          <w:sz w:val="20"/>
          <w:szCs w:val="20"/>
          <w:color w:val="auto"/>
        </w:rPr>
      </w:pPr>
      <w:r>
        <w:rPr>
          <w:rFonts w:ascii="Arial" w:cs="Arial" w:eastAsia="Arial" w:hAnsi="Arial"/>
          <w:sz w:val="14"/>
          <w:szCs w:val="14"/>
          <w:color w:val="auto"/>
        </w:rPr>
        <w:t xml:space="preserve">Securities registered pursuant to Section 12(b) of the Act: </w:t>
      </w:r>
      <w:r>
        <w:rPr>
          <w:rFonts w:ascii="Arial" w:cs="Arial" w:eastAsia="Arial" w:hAnsi="Arial"/>
          <w:sz w:val="14"/>
          <w:szCs w:val="14"/>
          <w:b w:val="1"/>
          <w:bCs w:val="1"/>
          <w:color w:val="auto"/>
        </w:rPr>
        <w:t>None</w:t>
      </w:r>
    </w:p>
    <w:p>
      <w:pPr>
        <w:spacing w:after="0" w:line="55"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14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o No </w:t>
      </w:r>
      <w:r>
        <w:rPr>
          <w:rFonts w:ascii="MS PGothic" w:cs="MS PGothic" w:eastAsia="MS PGothic" w:hAnsi="MS PGothic"/>
          <w:sz w:val="14"/>
          <w:szCs w:val="14"/>
          <w:color w:val="auto"/>
        </w:rPr>
        <w:t>☒</w:t>
      </w:r>
    </w:p>
    <w:p>
      <w:pPr>
        <w:spacing w:after="0" w:line="16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85"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27" w:lineRule="exact"/>
        <w:rPr>
          <w:sz w:val="24"/>
          <w:szCs w:val="24"/>
          <w:color w:val="auto"/>
        </w:rPr>
      </w:pPr>
    </w:p>
    <w:p>
      <w:pPr>
        <w:ind w:right="18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126" w:lineRule="exact"/>
        <w:rPr>
          <w:sz w:val="24"/>
          <w:szCs w:val="24"/>
          <w:color w:val="auto"/>
        </w:rPr>
      </w:pPr>
    </w:p>
    <w:p>
      <w:pPr>
        <w:ind w:right="60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27" w:lineRule="exact"/>
        <w:rPr>
          <w:sz w:val="24"/>
          <w:szCs w:val="24"/>
          <w:color w:val="auto"/>
        </w:rPr>
      </w:pPr>
    </w:p>
    <w:p>
      <w:pPr>
        <w:ind w:right="8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sectPr>
      </w:pPr>
    </w:p>
    <w:p>
      <w:pPr>
        <w:spacing w:after="0" w:line="120" w:lineRule="exact"/>
        <w:rPr>
          <w:sz w:val="24"/>
          <w:szCs w:val="24"/>
          <w:color w:val="auto"/>
        </w:rPr>
      </w:pPr>
    </w:p>
    <w:p>
      <w:pPr>
        <w:ind w:left="2040"/>
        <w:spacing w:after="0"/>
        <w:rPr>
          <w:sz w:val="20"/>
          <w:szCs w:val="20"/>
          <w:color w:val="auto"/>
        </w:rPr>
      </w:pPr>
      <w:r>
        <w:rPr>
          <w:rFonts w:ascii="Arial" w:cs="Arial" w:eastAsia="Arial" w:hAnsi="Arial"/>
          <w:sz w:val="13"/>
          <w:szCs w:val="13"/>
          <w:color w:val="auto"/>
        </w:rPr>
        <w:t>Large accelerated filer o</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 o</w:t>
      </w:r>
    </w:p>
    <w:p>
      <w:pPr>
        <w:spacing w:after="0" w:line="200" w:lineRule="exact"/>
        <w:rPr>
          <w:sz w:val="24"/>
          <w:szCs w:val="24"/>
          <w:color w:val="auto"/>
        </w:rPr>
      </w:pPr>
    </w:p>
    <w:p>
      <w:pPr>
        <w:sectPr>
          <w:pgSz w:w="11900" w:h="16838" w:orient="portrait"/>
          <w:cols w:equalWidth="0" w:num="2">
            <w:col w:w="7420" w:space="720"/>
            <w:col w:w="3240"/>
          </w:cols>
          <w:pgMar w:left="240" w:top="233" w:right="279" w:bottom="1440" w:gutter="0" w:footer="0" w:header="0"/>
          <w:type w:val="continuous"/>
        </w:sectPr>
      </w:pPr>
    </w:p>
    <w:p>
      <w:pPr>
        <w:spacing w:after="0" w:line="56" w:lineRule="exact"/>
        <w:rPr>
          <w:sz w:val="24"/>
          <w:szCs w:val="24"/>
          <w:color w:val="auto"/>
        </w:rPr>
      </w:pPr>
    </w:p>
    <w:p>
      <w:pPr>
        <w:ind w:left="2080"/>
        <w:spacing w:after="0"/>
        <w:rPr>
          <w:sz w:val="20"/>
          <w:szCs w:val="20"/>
          <w:color w:val="auto"/>
        </w:rPr>
      </w:pPr>
      <w:r>
        <w:rPr>
          <w:rFonts w:ascii="Arial" w:cs="Arial" w:eastAsia="Arial" w:hAnsi="Arial"/>
          <w:sz w:val="13"/>
          <w:szCs w:val="13"/>
          <w:color w:val="auto"/>
        </w:rPr>
        <w:t>Non-accelerated filer x</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 o</w:t>
      </w:r>
    </w:p>
    <w:p>
      <w:pPr>
        <w:spacing w:after="0" w:line="53" w:lineRule="exact"/>
        <w:rPr>
          <w:sz w:val="24"/>
          <w:szCs w:val="24"/>
          <w:color w:val="auto"/>
        </w:rPr>
      </w:pPr>
    </w:p>
    <w:p>
      <w:pPr>
        <w:sectPr>
          <w:pgSz w:w="11900" w:h="16838" w:orient="portrait"/>
          <w:cols w:equalWidth="0" w:num="2">
            <w:col w:w="7120" w:space="720"/>
            <w:col w:w="3540"/>
          </w:cols>
          <w:pgMar w:left="240" w:top="233" w:right="279" w:bottom="1440" w:gutter="0" w:footer="0" w:header="0"/>
          <w:type w:val="continuous"/>
        </w:sectPr>
      </w:pPr>
    </w:p>
    <w:p>
      <w:pPr>
        <w:ind w:left="1420"/>
        <w:spacing w:after="0"/>
        <w:rPr>
          <w:sz w:val="20"/>
          <w:szCs w:val="20"/>
          <w:color w:val="auto"/>
        </w:rPr>
      </w:pPr>
      <w:r>
        <w:rPr>
          <w:rFonts w:ascii="Arial" w:cs="Arial" w:eastAsia="Arial" w:hAnsi="Arial"/>
          <w:sz w:val="14"/>
          <w:szCs w:val="14"/>
          <w:color w:val="auto"/>
        </w:rPr>
        <w:t>(Do not check if a smaller reporting company)</w:t>
      </w:r>
    </w:p>
    <w:p>
      <w:pPr>
        <w:spacing w:after="0" w:line="149" w:lineRule="exact"/>
        <w:rPr>
          <w:sz w:val="24"/>
          <w:szCs w:val="24"/>
          <w:color w:val="auto"/>
        </w:rPr>
      </w:pPr>
    </w:p>
    <w:p>
      <w:pPr>
        <w:ind w:left="4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o No </w:t>
      </w:r>
      <w:r>
        <w:rPr>
          <w:rFonts w:ascii="MS PGothic" w:cs="MS PGothic" w:eastAsia="MS PGothic" w:hAnsi="MS PGothic"/>
          <w:sz w:val="13"/>
          <w:szCs w:val="13"/>
          <w:color w:val="auto"/>
        </w:rPr>
        <w:t>☒</w:t>
      </w:r>
    </w:p>
    <w:p>
      <w:pPr>
        <w:spacing w:after="0" w:line="202" w:lineRule="exact"/>
        <w:rPr>
          <w:sz w:val="24"/>
          <w:szCs w:val="24"/>
          <w:color w:val="auto"/>
        </w:rPr>
      </w:pPr>
    </w:p>
    <w:p>
      <w:pPr>
        <w:spacing w:after="0"/>
        <w:rPr>
          <w:sz w:val="20"/>
          <w:szCs w:val="20"/>
          <w:color w:val="auto"/>
        </w:rPr>
      </w:pPr>
      <w:r>
        <w:rPr>
          <w:rFonts w:ascii="Arial" w:cs="Arial" w:eastAsia="Arial" w:hAnsi="Arial"/>
          <w:sz w:val="14"/>
          <w:szCs w:val="14"/>
          <w:color w:val="auto"/>
        </w:rPr>
        <w:t>The aggregate market value of the registrant’s voting interests held by non-affiliates on June 30, 2016 was $0.</w:t>
      </w:r>
    </w:p>
    <w:p>
      <w:pPr>
        <w:sectPr>
          <w:pgSz w:w="11900" w:h="16838" w:orient="portrait"/>
          <w:cols w:equalWidth="0" w:num="1">
            <w:col w:w="11380"/>
          </w:cols>
          <w:pgMar w:left="240" w:top="233" w:right="279" w:bottom="1440" w:gutter="0" w:footer="0" w:header="0"/>
          <w:type w:val="continuous"/>
        </w:sectPr>
      </w:pP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15, 2017, the registrant’s outstanding common stock consisted of 1,000 shares of common stock, $0.01 par value per share.</w:t>
      </w:r>
    </w:p>
    <w:p>
      <w:pPr>
        <w:spacing w:after="0" w:line="163" w:lineRule="exact"/>
        <w:rPr>
          <w:sz w:val="24"/>
          <w:szCs w:val="24"/>
          <w:color w:val="auto"/>
        </w:rPr>
      </w:pPr>
    </w:p>
    <w:p>
      <w:pPr>
        <w:spacing w:after="0"/>
        <w:rPr>
          <w:sz w:val="20"/>
          <w:szCs w:val="20"/>
          <w:color w:val="auto"/>
        </w:rPr>
      </w:pPr>
      <w:r>
        <w:rPr>
          <w:rFonts w:ascii="Arial" w:cs="Arial" w:eastAsia="Arial" w:hAnsi="Arial"/>
          <w:sz w:val="13"/>
          <w:szCs w:val="13"/>
          <w:color w:val="auto"/>
        </w:rPr>
        <w:t>The Registrant meets the conditions set forth in General Instructions (I)(1)(a) and (b) of Form 10-K and is therefore filing this Annual Report on Form 10-K with the reduced disclosure format.</w:t>
      </w:r>
    </w:p>
    <w:p>
      <w:pPr>
        <w:spacing w:after="0" w:line="175" w:lineRule="exact"/>
        <w:rPr>
          <w:sz w:val="24"/>
          <w:szCs w:val="24"/>
          <w:color w:val="auto"/>
        </w:rPr>
      </w:pPr>
    </w:p>
    <w:p>
      <w:pPr>
        <w:jc w:val="both"/>
        <w:ind w:firstLine="8"/>
        <w:spacing w:after="0" w:line="257" w:lineRule="auto"/>
        <w:tabs>
          <w:tab w:leader="none" w:pos="105"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Registrant currently is not subject to the filing requirements of Section 13 or 15(d) of the Securities Exchange Act of 1934 and is filing this Annual Report on Form 10-K on a voluntary basis. The Registrant has filed all reports required to be filed by Section 13 or 15(d) of the Securities Exchange Act of 1934 during the preceding 12 months as if it were subject to such filing requirements during such period.</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6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None</w:t>
      </w:r>
    </w:p>
    <w:p>
      <w:pPr>
        <w:sectPr>
          <w:pgSz w:w="11900" w:h="16838" w:orient="portrait"/>
          <w:cols w:equalWidth="0" w:num="1">
            <w:col w:w="11380"/>
          </w:cols>
          <w:pgMar w:left="240" w:top="233"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20" w:type="dxa"/>
            <w:vAlign w:val="bottom"/>
            <w:gridSpan w:val="5"/>
          </w:tcPr>
          <w:p>
            <w:pPr>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Table of Contents</w:t>
              </w:r>
            </w:hyperlink>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80" w:type="dxa"/>
            <w:vAlign w:val="bottom"/>
            <w:gridSpan w:val="12"/>
          </w:tcPr>
          <w:p>
            <w:pPr>
              <w:jc w:val="center"/>
              <w:ind w:right="3620"/>
              <w:spacing w:after="0"/>
              <w:rPr>
                <w:sz w:val="20"/>
                <w:szCs w:val="20"/>
                <w:color w:val="auto"/>
              </w:rPr>
            </w:pPr>
            <w:r>
              <w:rPr>
                <w:rFonts w:ascii="Arial" w:cs="Arial" w:eastAsia="Arial" w:hAnsi="Arial"/>
                <w:sz w:val="18"/>
                <w:szCs w:val="18"/>
                <w:b w:val="1"/>
                <w:bCs w:val="1"/>
                <w:color w:val="auto"/>
                <w:w w:val="98"/>
              </w:rPr>
              <w:t>TABLE OF CONTENTS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10280" w:type="dxa"/>
            <w:vAlign w:val="bottom"/>
            <w:gridSpan w:val="2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Disclosure Regarding Forward Looking Statements</w:t>
              </w:r>
            </w:hyperlink>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r>
      <w:tr>
        <w:trPr>
          <w:trHeight w:val="520"/>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00" w:type="dxa"/>
            <w:vAlign w:val="bottom"/>
            <w:gridSpan w:val="9"/>
          </w:tcPr>
          <w:p>
            <w:pPr>
              <w:jc w:val="center"/>
              <w:ind w:right="432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138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400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tcBorders>
              <w:top w:val="single" w:sz="8" w:color="0000EE"/>
            </w:tcBorders>
            <w:gridSpan w:val="3"/>
          </w:tcPr>
          <w:p>
            <w:pPr>
              <w:spacing w:after="0"/>
              <w:rPr>
                <w:sz w:val="24"/>
                <w:szCs w:val="24"/>
                <w:color w:val="auto"/>
              </w:rPr>
            </w:pPr>
          </w:p>
        </w:tc>
        <w:tc>
          <w:tcPr>
            <w:tcW w:w="4320" w:type="dxa"/>
            <w:vAlign w:val="bottom"/>
            <w:gridSpan w:val="6"/>
          </w:tcPr>
          <w:p>
            <w:pPr>
              <w:spacing w:after="0"/>
              <w:rPr>
                <w:sz w:val="24"/>
                <w:szCs w:val="24"/>
                <w:color w:val="auto"/>
              </w:rPr>
            </w:pPr>
          </w:p>
        </w:tc>
        <w:tc>
          <w:tcPr>
            <w:tcW w:w="10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6">
              <w:r>
                <w:rPr>
                  <w:rFonts w:ascii="Arial" w:cs="Arial" w:eastAsia="Arial" w:hAnsi="Arial"/>
                  <w:sz w:val="18"/>
                  <w:szCs w:val="18"/>
                  <w:color w:val="0000EE"/>
                  <w:w w:val="83"/>
                </w:rPr>
                <w:t>Item 1A.</w:t>
              </w:r>
            </w:hyperlink>
          </w:p>
        </w:tc>
        <w:tc>
          <w:tcPr>
            <w:tcW w:w="780" w:type="dxa"/>
            <w:vAlign w:val="bottom"/>
            <w:gridSpan w:val="2"/>
          </w:tcPr>
          <w:p>
            <w:pPr>
              <w:spacing w:after="0"/>
              <w:rPr>
                <w:sz w:val="21"/>
                <w:szCs w:val="21"/>
                <w:color w:val="auto"/>
              </w:rPr>
            </w:pP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Risk Factors</w:t>
              </w:r>
            </w:hyperlink>
          </w:p>
        </w:tc>
        <w:tc>
          <w:tcPr>
            <w:tcW w:w="8000" w:type="dxa"/>
            <w:vAlign w:val="bottom"/>
            <w:gridSpan w:val="21"/>
          </w:tcPr>
          <w:p>
            <w:pPr>
              <w:spacing w:after="0"/>
              <w:rPr>
                <w:sz w:val="21"/>
                <w:szCs w:val="21"/>
                <w:color w:val="auto"/>
              </w:rPr>
            </w:pPr>
          </w:p>
        </w:tc>
        <w:tc>
          <w:tcPr>
            <w:tcW w:w="98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250"/>
        </w:trPr>
        <w:tc>
          <w:tcPr>
            <w:tcW w:w="40" w:type="dxa"/>
            <w:vAlign w:val="bottom"/>
          </w:tcPr>
          <w:p>
            <w:pPr>
              <w:spacing w:after="0"/>
              <w:rPr>
                <w:sz w:val="21"/>
                <w:szCs w:val="21"/>
                <w:color w:val="auto"/>
              </w:rPr>
            </w:pPr>
          </w:p>
        </w:tc>
        <w:tc>
          <w:tcPr>
            <w:tcW w:w="1380" w:type="dxa"/>
            <w:vAlign w:val="bottom"/>
            <w:gridSpan w:val="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1B.</w:t>
              </w:r>
            </w:hyperlink>
          </w:p>
        </w:tc>
        <w:tc>
          <w:tcPr>
            <w:tcW w:w="8900" w:type="dxa"/>
            <w:vAlign w:val="bottom"/>
            <w:gridSpan w:val="2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1080" w:type="dxa"/>
            <w:vAlign w:val="bottom"/>
            <w:gridSpan w:val="4"/>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19</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0" w:type="dxa"/>
            <w:vAlign w:val="bottom"/>
            <w:gridSpan w:val="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780" w:type="dxa"/>
            <w:vAlign w:val="bottom"/>
            <w:gridSpan w:val="2"/>
          </w:tcPr>
          <w:p>
            <w:pPr>
              <w:spacing w:after="0"/>
              <w:rPr>
                <w:sz w:val="21"/>
                <w:szCs w:val="21"/>
                <w:color w:val="auto"/>
              </w:rPr>
            </w:pPr>
          </w:p>
        </w:tc>
        <w:tc>
          <w:tcPr>
            <w:tcW w:w="2040" w:type="dxa"/>
            <w:vAlign w:val="bottom"/>
            <w:gridSpan w:val="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6860" w:type="dxa"/>
            <w:vAlign w:val="bottom"/>
            <w:gridSpan w:val="17"/>
          </w:tcPr>
          <w:p>
            <w:pPr>
              <w:spacing w:after="0"/>
              <w:rPr>
                <w:sz w:val="21"/>
                <w:szCs w:val="21"/>
                <w:color w:val="auto"/>
              </w:rPr>
            </w:pPr>
          </w:p>
        </w:tc>
        <w:tc>
          <w:tcPr>
            <w:tcW w:w="1080" w:type="dxa"/>
            <w:vAlign w:val="bottom"/>
            <w:gridSpan w:val="4"/>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19</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380" w:type="dxa"/>
            <w:vAlign w:val="bottom"/>
            <w:gridSpan w:val="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8900" w:type="dxa"/>
            <w:vAlign w:val="bottom"/>
            <w:gridSpan w:val="2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1080" w:type="dxa"/>
            <w:vAlign w:val="bottom"/>
            <w:gridSpan w:val="4"/>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19</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380" w:type="dxa"/>
            <w:vAlign w:val="bottom"/>
            <w:gridSpan w:val="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4.</w:t>
              </w:r>
            </w:hyperlink>
          </w:p>
        </w:tc>
        <w:tc>
          <w:tcPr>
            <w:tcW w:w="8900" w:type="dxa"/>
            <w:vAlign w:val="bottom"/>
            <w:gridSpan w:val="2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1080" w:type="dxa"/>
            <w:vAlign w:val="bottom"/>
            <w:gridSpan w:val="4"/>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20</w:t>
              </w:r>
            </w:hyperlink>
          </w:p>
        </w:tc>
      </w:tr>
      <w:tr>
        <w:trPr>
          <w:trHeight w:val="520"/>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w:t>
              </w:r>
            </w:hyperlink>
          </w:p>
        </w:tc>
        <w:tc>
          <w:tcPr>
            <w:tcW w:w="428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1380" w:type="dxa"/>
            <w:vAlign w:val="bottom"/>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5.</w:t>
              </w:r>
            </w:hyperlink>
          </w:p>
        </w:tc>
        <w:tc>
          <w:tcPr>
            <w:tcW w:w="8900" w:type="dxa"/>
            <w:vAlign w:val="bottom"/>
            <w:gridSpan w:val="25"/>
          </w:tcPr>
          <w:p>
            <w:pPr>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Market for Registrant’s Common Equity, Related Stockholder Matters and Issuer Purchases of Equity Securities</w:t>
              </w:r>
            </w:hyperlink>
          </w:p>
        </w:tc>
        <w:tc>
          <w:tcPr>
            <w:tcW w:w="1080" w:type="dxa"/>
            <w:vAlign w:val="bottom"/>
            <w:gridSpan w:val="4"/>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21</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1380" w:type="dxa"/>
            <w:vAlign w:val="bottom"/>
            <w:gridSpan w:val="4"/>
          </w:tcPr>
          <w:p>
            <w:pPr>
              <w:spacing w:after="0"/>
              <w:rPr>
                <w:sz w:val="20"/>
                <w:szCs w:val="20"/>
                <w:color w:val="auto"/>
              </w:rPr>
            </w:pPr>
            <w:r>
              <w:rPr>
                <w:rFonts w:ascii="Arial" w:cs="Arial" w:eastAsia="Arial" w:hAnsi="Arial"/>
                <w:sz w:val="18"/>
                <w:szCs w:val="18"/>
                <w:color w:val="auto"/>
              </w:rPr>
              <w:t>Item 6.</w:t>
            </w:r>
          </w:p>
        </w:tc>
        <w:tc>
          <w:tcPr>
            <w:tcW w:w="8900" w:type="dxa"/>
            <w:vAlign w:val="bottom"/>
            <w:gridSpan w:val="25"/>
          </w:tcPr>
          <w:p>
            <w:pPr>
              <w:spacing w:after="0"/>
              <w:rPr>
                <w:sz w:val="20"/>
                <w:szCs w:val="20"/>
                <w:color w:val="auto"/>
              </w:rPr>
            </w:pPr>
            <w:r>
              <w:rPr>
                <w:rFonts w:ascii="Arial" w:cs="Arial" w:eastAsia="Arial" w:hAnsi="Arial"/>
                <w:sz w:val="18"/>
                <w:szCs w:val="18"/>
                <w:color w:val="auto"/>
              </w:rPr>
              <w:t>Selected Financial Data</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1380" w:type="dxa"/>
            <w:vAlign w:val="bottom"/>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7.</w:t>
              </w:r>
            </w:hyperlink>
          </w:p>
        </w:tc>
        <w:tc>
          <w:tcPr>
            <w:tcW w:w="8900" w:type="dxa"/>
            <w:vAlign w:val="bottom"/>
            <w:gridSpan w:val="2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Narrative Analysis of Results of Operations</w:t>
              </w:r>
            </w:hyperlink>
          </w:p>
        </w:tc>
        <w:tc>
          <w:tcPr>
            <w:tcW w:w="1080" w:type="dxa"/>
            <w:vAlign w:val="bottom"/>
            <w:gridSpan w:val="4"/>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21</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0" w:type="dxa"/>
            <w:vAlign w:val="bottom"/>
            <w:gridSpan w:val="2"/>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Item 7A.</w:t>
              </w:r>
            </w:hyperlink>
          </w:p>
        </w:tc>
        <w:tc>
          <w:tcPr>
            <w:tcW w:w="780" w:type="dxa"/>
            <w:vAlign w:val="bottom"/>
            <w:gridSpan w:val="2"/>
          </w:tcPr>
          <w:p>
            <w:pPr>
              <w:spacing w:after="0"/>
              <w:rPr>
                <w:sz w:val="21"/>
                <w:szCs w:val="21"/>
                <w:color w:val="auto"/>
              </w:rPr>
            </w:pPr>
          </w:p>
        </w:tc>
        <w:tc>
          <w:tcPr>
            <w:tcW w:w="8900" w:type="dxa"/>
            <w:vAlign w:val="bottom"/>
            <w:gridSpan w:val="2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108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32</w:t>
              </w:r>
            </w:hyperlink>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0" w:type="dxa"/>
            <w:vAlign w:val="bottom"/>
            <w:gridSpan w:val="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8.</w:t>
              </w:r>
            </w:hyperlink>
          </w:p>
        </w:tc>
        <w:tc>
          <w:tcPr>
            <w:tcW w:w="780" w:type="dxa"/>
            <w:vAlign w:val="bottom"/>
            <w:gridSpan w:val="2"/>
          </w:tcPr>
          <w:p>
            <w:pPr>
              <w:spacing w:after="0"/>
              <w:rPr>
                <w:sz w:val="21"/>
                <w:szCs w:val="21"/>
                <w:color w:val="auto"/>
              </w:rPr>
            </w:pPr>
          </w:p>
        </w:tc>
        <w:tc>
          <w:tcPr>
            <w:tcW w:w="430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Financial Statements and Supplementary Data</w:t>
              </w:r>
            </w:hyperlink>
          </w:p>
        </w:tc>
        <w:tc>
          <w:tcPr>
            <w:tcW w:w="4600" w:type="dxa"/>
            <w:vAlign w:val="bottom"/>
            <w:gridSpan w:val="7"/>
          </w:tcPr>
          <w:p>
            <w:pPr>
              <w:spacing w:after="0"/>
              <w:rPr>
                <w:sz w:val="21"/>
                <w:szCs w:val="21"/>
                <w:color w:val="auto"/>
              </w:rPr>
            </w:pPr>
          </w:p>
        </w:tc>
        <w:tc>
          <w:tcPr>
            <w:tcW w:w="1080" w:type="dxa"/>
            <w:vAlign w:val="bottom"/>
            <w:gridSpan w:val="4"/>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33</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380" w:type="dxa"/>
            <w:vAlign w:val="bottom"/>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9.</w:t>
              </w:r>
            </w:hyperlink>
          </w:p>
        </w:tc>
        <w:tc>
          <w:tcPr>
            <w:tcW w:w="8900" w:type="dxa"/>
            <w:vAlign w:val="bottom"/>
            <w:gridSpan w:val="2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Changes in and Disagreements with Accountants on Accounting and Financial Disclosure</w:t>
              </w:r>
            </w:hyperlink>
          </w:p>
        </w:tc>
        <w:tc>
          <w:tcPr>
            <w:tcW w:w="1080" w:type="dxa"/>
            <w:vAlign w:val="bottom"/>
            <w:gridSpan w:val="4"/>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33</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0" w:type="dxa"/>
            <w:vAlign w:val="bottom"/>
            <w:gridSpan w:val="2"/>
          </w:tcPr>
          <w:p>
            <w:pPr>
              <w:spacing w:after="0"/>
              <w:rPr>
                <w:rFonts w:ascii="Arial" w:cs="Arial" w:eastAsia="Arial" w:hAnsi="Arial"/>
                <w:sz w:val="18"/>
                <w:szCs w:val="18"/>
                <w:color w:val="0000EE"/>
                <w:w w:val="83"/>
              </w:rPr>
            </w:pPr>
            <w:hyperlink w:anchor="page37">
              <w:r>
                <w:rPr>
                  <w:rFonts w:ascii="Arial" w:cs="Arial" w:eastAsia="Arial" w:hAnsi="Arial"/>
                  <w:sz w:val="18"/>
                  <w:szCs w:val="18"/>
                  <w:color w:val="0000EE"/>
                  <w:w w:val="83"/>
                </w:rPr>
                <w:t>Item 9A.</w:t>
              </w:r>
            </w:hyperlink>
          </w:p>
        </w:tc>
        <w:tc>
          <w:tcPr>
            <w:tcW w:w="780" w:type="dxa"/>
            <w:vAlign w:val="bottom"/>
            <w:gridSpan w:val="2"/>
          </w:tcPr>
          <w:p>
            <w:pPr>
              <w:spacing w:after="0"/>
              <w:rPr>
                <w:sz w:val="21"/>
                <w:szCs w:val="21"/>
                <w:color w:val="auto"/>
              </w:rPr>
            </w:pPr>
          </w:p>
        </w:tc>
        <w:tc>
          <w:tcPr>
            <w:tcW w:w="8900" w:type="dxa"/>
            <w:vAlign w:val="bottom"/>
            <w:gridSpan w:val="2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1080" w:type="dxa"/>
            <w:vAlign w:val="bottom"/>
            <w:gridSpan w:val="4"/>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33</w:t>
              </w:r>
            </w:hyperlink>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0" w:type="dxa"/>
            <w:vAlign w:val="bottom"/>
            <w:gridSpan w:val="2"/>
          </w:tcPr>
          <w:p>
            <w:pPr>
              <w:spacing w:after="0"/>
              <w:rPr>
                <w:rFonts w:ascii="Arial" w:cs="Arial" w:eastAsia="Arial" w:hAnsi="Arial"/>
                <w:sz w:val="18"/>
                <w:szCs w:val="18"/>
                <w:color w:val="0000EE"/>
                <w:w w:val="83"/>
              </w:rPr>
            </w:pPr>
            <w:hyperlink w:anchor="page38">
              <w:r>
                <w:rPr>
                  <w:rFonts w:ascii="Arial" w:cs="Arial" w:eastAsia="Arial" w:hAnsi="Arial"/>
                  <w:sz w:val="18"/>
                  <w:szCs w:val="18"/>
                  <w:color w:val="0000EE"/>
                  <w:w w:val="83"/>
                </w:rPr>
                <w:t>Item 9B.</w:t>
              </w:r>
            </w:hyperlink>
          </w:p>
        </w:tc>
        <w:tc>
          <w:tcPr>
            <w:tcW w:w="780" w:type="dxa"/>
            <w:vAlign w:val="bottom"/>
            <w:gridSpan w:val="2"/>
          </w:tcPr>
          <w:p>
            <w:pPr>
              <w:spacing w:after="0"/>
              <w:rPr>
                <w:sz w:val="21"/>
                <w:szCs w:val="21"/>
                <w:color w:val="auto"/>
              </w:rPr>
            </w:pPr>
          </w:p>
        </w:tc>
        <w:tc>
          <w:tcPr>
            <w:tcW w:w="1760" w:type="dxa"/>
            <w:vAlign w:val="bottom"/>
            <w:gridSpan w:val="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7140" w:type="dxa"/>
            <w:vAlign w:val="bottom"/>
            <w:gridSpan w:val="18"/>
          </w:tcPr>
          <w:p>
            <w:pPr>
              <w:spacing w:after="0"/>
              <w:rPr>
                <w:sz w:val="21"/>
                <w:szCs w:val="21"/>
                <w:color w:val="auto"/>
              </w:rPr>
            </w:pPr>
          </w:p>
        </w:tc>
        <w:tc>
          <w:tcPr>
            <w:tcW w:w="108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34</w:t>
              </w:r>
            </w:hyperlink>
          </w:p>
        </w:tc>
      </w:tr>
      <w:tr>
        <w:trPr>
          <w:trHeight w:val="520"/>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Borders>
              <w:bottom w:val="single" w:sz="8" w:color="0000EE"/>
            </w:tcBorders>
            <w:gridSpan w:val="8"/>
          </w:tcPr>
          <w:p>
            <w:pPr>
              <w:jc w:val="cente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III</w:t>
              </w:r>
            </w:hyperlink>
          </w:p>
        </w:tc>
        <w:tc>
          <w:tcPr>
            <w:tcW w:w="424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61"/>
        </w:trPr>
        <w:tc>
          <w:tcPr>
            <w:tcW w:w="40" w:type="dxa"/>
            <w:vAlign w:val="bottom"/>
          </w:tcPr>
          <w:p>
            <w:pPr>
              <w:spacing w:after="0"/>
              <w:rPr>
                <w:sz w:val="24"/>
                <w:szCs w:val="24"/>
                <w:color w:val="auto"/>
              </w:rPr>
            </w:pPr>
          </w:p>
        </w:tc>
        <w:tc>
          <w:tcPr>
            <w:tcW w:w="1380" w:type="dxa"/>
            <w:vAlign w:val="bottom"/>
            <w:gridSpan w:val="4"/>
          </w:tcPr>
          <w:p>
            <w:pPr>
              <w:spacing w:after="0"/>
              <w:rPr>
                <w:sz w:val="20"/>
                <w:szCs w:val="20"/>
                <w:color w:val="auto"/>
              </w:rPr>
            </w:pPr>
            <w:r>
              <w:rPr>
                <w:rFonts w:ascii="Arial" w:cs="Arial" w:eastAsia="Arial" w:hAnsi="Arial"/>
                <w:sz w:val="18"/>
                <w:szCs w:val="18"/>
                <w:color w:val="auto"/>
              </w:rPr>
              <w:t>Item 10.</w:t>
            </w:r>
          </w:p>
        </w:tc>
        <w:tc>
          <w:tcPr>
            <w:tcW w:w="8900" w:type="dxa"/>
            <w:vAlign w:val="bottom"/>
            <w:gridSpan w:val="25"/>
          </w:tcPr>
          <w:p>
            <w:pPr>
              <w:spacing w:after="0"/>
              <w:rPr>
                <w:sz w:val="20"/>
                <w:szCs w:val="20"/>
                <w:color w:val="auto"/>
              </w:rPr>
            </w:pPr>
            <w:r>
              <w:rPr>
                <w:rFonts w:ascii="Arial" w:cs="Arial" w:eastAsia="Arial" w:hAnsi="Arial"/>
                <w:sz w:val="18"/>
                <w:szCs w:val="18"/>
                <w:color w:val="auto"/>
              </w:rPr>
              <w:t>Directors, Executive Officers and Corporate Governance</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tcPr>
          <w:p>
            <w:pPr>
              <w:spacing w:after="0"/>
              <w:rPr>
                <w:sz w:val="23"/>
                <w:szCs w:val="23"/>
                <w:color w:val="auto"/>
              </w:rPr>
            </w:pPr>
          </w:p>
        </w:tc>
        <w:tc>
          <w:tcPr>
            <w:tcW w:w="1380" w:type="dxa"/>
            <w:vAlign w:val="bottom"/>
            <w:gridSpan w:val="4"/>
          </w:tcPr>
          <w:p>
            <w:pPr>
              <w:spacing w:after="0"/>
              <w:rPr>
                <w:sz w:val="20"/>
                <w:szCs w:val="20"/>
                <w:color w:val="auto"/>
              </w:rPr>
            </w:pPr>
            <w:r>
              <w:rPr>
                <w:rFonts w:ascii="Arial" w:cs="Arial" w:eastAsia="Arial" w:hAnsi="Arial"/>
                <w:sz w:val="18"/>
                <w:szCs w:val="18"/>
                <w:color w:val="auto"/>
              </w:rPr>
              <w:t>Item 11.</w:t>
            </w:r>
          </w:p>
        </w:tc>
        <w:tc>
          <w:tcPr>
            <w:tcW w:w="8900" w:type="dxa"/>
            <w:vAlign w:val="bottom"/>
            <w:gridSpan w:val="25"/>
          </w:tcPr>
          <w:p>
            <w:pPr>
              <w:spacing w:after="0"/>
              <w:rPr>
                <w:sz w:val="20"/>
                <w:szCs w:val="20"/>
                <w:color w:val="auto"/>
              </w:rPr>
            </w:pPr>
            <w:r>
              <w:rPr>
                <w:rFonts w:ascii="Arial" w:cs="Arial" w:eastAsia="Arial" w:hAnsi="Arial"/>
                <w:sz w:val="18"/>
                <w:szCs w:val="18"/>
                <w:color w:val="auto"/>
              </w:rPr>
              <w:t>Executive Compensation</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tcPr>
          <w:p>
            <w:pPr>
              <w:spacing w:after="0"/>
              <w:rPr>
                <w:sz w:val="23"/>
                <w:szCs w:val="23"/>
                <w:color w:val="auto"/>
              </w:rPr>
            </w:pPr>
          </w:p>
        </w:tc>
        <w:tc>
          <w:tcPr>
            <w:tcW w:w="1380" w:type="dxa"/>
            <w:vAlign w:val="bottom"/>
            <w:gridSpan w:val="4"/>
          </w:tcPr>
          <w:p>
            <w:pPr>
              <w:spacing w:after="0"/>
              <w:rPr>
                <w:sz w:val="20"/>
                <w:szCs w:val="20"/>
                <w:color w:val="auto"/>
              </w:rPr>
            </w:pPr>
            <w:r>
              <w:rPr>
                <w:rFonts w:ascii="Arial" w:cs="Arial" w:eastAsia="Arial" w:hAnsi="Arial"/>
                <w:sz w:val="18"/>
                <w:szCs w:val="18"/>
                <w:color w:val="auto"/>
              </w:rPr>
              <w:t>Item 12.</w:t>
            </w:r>
          </w:p>
        </w:tc>
        <w:tc>
          <w:tcPr>
            <w:tcW w:w="8900" w:type="dxa"/>
            <w:vAlign w:val="bottom"/>
            <w:gridSpan w:val="25"/>
          </w:tcPr>
          <w:p>
            <w:pPr>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tcPr>
          <w:p>
            <w:pPr>
              <w:spacing w:after="0"/>
              <w:rPr>
                <w:sz w:val="23"/>
                <w:szCs w:val="23"/>
                <w:color w:val="auto"/>
              </w:rPr>
            </w:pPr>
          </w:p>
        </w:tc>
        <w:tc>
          <w:tcPr>
            <w:tcW w:w="1380" w:type="dxa"/>
            <w:vAlign w:val="bottom"/>
            <w:gridSpan w:val="4"/>
          </w:tcPr>
          <w:p>
            <w:pPr>
              <w:spacing w:after="0"/>
              <w:rPr>
                <w:sz w:val="20"/>
                <w:szCs w:val="20"/>
                <w:color w:val="auto"/>
              </w:rPr>
            </w:pPr>
            <w:r>
              <w:rPr>
                <w:rFonts w:ascii="Arial" w:cs="Arial" w:eastAsia="Arial" w:hAnsi="Arial"/>
                <w:sz w:val="18"/>
                <w:szCs w:val="18"/>
                <w:color w:val="auto"/>
              </w:rPr>
              <w:t>Item 13.</w:t>
            </w:r>
          </w:p>
        </w:tc>
        <w:tc>
          <w:tcPr>
            <w:tcW w:w="8900" w:type="dxa"/>
            <w:vAlign w:val="bottom"/>
            <w:gridSpan w:val="25"/>
          </w:tcPr>
          <w:p>
            <w:pPr>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1380" w:type="dxa"/>
            <w:vAlign w:val="bottom"/>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14.</w:t>
              </w:r>
            </w:hyperlink>
          </w:p>
        </w:tc>
        <w:tc>
          <w:tcPr>
            <w:tcW w:w="8900" w:type="dxa"/>
            <w:vAlign w:val="bottom"/>
            <w:gridSpan w:val="2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Principal Accounting Fees and Services</w:t>
              </w:r>
            </w:hyperlink>
          </w:p>
        </w:tc>
        <w:tc>
          <w:tcPr>
            <w:tcW w:w="1080" w:type="dxa"/>
            <w:vAlign w:val="bottom"/>
            <w:gridSpan w:val="4"/>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35</w:t>
              </w:r>
            </w:hyperlink>
          </w:p>
        </w:tc>
      </w:tr>
      <w:tr>
        <w:trPr>
          <w:trHeight w:val="520"/>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960" w:type="dxa"/>
            <w:vAlign w:val="bottom"/>
            <w:gridSpan w:val="11"/>
          </w:tcPr>
          <w:p>
            <w:pPr>
              <w:jc w:val="center"/>
              <w:ind w:right="4240"/>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IV</w:t>
              </w:r>
            </w:hyperlink>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600" w:type="dxa"/>
            <w:vAlign w:val="bottom"/>
            <w:gridSpan w:val="2"/>
          </w:tcPr>
          <w:p>
            <w:pPr>
              <w:spacing w:after="0"/>
              <w:rPr>
                <w:rFonts w:ascii="Arial" w:cs="Arial" w:eastAsia="Arial" w:hAnsi="Arial"/>
                <w:sz w:val="18"/>
                <w:szCs w:val="18"/>
                <w:color w:val="0000EE"/>
                <w:w w:val="86"/>
              </w:rPr>
            </w:pPr>
            <w:hyperlink w:anchor="page40">
              <w:r>
                <w:rPr>
                  <w:rFonts w:ascii="Arial" w:cs="Arial" w:eastAsia="Arial" w:hAnsi="Arial"/>
                  <w:sz w:val="18"/>
                  <w:szCs w:val="18"/>
                  <w:color w:val="0000EE"/>
                  <w:w w:val="86"/>
                </w:rPr>
                <w:t>Item 15.</w:t>
              </w:r>
            </w:hyperlink>
          </w:p>
        </w:tc>
        <w:tc>
          <w:tcPr>
            <w:tcW w:w="780" w:type="dxa"/>
            <w:vAlign w:val="bottom"/>
            <w:gridSpan w:val="2"/>
          </w:tcPr>
          <w:p>
            <w:pPr>
              <w:spacing w:after="0"/>
              <w:rPr>
                <w:sz w:val="24"/>
                <w:szCs w:val="24"/>
                <w:color w:val="auto"/>
              </w:rPr>
            </w:pPr>
          </w:p>
        </w:tc>
        <w:tc>
          <w:tcPr>
            <w:tcW w:w="2900" w:type="dxa"/>
            <w:vAlign w:val="bottom"/>
            <w:gridSpan w:val="11"/>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Exhibits, Financial Statement Schedules</w:t>
              </w:r>
            </w:hyperlink>
          </w:p>
        </w:tc>
        <w:tc>
          <w:tcPr>
            <w:tcW w:w="1060" w:type="dxa"/>
            <w:vAlign w:val="bottom"/>
            <w:gridSpan w:val="4"/>
          </w:tcPr>
          <w:p>
            <w:pPr>
              <w:spacing w:after="0"/>
              <w:rPr>
                <w:sz w:val="24"/>
                <w:szCs w:val="24"/>
                <w:color w:val="auto"/>
              </w:rPr>
            </w:pPr>
          </w:p>
        </w:tc>
        <w:tc>
          <w:tcPr>
            <w:tcW w:w="680" w:type="dxa"/>
            <w:vAlign w:val="bottom"/>
            <w:tcBorders>
              <w:top w:val="single" w:sz="8" w:color="0000EE"/>
            </w:tcBorders>
            <w:gridSpan w:val="6"/>
          </w:tcPr>
          <w:p>
            <w:pPr>
              <w:spacing w:after="0"/>
              <w:rPr>
                <w:sz w:val="24"/>
                <w:szCs w:val="24"/>
                <w:color w:val="auto"/>
              </w:rPr>
            </w:pPr>
          </w:p>
        </w:tc>
        <w:tc>
          <w:tcPr>
            <w:tcW w:w="4260" w:type="dxa"/>
            <w:vAlign w:val="bottom"/>
            <w:gridSpan w:val="4"/>
          </w:tcPr>
          <w:p>
            <w:pPr>
              <w:spacing w:after="0"/>
              <w:rPr>
                <w:sz w:val="24"/>
                <w:szCs w:val="24"/>
                <w:color w:val="auto"/>
              </w:rPr>
            </w:pPr>
          </w:p>
        </w:tc>
        <w:tc>
          <w:tcPr>
            <w:tcW w:w="1080" w:type="dxa"/>
            <w:vAlign w:val="bottom"/>
            <w:gridSpan w:val="4"/>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36</w:t>
              </w:r>
            </w:hyperlink>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60" w:type="dxa"/>
            <w:vAlign w:val="bottom"/>
            <w:gridSpan w:val="1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0" w:type="dxa"/>
            <w:vAlign w:val="bottom"/>
            <w:gridSpan w:val="2"/>
          </w:tcPr>
          <w:p>
            <w:pPr>
              <w:spacing w:after="0"/>
              <w:rPr>
                <w:rFonts w:ascii="Arial" w:cs="Arial" w:eastAsia="Arial" w:hAnsi="Arial"/>
                <w:sz w:val="18"/>
                <w:szCs w:val="18"/>
                <w:color w:val="0000EE"/>
                <w:w w:val="86"/>
              </w:rPr>
            </w:pPr>
            <w:hyperlink w:anchor="page45">
              <w:r>
                <w:rPr>
                  <w:rFonts w:ascii="Arial" w:cs="Arial" w:eastAsia="Arial" w:hAnsi="Arial"/>
                  <w:sz w:val="18"/>
                  <w:szCs w:val="18"/>
                  <w:color w:val="0000EE"/>
                  <w:w w:val="86"/>
                </w:rPr>
                <w:t>Item 16.</w:t>
              </w:r>
            </w:hyperlink>
          </w:p>
        </w:tc>
        <w:tc>
          <w:tcPr>
            <w:tcW w:w="780" w:type="dxa"/>
            <w:vAlign w:val="bottom"/>
            <w:gridSpan w:val="2"/>
          </w:tcPr>
          <w:p>
            <w:pPr>
              <w:spacing w:after="0"/>
              <w:rPr>
                <w:sz w:val="21"/>
                <w:szCs w:val="21"/>
                <w:color w:val="auto"/>
              </w:rPr>
            </w:pPr>
          </w:p>
        </w:tc>
        <w:tc>
          <w:tcPr>
            <w:tcW w:w="2900" w:type="dxa"/>
            <w:vAlign w:val="bottom"/>
            <w:gridSpan w:val="11"/>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Form 10K Summary</w:t>
              </w:r>
            </w:hyperlink>
          </w:p>
        </w:tc>
        <w:tc>
          <w:tcPr>
            <w:tcW w:w="6000" w:type="dxa"/>
            <w:vAlign w:val="bottom"/>
            <w:gridSpan w:val="14"/>
          </w:tcPr>
          <w:p>
            <w:pPr>
              <w:spacing w:after="0"/>
              <w:rPr>
                <w:sz w:val="21"/>
                <w:szCs w:val="21"/>
                <w:color w:val="auto"/>
              </w:rPr>
            </w:pPr>
          </w:p>
        </w:tc>
        <w:tc>
          <w:tcPr>
            <w:tcW w:w="1080" w:type="dxa"/>
            <w:vAlign w:val="bottom"/>
            <w:gridSpan w:val="4"/>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41</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5760" w:type="dxa"/>
            <w:vAlign w:val="bottom"/>
            <w:gridSpan w:val="1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EE"/>
                <w:w w:val="85"/>
              </w:rPr>
            </w:pPr>
            <w:hyperlink w:anchor="page46">
              <w:r>
                <w:rPr>
                  <w:rFonts w:ascii="Arial" w:cs="Arial" w:eastAsia="Arial" w:hAnsi="Arial"/>
                  <w:sz w:val="18"/>
                  <w:szCs w:val="18"/>
                  <w:color w:val="0000EE"/>
                  <w:w w:val="85"/>
                </w:rPr>
                <w:t>Signatures</w:t>
              </w:r>
            </w:hyperlink>
          </w:p>
        </w:tc>
        <w:tc>
          <w:tcPr>
            <w:tcW w:w="720" w:type="dxa"/>
            <w:vAlign w:val="bottom"/>
            <w:gridSpan w:val="3"/>
          </w:tcPr>
          <w:p>
            <w:pPr>
              <w:spacing w:after="0"/>
              <w:rPr>
                <w:sz w:val="21"/>
                <w:szCs w:val="21"/>
                <w:color w:val="auto"/>
              </w:rPr>
            </w:pPr>
          </w:p>
        </w:tc>
        <w:tc>
          <w:tcPr>
            <w:tcW w:w="7420" w:type="dxa"/>
            <w:vAlign w:val="bottom"/>
            <w:gridSpan w:val="19"/>
          </w:tcPr>
          <w:p>
            <w:pPr>
              <w:spacing w:after="0"/>
              <w:rPr>
                <w:sz w:val="21"/>
                <w:szCs w:val="21"/>
                <w:color w:val="auto"/>
              </w:rPr>
            </w:pPr>
          </w:p>
        </w:tc>
        <w:tc>
          <w:tcPr>
            <w:tcW w:w="1080" w:type="dxa"/>
            <w:vAlign w:val="bottom"/>
            <w:gridSpan w:val="4"/>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42</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380" w:type="dxa"/>
            <w:vAlign w:val="bottom"/>
            <w:gridSpan w:val="9"/>
          </w:tcPr>
          <w:p>
            <w:pPr>
              <w:spacing w:after="0" w:line="20" w:lineRule="exact"/>
              <w:rPr>
                <w:sz w:val="1"/>
                <w:szCs w:val="1"/>
                <w:color w:val="auto"/>
              </w:rPr>
            </w:pPr>
          </w:p>
        </w:tc>
        <w:tc>
          <w:tcPr>
            <w:tcW w:w="5760" w:type="dxa"/>
            <w:vAlign w:val="bottom"/>
            <w:gridSpan w:val="1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Index to Consolidated Financial Statements</w:t>
              </w:r>
            </w:hyperlink>
          </w:p>
        </w:tc>
        <w:tc>
          <w:tcPr>
            <w:tcW w:w="5760" w:type="dxa"/>
            <w:vAlign w:val="bottom"/>
            <w:gridSpan w:val="13"/>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F-1</w:t>
              </w:r>
            </w:hyperlink>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This item has been omitted pursuant to the reduced disclosure format as set forth in General Instructions (I) (2) (a) and (c) of Form 10-K.</w:t>
      </w:r>
    </w:p>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DISCLOSURE REGARDING FORWARD 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Annual Report on Form 10-K (“Form 10-K”)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plans, objectives, strategies, and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Form 10-K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34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reliance on our primary customer, DISH Network Corporation and its subsidiaries (“DISH Network”), for a significant portion of our revenue;</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strategic initiatives;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and uncertainties associated with the pending Share Exchange with DISH Network (as described below);</w:t>
      </w:r>
    </w:p>
    <w:p>
      <w:pPr>
        <w:spacing w:after="0" w:line="171"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risks related to the construction, launch and operation of our satellites, such as the risk of material malfunction on one or more of our satellites, risks resulting from delays or failures of launches of our satellites, changes in the space weather environment that could interfere with the operation of our satellites, and our general lack of commercial insurance coverage on our satellites;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adequately anticipate the need for satellite capacity or the inability to obtain satellite capacity for our Hughes segment;</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failure of third-party providers of components, manufacturing, installation services and customer support services to appropriately deliver the contracted goods or services;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bring advanced technologies to market to keep pace with our customers and competitors; and</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related to our foreign operations and other uncertainties associated with doing business internationally, including changes in foreign exchange rates between foreign currencies and the United States dollar, economic instability and political disturbances.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Other factors that could cause or contribute to such differences include, but are not limited to, those discussed in Part I, Item 1A. — Risk Factors and Item 7.</w:t>
      </w:r>
    </w:p>
    <w:p>
      <w:pPr>
        <w:spacing w:after="0" w:line="46"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 Management’s Narrative Analysis of Results of Operations of this Form 10-K and those discussed in other documents we file with the Securities and Exchange Commission (“SEC”).</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187" w:lineRule="exact"/>
        <w:rPr>
          <w:sz w:val="20"/>
          <w:szCs w:val="20"/>
          <w:color w:val="auto"/>
        </w:rPr>
      </w:pPr>
    </w:p>
    <w:p>
      <w:pPr>
        <w:ind w:right="40"/>
        <w:spacing w:after="0" w:line="221" w:lineRule="exact"/>
        <w:rPr>
          <w:sz w:val="20"/>
          <w:szCs w:val="20"/>
          <w:color w:val="auto"/>
        </w:rPr>
      </w:pPr>
      <w:r>
        <w:rPr>
          <w:rFonts w:ascii="Arial" w:cs="Arial" w:eastAsia="Arial" w:hAnsi="Arial"/>
          <w:sz w:val="16"/>
          <w:szCs w:val="16"/>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We assume no responsibility for updating forward</w:t>
      </w:r>
      <w:r>
        <w:rPr>
          <w:rFonts w:ascii="MS PGothic" w:cs="MS PGothic" w:eastAsia="MS PGothic" w:hAnsi="MS PGothic"/>
          <w:sz w:val="16"/>
          <w:szCs w:val="16"/>
          <w:color w:val="auto"/>
        </w:rPr>
        <w:t>‑</w:t>
      </w:r>
      <w:r>
        <w:rPr>
          <w:rFonts w:ascii="Arial" w:cs="Arial" w:eastAsia="Arial" w:hAnsi="Arial"/>
          <w:sz w:val="16"/>
          <w:szCs w:val="16"/>
          <w:color w:val="auto"/>
        </w:rPr>
        <w:t>looking information contained or incorporated by reference herein or in any documents we file with the SEC.</w:t>
      </w:r>
    </w:p>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Hughes Satellite Systems Corporation (which, together with its subsidiaries, is referred to as “HSS,” the “Company,” “we,” “us” and/or “our”) is a holding company and a subsidiary of EchoStar Corporation (“EchoStar”). We are a global provider of satellite service operations, video delivery solutions, broadband satellite technologies and broadband services for home and small office customers. We deliver innovative network technologies, managed services, and various communications solutions for enterprise and government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currently operate in the following two business segments:</w:t>
      </w:r>
    </w:p>
    <w:p>
      <w:pPr>
        <w:spacing w:after="0" w:line="225" w:lineRule="exact"/>
        <w:rPr>
          <w:sz w:val="20"/>
          <w:szCs w:val="20"/>
          <w:color w:val="auto"/>
        </w:rPr>
      </w:pPr>
    </w:p>
    <w:p>
      <w:pPr>
        <w:ind w:left="660" w:right="100" w:hanging="328"/>
        <w:spacing w:after="0" w:line="257" w:lineRule="auto"/>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Hughes </w:t>
      </w:r>
      <w:r>
        <w:rPr>
          <w:rFonts w:ascii="Arial" w:cs="Arial" w:eastAsia="Arial" w:hAnsi="Arial"/>
          <w:sz w:val="18"/>
          <w:szCs w:val="18"/>
          <w:color w:val="auto"/>
        </w:rPr>
        <w:t>— which provides broadband satellite technologies and broadband services to home and small office customers and network technologies,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managed services and communication solutions to domestic and international consumers and enterprise and government customers. The Hughes segment also provides managed services, hardware, and satellite services to large enterprises and government customers, and designs, provides and installs gateway and terminal equipment to customers for other satellite systems. In addition, our Hughes segment provides satellite ground segment systems and terminals to mobile system operators.</w:t>
      </w:r>
    </w:p>
    <w:p>
      <w:pPr>
        <w:spacing w:after="0" w:line="188" w:lineRule="exact"/>
        <w:rPr>
          <w:rFonts w:ascii="Arial" w:cs="Arial" w:eastAsia="Arial" w:hAnsi="Arial"/>
          <w:sz w:val="18"/>
          <w:szCs w:val="18"/>
          <w:b w:val="1"/>
          <w:bCs w:val="1"/>
          <w:i w:val="1"/>
          <w:iCs w:val="1"/>
          <w:color w:val="auto"/>
        </w:rPr>
      </w:pPr>
    </w:p>
    <w:p>
      <w:pPr>
        <w:ind w:left="660" w:right="4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EchoStar Satellite Services (“ESS”) </w:t>
      </w:r>
      <w:r>
        <w:rPr>
          <w:rFonts w:ascii="Arial" w:cs="Arial" w:eastAsia="Arial" w:hAnsi="Arial"/>
          <w:sz w:val="18"/>
          <w:szCs w:val="18"/>
          <w:color w:val="auto"/>
        </w:rPr>
        <w:t>— which uses certain of our owned and leased in-orbit satellites and related licenses to provide satellite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and video delivery solutions on a full-time and occasional-use basis primarily to DISH Network Corporation and its subsidiaries (“DISH Network”), Dish Mexico, S. de R.L. de C.V. (“Dish Mexico”), a joint venture that EchoStar entered into in 2008, United States (“U.S.”) government service providers, internet service providers, broadcast news organizations, programmers, and private enterprise customers. We also manage satellite operations for several satellites owned by third parties.</w:t>
      </w:r>
    </w:p>
    <w:p>
      <w:pPr>
        <w:spacing w:after="0" w:line="18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were formed as a Colorado corporation in March 2011 to facilitate the acquisition (the “Hughes Acquisition”) of Hughes Communications, Inc. and its subsidiaries (“Hughes Communications”) and related financing transactions. In connection with our formation, EchoStar contributed the assets and liabilities of its satellite services business, including the principal operating subsidiary of its satellite services business, EchoStar Satellite Services L.L.C., to us. In addition, as a result of the Satellite and Tracking Stock Transaction described in Note 3 in the notes to consolidated financial statements in Item 15 of this report, DISH Network owns shares of our preferred tracking stock representing a 28.11% economic interest in the residential retail satellite broadband business of our Hughes segment. DISH Network also owns shares of preferred tracking stock issued by EchoStar Corporation, which together with our preferred tracking stock represents an aggregate 80.0% economic interest in the residential retail satellite broadband business of our Hughes segment. The tracking stock is an equity security and the rights of DISH Network, as the holder of the tracking stock, in our assets are subject to the claims of our creditors. In addition, a substantial majority of the voting power of the shares of EchoStar and DISH Network is owned beneficially by Charles W. Ergen, our Chairman, and by certain trusts established by Mr. Ergen for the benefit of his family.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SHARE EXCHANGE</w:t>
      </w:r>
    </w:p>
    <w:p>
      <w:pPr>
        <w:spacing w:after="0" w:line="1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January 31, 2017, our parent company EchoStar and certain of our and EchoStar’s subsidiaries entered into a Share Exchange Agreement (the “Share Exchange Agreement”) among DISH Network Corporation (“DISH”), DISH Network L.L.C., an indirect wholly owned subsidiary of DISH (“DNLLC”), DISH Operating L.L.C., a direct wholly owned subsidiary of DNLLC (“DOLLC” and, collectively with DISH and DNLLC, the “DISH Parties”), EchoStar, EchoStar Broadcasting Holding Parent L.L.C., our direct wholly owned subsidiary (“EB LLC”), EchoStar Broadcasting Holding Corporation, a direct wholly owned subsidiary of EB LLC (“EB Corp”), EchoStar Technologies Holding Corporation, a direct wholly owned subsidiary of EchoStar (“ET Corp”), and EchoStar Technologies L.L.C., a direct wholly owned subsidiary of EchoStar.</w:t>
      </w:r>
    </w:p>
    <w:p>
      <w:pPr>
        <w:spacing w:after="0" w:line="193"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Pursuant to the Share Exchange Agreement, among other things: (i) EchoStar will receive all of the shares of EchoStar Tracking Stock (as defined below) owned by DNLLC in exchange for 100% of the equity interests of ET Corp, which will hold that portion of the EchoStar Technologies business segment of EchoStar that (a) designs, develops and distributes secure end-to-end video technology solutions including digital set-top boxes and related products and technology, primarily for satellite TV service providers and telecommunication companies, (b) provides TV Anywhere technology through Slingbox® units directly to consumers via retail outlets and online, as well as to the pay-TV operator market, and (c) includes an over-the-top, Streaming Video on Demand platform business, which includes assets acquired from Sling TV Holding L.L.C. (formerly DISH Digital Holding L.L.C.) and primarily provides support services to DISH’s Sling TV™ operations, and (ii) EB LLC will receive all 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shares of HSS Tracking Stock (as defined below) owned by DOLLC in exchange for 100% of the equity interests of EB Corp, which will hold EchoStar’s business of providing online video delivery and satellite video delivery for broadcasters and pay-TV operators, including satellite uplinking/downlinking, transmission services, signal processing, conditional access management and other services (the “Uplinking Businesses”) ((i) and (ii) collectively, the “Share Exchange”). Pursuant to the Share Exchange Agreement, EchoStar will also transfer certain assets, investments in joint ventures, spectrum licenses and real estate properties and the DISH Parties will assume certain liabilities relating to the transferring assets and businesses. In connection with the Share Exchange, EchoStar and DISH Network and certain of their subsidiaries will enter into certain customary agreements covering, among other things, matters relating to taxes, employees, intellectual property and the provision of transitional services. The Share Exchange has been structured in a manner to be a tax-free exchange for each of EchoStar and DISH and their respective subsidiaries.</w:t>
      </w:r>
    </w:p>
    <w:p>
      <w:pPr>
        <w:spacing w:after="0" w:line="1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Prior to consummation of the Share Exchange, EchoStar is required to complete steps necessary for the transferring assets and liabilities that are being assumed by the DISH Parties to be owned by the transferring entities and their respective subsidiaries. As part of these steps, subsidiaries of EchoStar that currently own the Uplinking Businesses and related assets and liabilities will be contributed to EB Corp in consideration for additional shares of the Company’s common stock that will be issued to a subsidiary of EchoStar. Certain data center assets within the Uplinking Businesses will not be included in the Share Exchange and after consummation of the Share Exchange will continue to be owned by our subsidiaries and will be pledged as collateral to support our obligations under the Indentures (as defined below).</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2014, HSS issued shares of preferred stock (the “HSS Tracking Stock,”) to DOLLC. The HSS Tracking Stock tracks the economic performance of the residential retail satellite broadband business of our Hughes segment, including certain operations, assets and liabilities attributed to such business (collectively, the “Hughes Retail Group” or “HRG”), and represents a 28.11% economic interest in the Hughes Retail Group. Following the closing of the Share Exchange, the HSS Tracking Stock will be retired and all agreements, arrangements and policy statements with respect to, and terms of the HSS Tracking Stock will terminate and be of no further effect. For more information regarding the Tracking Stock, see Note 3 in the notes to consolidated financial statements in Item 15 of this report.</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Share Exchange is expected to be consummated three business days after the satisfaction or waiver of all of the closing conditions to the transaction (other than conditions that by their nature are to be satisfied at the closing, but subject to the satisfaction of those conditions at such time), but no earlier than February 28, 2017. The Share Exchange Agreement provides for customary termination rights of the parties, including the right of the parties to terminate the Share Exchange Agreement if the Share Exchange has not closed by March 31, 2017. The closing conditions to the transaction involving third parties or governmental approvals have been satisfied (other than those that by their nature are to be satisfied at the closing). While we currently expect the Share Exchange to be consummated on or about February 28, 2017, no assurance can be given that the Share Exchange will be consummated on the terms or within the time frame disclosed, or at all.</w:t>
      </w:r>
    </w:p>
    <w:p>
      <w:pPr>
        <w:spacing w:after="0" w:line="189"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See “Risks Related to the Pending Share Exchange” in Item 1A Risk Factors of this Annual Report on Form 10-K. For more information regarding the Share Exchange, see Note 18 in the notes to consolidated financial statements in Item 15 of this report and our Current Report on Form 8-K filed January 31, 2017.</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and accordingly file an annual report on Form 10-K, quarterly reports on Form 10-Q, current reports on Form 8-K, proxy statements, and other information with the Securities and Exchange Commission (“SEC”). The public may read and copy any materials filed with the SEC at the SEC’s Public Reference Room at 100 F Street, NE, Washington, D.C. 20549. Please call the SEC at (800) SEC-0330 for further information on the operation of the Public Reference Room. As an electronic filer, our public filings are also maintained on the SEC’s internet site that contains reports, proxy and information statements, and other information regarding issuers that file electronically with the SEC. The address of that website is http://www.sec.gov.</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annual report on Form 10-K, quarterly reports on Form 10-Q, current reports on Form 8-K, and amendments to those reports filed or furnished pursuant to Section 13(a) or 15(d) of the Securities Exchange Act of 1934, as amended, may also be accessed free of charge through the website of our parent company, EchoStar, as soon as reasonably practicable after we have electronically filed such material with, or furnished it to, the SEC. The address of that website is http://www.echostar.com.</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adopted a written code of ethics that applies to all of our directors, officers, and employees, including our principal executive officer and senior financial officers, in accordance with the Sarbanes-Oxley Act of 2002 and the rules of the SEC promulgated thereunder. Our code of ethics is available on our corporate website at http://www.echostar.com. In the event that we make changes in, or provide waivers of, the provisions of this code of ethics that the SEC requires us to disclose, we intend to disclose these events on our website.</w:t>
      </w:r>
    </w:p>
    <w:p>
      <w:pPr>
        <w:spacing w:after="0" w:line="18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risks and uncertainties described below are not the only ones facing us. If any of the following events occur, our business, financial condition, results of operation, prospects or ability to invest capital in our business could be materially and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 AFFECTING OUR BUSINESS</w:t>
      </w:r>
    </w:p>
    <w:p>
      <w:pPr>
        <w:spacing w:after="0" w:line="22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We currently derive a significant portion of our revenue from our primary customer, DISH Network. If the Share Exchange is not consummated, the loss of, or a significant reduction in, orders from, or a decrease in selling prices of broadband equipment and services, provision of satellite services and digital broadcast services, and/or other products, or services to DISH Network would significantly reduce our revenue and materially adversely impact our results of operations.</w:t>
      </w:r>
    </w:p>
    <w:p>
      <w:pPr>
        <w:spacing w:after="0" w:line="18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DISH Network accounted for 25.5%, 28.8% and 28.8% of our total revenue for the years ended December 31, 2016, 2015 and 2014, respectively. Our EchoStar Satellite Services (“ESS”) segment provides satellite services to DISH Network and DISH Network is also a wholesale distributor of the Hughes satellite internet service, and in connection with such wholesale distribution, purchases certain broadband equipment from us to support the sale of the Hughes service. Any material reduction in or termination of our sales to DISH Network or reduction in the prices it pays for the products and services it purchases from us could have a material adverse effect on our business, results of operations, and financial position.</w:t>
      </w:r>
    </w:p>
    <w:p>
      <w:pPr>
        <w:spacing w:after="0" w:line="1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DISH Network has only certain obligations to continue to purchase certain of our services from our ESS segment. Therefore, our relationship with DISH Network could be terminated or substantially curtailed with little or no advance notice. In addition, because a significant portion of the revenue of our ESS segment is derived from DISH Network, the success of our EchoStar Satellite Services segment also depends to a significant degree on the continued success of DISH Network in attracting new subscribers and marketing programming packages and other services.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Furthermore, if we lose DISH Network as a customer, it may be difficult for us to replace, in whole or in part, our historical revenue from DISH Network because there are a relatively small number of potential customers for our products and services, and we have had limited success in attracting such potential new customers in the past. Historically, many potential customers of our ESS segment have perceived us as a competitor due to our affiliation with DISH Network. There can be no assurance that we will be successful in entering into any commercial relationships with potential new customers who are competitors of DISH Network (particularly if we continue to be perceived as affiliated with DISH Network as a result of common ownership and certain shared services). If we do not develop relationships with new customers, we may not be able to expand our customer base or maintain or increase our revenue.</w:t>
      </w:r>
    </w:p>
    <w:p>
      <w:pPr>
        <w:spacing w:after="0" w:line="185"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Our strategic initiatives may not be successfully implemented, may not elicit the expected customer response in the market and may result in competitive reactions.</w:t>
      </w:r>
    </w:p>
    <w:p>
      <w:pPr>
        <w:spacing w:after="0" w:line="16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successful implementation of our strategic initiatives requires an investment of time, talent and money and is dependent upon a number of factors some of which are not within our control. Those factors include the ability to execute such initiatives in the market, the response of existing and potential new customers, and the actions or reactions of competitors. We may allocate significant resources for long-term initiatives that may not have a short or medium term or any positive impact on our revenue, results of operations, or cash flow. If we fail to properly execute or deliver products or services that address customers’ expectations, it may have an adverse effect on our ability to retain and attract customers and may increase our costs and reduce our revenue. Similarly, competitive actions or reactions to our initiatives or advancements in technology or competitive products or services could impair our ability to execute those strategic initiatives or advancements. In addition, new strategic initiatives may face barriers to entering existing markets with established competitors. There can be no assurance that we will successfully implement these strategic initiatives or that, if successfully pursued, they will have the desired effect on our business or results of operations.</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125" w:right="3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face decreased demand and increased pricing pressure to our products and services due to competition.</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Our business operates in an intensely competitive, consumer-driven and rapidly changing environment and competes with a growing number of companies that provide products and services to consumers. Risks to our business from competition include, but are not limited to, the following:</w:t>
      </w:r>
    </w:p>
    <w:p>
      <w:pPr>
        <w:spacing w:after="0" w:line="147" w:lineRule="exact"/>
        <w:rPr>
          <w:sz w:val="20"/>
          <w:szCs w:val="20"/>
          <w:color w:val="auto"/>
        </w:rPr>
      </w:pPr>
    </w:p>
    <w:p>
      <w:pPr>
        <w:ind w:left="660" w:right="100" w:hanging="328"/>
        <w:spacing w:after="0" w:line="270"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EchoStar Satellite Services segment competes against larger, well-established satellite service companies, such as Intelsat S.A., SES S.A., Telesat Canada, and Eutelsat Communications S.A. Because the satellite services industry is relatively mature, our growth strategy depends largely on our ability to displace current incumbent providers, which often have the benefit of long-term contracts with customers. These long-term contracts and other factors result in relatively high costs for customers to change service providers, making it more difficult for us to displace customers from their current relationships with our competitors. In addition, the supply of satellite capacity available in the market has increased in recent years, which makes it more difficult for us to sell our services in certain markets and to price our capacity at acceptable levels. Competition may cause downward pressure on prices and further reduce the utilization of our capacity, both of which could have an adverse effect on our financial performance. Our ESS segment also competes with both fiber optic cable and terrestrial delivery systems, which may have a cost advantage, particularly in point-to-point applications where such delivery systems have been installed, and with new delivery systems being developed, which may have lower latency and other advantages.</w:t>
      </w:r>
    </w:p>
    <w:p>
      <w:pPr>
        <w:spacing w:after="0" w:line="42" w:lineRule="exact"/>
        <w:rPr>
          <w:rFonts w:ascii="Arial" w:cs="Arial" w:eastAsia="Arial" w:hAnsi="Arial"/>
          <w:sz w:val="17"/>
          <w:szCs w:val="17"/>
          <w:color w:val="auto"/>
        </w:rPr>
      </w:pPr>
    </w:p>
    <w:p>
      <w:pPr>
        <w:ind w:left="66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our consumer market, we face competition primarily from digital subscriber line (“DSL”), fiber and cable internet service providers. Also, other telecommunications, satellite and wireless broadband companies have launched or are planning the launch of consumer internet access services in competition with our service offerings in North America and Brazil. Some of these competitors offer consumer services and hardware at lower prices than ours. In addition, terrestrial alternatives do not require our external dish, which may limit customer acceptance of our products. We may be unsuccessful in competing effectively against DSL, fiber and cable internet service providers and other satellite broadband providers, which could harm our business, operating results and financial condition.</w:t>
      </w:r>
    </w:p>
    <w:p>
      <w:pPr>
        <w:spacing w:after="0" w:line="58" w:lineRule="exact"/>
        <w:rPr>
          <w:rFonts w:ascii="Arial" w:cs="Arial" w:eastAsia="Arial" w:hAnsi="Arial"/>
          <w:sz w:val="18"/>
          <w:szCs w:val="18"/>
          <w:color w:val="auto"/>
        </w:rPr>
      </w:pPr>
    </w:p>
    <w:p>
      <w:pPr>
        <w:ind w:left="660" w:right="40" w:hanging="328"/>
        <w:spacing w:after="0" w:line="26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our enterprise network communications market, we face competition from providers of terrestrial-based networks, such as fiber, DSL, cable modem service, multiprotocol label switching and internet protocol-based virtual private networks, which may have advantages over satellite networks for certain customer applications. Although we also sell terrestrial services to this market, we may not be as cost competitive and it may become more difficult for us to compete. The network communications industry is characterized by competitive pressures to provide enhanced functionality for the same or lower price with each new generation of technology. Terrestrial-based networks are offered by telecommunications carriers and other large companies, many of which have substantially greater financial resources and greater name recognition than us. As the prices of our products decrease, we will need to sell more products and/or reduce the per-unit costs to improve or maintain our results of operations. The costs of a satellite network may exceed those of a terrestrial-based network or other networks, especially in areas that have experienced significant DSL and cable internet build-out. It may become more difficult for us to compete with terrestrial and other providers as the number of these areas increases and the cost of their network and hardware services declines. Terrestrial networks also have a competitive edge because of lower latency for data transmission.</w:t>
      </w:r>
    </w:p>
    <w:p>
      <w:pPr>
        <w:spacing w:after="0" w:line="179"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may have available satellite capacity in our ESS segment, and our results of operations may be materially adversely affected if we are not able to provide satellite services on this capacity to third parties, including DISH Network.</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available satellite capacity in our ESS segment. While we are currently evaluating various opportunities to make profitable use of our available satellite capacity (including, but not limited to, supplying satellite capacity for new international ventures), there can be no assurance that we can successfully develop these business opportunities. If we are unable to utilize our available satellite capacity for providing satellite services to third parties, including DISH Network, our margins could be negatively impacted, and we may be required to record impairments related to our satellites.</w:t>
      </w:r>
    </w:p>
    <w:p>
      <w:pPr>
        <w:spacing w:after="0" w:line="16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failure to adequately anticipate the need for satellite capacity or the inability to obtain satellite capacity for our Hughes segment could harm our results of operations.</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Hughes segment has made substantial contractual commitments for satellite capacity based on our existing customer contracts and backlog. If our existing customer contracts were to be terminated prior to their respective expiration dates, we may be committed to maintaining excess satellite capacity for which we will have insufficient revenue to cover our costs, which would have a negative impact on our margins and results of operations. Alternatively, we may not have sufficient satellite capacity to meet demand. We have satellite capacity commitments, generally for two to five year terms, with third parties to cover different geographical areas or support different applications and features; therefore, we may not be able to quickly or easily adjust our capacity to changes in demand. We generally only purchase satellite capacity based on existing</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contracts and bookings. Therefore, capacity for certain types of coverage in the future may not be readily available to us, and we may not be able to satisfy certain needs of our customers, which could result in a loss of possible new business and could negatively impact the margins for those services. At present, until the launch and operation of additional satellites, there is limited availability of capacity on the frequencies we use in North America, including within our own fleet of satellites. Our ability to provide additional capacity for subscriber growth in our North American consumer market could also be adversely affected by regulations in the U.S. recently adopted by the FCC that enable the use of a portion of the frequency bands, including without limitation, the Ka-band, where we operate our broadband gateway earth stations, for 5G mobile terrestrial services, which could limit our flexibility to change the way in which we use the Ka-band in the future. In addition, the fixed satellite service (“FSS”) industry has seen consolidation in the past decade, and today, the main FSS providers in North America and a number of smaller regional providers own and operate the current satellites that are available for our capacity needs. The failure of any of these FSS providers to replace existing satellite assets at the end of their useful lives or a downturn in their industry as a whole could reduce or interrupt the satellite capacity available to us. If we are not able to renew our capacity leases at economically viable rates, or if capacity is not available due to problems experienced by these FSS providers, our business and results of operations could be adversely affected.</w:t>
      </w:r>
    </w:p>
    <w:p>
      <w:pPr>
        <w:spacing w:after="0" w:line="169"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b w:val="1"/>
          <w:bCs w:val="1"/>
          <w:color w:val="auto"/>
        </w:rPr>
        <w:t>We are dependent upon third-party providers for components, manufacturing, installation services, and customer support services, and our results of operations may be materially adversely affected if any of these third-party providers fail to appropriately deliver the contracted goods or services.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are dependent upon third-party services and products provided to us, including the following:</w:t>
      </w:r>
    </w:p>
    <w:p>
      <w:pPr>
        <w:spacing w:after="0" w:line="225" w:lineRule="exact"/>
        <w:rPr>
          <w:sz w:val="20"/>
          <w:szCs w:val="20"/>
          <w:color w:val="auto"/>
        </w:rPr>
      </w:pPr>
    </w:p>
    <w:p>
      <w:pPr>
        <w:ind w:left="660" w:hanging="328"/>
        <w:spacing w:after="0" w:line="26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Components</w:t>
      </w:r>
      <w:r>
        <w:rPr>
          <w:rFonts w:ascii="Arial" w:cs="Arial" w:eastAsia="Arial" w:hAnsi="Arial"/>
          <w:sz w:val="17"/>
          <w:szCs w:val="17"/>
          <w:color w:val="auto"/>
        </w:rPr>
        <w:t>. A limited number of suppliers manufacture, and in some cases a single supplier manufactures, some of the key components required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build our products. These key components may not be continually available and we may not be able to forecast our component requirements sufficiently in advance, which may have a detrimental effect on supply. If we are required to change suppliers for any reason, we would experience a delay in manufacturing our products if another supplier is not able to meet our requirements on a timely basis. In addition, if we are unable to obtain the necessary volumes of components on favorable terms or prices on a timely basis, we may be unable to produce our products at competitive prices and we may be unable to satisfy demand from our customers. Our reliance on a single or limited group of suppliers, particularly foreign suppliers, and our reliance on subcontractors, involves several risks. These risks include a potential inability to obtain an adequate supply of required components, reduced control over pricing, quality, and timely delivery of these components, and the potential bankruptcy, lack of liquidity or operational failure of our suppliers. We do not generally maintain long-term agreements with any of our suppliers or subcontractors for our products. An inability to obtain adequate deliveries or any other circumstances requiring us to seek alternative sources of supply could affect our ability to ship our products on a timely basis, which could damage our relationships with current and prospective customers and harm our business, resulting in a loss of market share, and reduced revenue and income.</w:t>
      </w:r>
    </w:p>
    <w:p>
      <w:pPr>
        <w:spacing w:after="0" w:line="44" w:lineRule="exact"/>
        <w:rPr>
          <w:rFonts w:ascii="Arial" w:cs="Arial" w:eastAsia="Arial" w:hAnsi="Arial"/>
          <w:sz w:val="17"/>
          <w:szCs w:val="17"/>
          <w:color w:val="auto"/>
        </w:rPr>
      </w:pPr>
    </w:p>
    <w:p>
      <w:pPr>
        <w:ind w:left="660" w:right="60" w:hanging="328"/>
        <w:spacing w:after="0" w:line="259" w:lineRule="auto"/>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Commodity Price Risk</w:t>
      </w:r>
      <w:r>
        <w:rPr>
          <w:rFonts w:ascii="Arial" w:cs="Arial" w:eastAsia="Arial" w:hAnsi="Arial"/>
          <w:sz w:val="18"/>
          <w:szCs w:val="18"/>
          <w:color w:val="auto"/>
        </w:rPr>
        <w:t>. Fluctuations in pricing of raw materials can affect our product costs. To the extent that component pricing does not decline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increases, whether due to inflation, increased demand, decreased supply or other factors, we may not be able to pass on the impact of increasing raw materials prices, component prices or labor and other costs, to our customers, and we may not be able to operate profitably. Such changes could have an adverse impact on our product costs.</w:t>
      </w:r>
    </w:p>
    <w:p>
      <w:pPr>
        <w:spacing w:after="0" w:line="51" w:lineRule="exact"/>
        <w:rPr>
          <w:rFonts w:ascii="Arial" w:cs="Arial" w:eastAsia="Arial" w:hAnsi="Arial"/>
          <w:sz w:val="18"/>
          <w:szCs w:val="18"/>
          <w:b w:val="1"/>
          <w:bCs w:val="1"/>
          <w:i w:val="1"/>
          <w:iCs w:val="1"/>
          <w:color w:val="auto"/>
        </w:rPr>
      </w:pPr>
    </w:p>
    <w:p>
      <w:pPr>
        <w:jc w:val="both"/>
        <w:ind w:left="660" w:right="140" w:hanging="328"/>
        <w:spacing w:after="0" w:line="264" w:lineRule="auto"/>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Manufacturing</w:t>
      </w:r>
      <w:r>
        <w:rPr>
          <w:rFonts w:ascii="Arial" w:cs="Arial" w:eastAsia="Arial" w:hAnsi="Arial"/>
          <w:sz w:val="18"/>
          <w:szCs w:val="18"/>
          <w:color w:val="auto"/>
        </w:rPr>
        <w:t>. While we develop and manufacture prototypes for certain of our products, we use contract manufacturers to produce a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our hardware. If these contract manufacturers fail to provide products that meet our specifications in a timely manner, then our customer relationships and revenue may be harmed.</w:t>
      </w:r>
    </w:p>
    <w:p>
      <w:pPr>
        <w:spacing w:after="0" w:line="46" w:lineRule="exact"/>
        <w:rPr>
          <w:rFonts w:ascii="Arial" w:cs="Arial" w:eastAsia="Arial" w:hAnsi="Arial"/>
          <w:sz w:val="18"/>
          <w:szCs w:val="18"/>
          <w:b w:val="1"/>
          <w:bCs w:val="1"/>
          <w:i w:val="1"/>
          <w:iCs w:val="1"/>
          <w:color w:val="auto"/>
        </w:rPr>
      </w:pPr>
    </w:p>
    <w:p>
      <w:pPr>
        <w:ind w:left="660" w:right="40" w:hanging="328"/>
        <w:spacing w:after="0" w:line="259" w:lineRule="auto"/>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Installation and customer support services</w:t>
      </w:r>
      <w:r>
        <w:rPr>
          <w:rFonts w:ascii="Arial" w:cs="Arial" w:eastAsia="Arial" w:hAnsi="Arial"/>
          <w:sz w:val="18"/>
          <w:szCs w:val="18"/>
          <w:color w:val="auto"/>
        </w:rPr>
        <w:t>. Some of our products and services, such as our North American and international operations, utilize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of third-party installers to deploy our hardware. In addition, a portion of our customer support and management is provided by offshore call centers. A decline in levels of service or attention to the needs of our customers could adversely affect our reputation, renewal rates and ability to win new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foreign operations expose us to regulatory risks and restrictions not present in our domestic operations.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sales outside the U.S. accounted for approximately 18.3%, 17.4% and 18.7% of our revenue for the years ended December 31, 2016, 2015 and 2014, respectively. Collectively, we expect our foreign operations to continue to represent a significant portion of our business. Over the last 10 years, we have sold products in over 100 countries. Our foreign operations involve varying degrees of risk and uncertainties inherent in doing business abroad. Such risks include: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12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Complications in complying with restrictions on foreign ownership and investment and limitations on repatriation. </w:t>
      </w:r>
      <w:r>
        <w:rPr>
          <w:rFonts w:ascii="Arial" w:cs="Arial" w:eastAsia="Arial" w:hAnsi="Arial"/>
          <w:sz w:val="18"/>
          <w:szCs w:val="18"/>
          <w:color w:val="auto"/>
        </w:rPr>
        <w:t>We may not be permitted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 our operations in some countries and may have to enter into partnership or joint venture relationships. Many foreign legal regimes restrict our repatriation of earnings to the U.S. from our subsidiaries and joint venture entities. Applicable law in such foreign countries may also limit our ability to distribute or access our assets in certain circumstances. In such event, we will not have access to the cash flow and assets of our subsidiaries and joint ventures.</w:t>
      </w:r>
    </w:p>
    <w:p>
      <w:pPr>
        <w:spacing w:after="0" w:line="53" w:lineRule="exact"/>
        <w:rPr>
          <w:rFonts w:ascii="Arial" w:cs="Arial" w:eastAsia="Arial" w:hAnsi="Arial"/>
          <w:sz w:val="18"/>
          <w:szCs w:val="18"/>
          <w:color w:val="auto"/>
        </w:rPr>
      </w:pPr>
    </w:p>
    <w:p>
      <w:pPr>
        <w:ind w:left="660" w:right="20" w:hanging="328"/>
        <w:spacing w:after="0" w:line="270" w:lineRule="auto"/>
        <w:tabs>
          <w:tab w:leader="none" w:pos="660" w:val="left"/>
        </w:tabs>
        <w:numPr>
          <w:ilvl w:val="0"/>
          <w:numId w:val="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Difficulties in following a variety of laws and regulations related to foreign operations</w:t>
      </w:r>
      <w:r>
        <w:rPr>
          <w:rFonts w:ascii="Arial" w:cs="Arial" w:eastAsia="Arial" w:hAnsi="Arial"/>
          <w:sz w:val="17"/>
          <w:szCs w:val="17"/>
          <w:color w:val="auto"/>
        </w:rPr>
        <w:t>. Our international operations are subject to the laws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regulations of many different jurisdictions that may differ significantly from U.S. laws and regulations. For example, local political or intellectual property law may hold us responsible for the data that is transmitted over our network by our customers. In addition, we are subject to the Foreign Corrupt Practices Act and similar anti-bribery laws in other jurisdictions that generally prohibit companies and their intermediaries from making improper payments or giving or promising to give anything of value to foreign officials and other individuals for the purpose of obtaining or retaining business or gaining a competitive advantage. Our policies mandate compliance with these laws. However, we operate in many parts of the world that have experienced corruption to some degree. Compliance with these laws may lead to increased operations costs or loss of business opportunities. Violations of these laws could result in fines or other penalties or sanctions, which could have a material adverse impact on our business, financial condition, and results of operations.</w:t>
      </w:r>
    </w:p>
    <w:p>
      <w:pPr>
        <w:spacing w:after="0" w:line="46" w:lineRule="exact"/>
        <w:rPr>
          <w:rFonts w:ascii="Arial" w:cs="Arial" w:eastAsia="Arial" w:hAnsi="Arial"/>
          <w:sz w:val="17"/>
          <w:szCs w:val="17"/>
          <w:b w:val="1"/>
          <w:bCs w:val="1"/>
          <w:i w:val="1"/>
          <w:iCs w:val="1"/>
          <w:color w:val="auto"/>
        </w:rPr>
      </w:pPr>
    </w:p>
    <w:p>
      <w:pPr>
        <w:ind w:left="660" w:hanging="328"/>
        <w:spacing w:after="0" w:line="287" w:lineRule="auto"/>
        <w:tabs>
          <w:tab w:leader="none" w:pos="660"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Restrictions on space station landing/terrestrial rights</w:t>
      </w:r>
      <w:r>
        <w:rPr>
          <w:rFonts w:ascii="Arial" w:cs="Arial" w:eastAsia="Arial" w:hAnsi="Arial"/>
          <w:sz w:val="16"/>
          <w:szCs w:val="16"/>
          <w:color w:val="auto"/>
        </w:rPr>
        <w:t>. Satellite market access and landing rights and terrestrial wireless rights are dependent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national regulations established by foreign governments, including, but not limited to obtaining national authorizations or approvals and meeting other regulatory, coordination and registration requirements for satellites. Because regulatory schemes vary by country, we may be subject to laws or regulations in foreign countries of which we are not presently aware. Non-compliance with these requirements may result in the loss of the authorizations and licenses to conduct business in these countries, as well as fines or other financial and non-financial penalties for non-compliance with regulations. If that were to be the case, we could be subject to sanctions and/or other actions by a foreign government that could materially and adversely affect our ability to operate in that country. There is no assurance that any current regulatory approvals held by us are, or will remain, sufficient in the view of foreign regulatory authorities, or that any additional necessary approvals will be granted on a timely basis or at all, in all jurisdictions in which we wish to operate new satellites, or that applicable restrictions in those jurisdictions will not be unduly burdensome. Violations of laws or regulations may result in various sanctions including fines, loss of authorizations and the denial of applications for new authorizations or for the renewal of existing authorizations, and the failure to obtain or comply with the authorizations and regulations governing our international operations could have a material adverse effect on our ability to generate revenue and our overall competitive position.</w:t>
      </w:r>
    </w:p>
    <w:p>
      <w:pPr>
        <w:spacing w:after="0" w:line="33" w:lineRule="exact"/>
        <w:rPr>
          <w:rFonts w:ascii="Arial" w:cs="Arial" w:eastAsia="Arial" w:hAnsi="Arial"/>
          <w:sz w:val="16"/>
          <w:szCs w:val="16"/>
          <w:b w:val="1"/>
          <w:bCs w:val="1"/>
          <w:i w:val="1"/>
          <w:iCs w:val="1"/>
          <w:color w:val="auto"/>
        </w:rPr>
      </w:pPr>
    </w:p>
    <w:p>
      <w:pPr>
        <w:ind w:left="660" w:right="100" w:hanging="328"/>
        <w:spacing w:after="0" w:line="276" w:lineRule="auto"/>
        <w:tabs>
          <w:tab w:leader="none" w:pos="660" w:val="left"/>
        </w:tabs>
        <w:numPr>
          <w:ilvl w:val="0"/>
          <w:numId w:val="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Financial and legal constraints and obligations</w:t>
      </w:r>
      <w:r>
        <w:rPr>
          <w:rFonts w:ascii="Arial" w:cs="Arial" w:eastAsia="Arial" w:hAnsi="Arial"/>
          <w:sz w:val="17"/>
          <w:szCs w:val="17"/>
          <w:color w:val="auto"/>
        </w:rPr>
        <w:t>. Operating pursuant to foreign licenses subjects us to certain financial constraints and obligations,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but not limited to: (a) tax liabilities that may or may not be dependent on revenue; (b) the burden of creating and maintaining additional entities, branches, facilities and/or staffing in foreign jurisdictions; and (c) legal regulations requiring that we make certain satellite capacity available for “free,” which may impact our revenue. In addition, if we need to pursue legal remedies against our customers or our business partners located outside of the U.S., it may be difficult for us to enforce our rights against them.</w:t>
      </w:r>
    </w:p>
    <w:p>
      <w:pPr>
        <w:spacing w:after="0" w:line="37" w:lineRule="exact"/>
        <w:rPr>
          <w:rFonts w:ascii="Arial" w:cs="Arial" w:eastAsia="Arial" w:hAnsi="Arial"/>
          <w:sz w:val="17"/>
          <w:szCs w:val="17"/>
          <w:b w:val="1"/>
          <w:bCs w:val="1"/>
          <w:i w:val="1"/>
          <w:iCs w:val="1"/>
          <w:color w:val="auto"/>
        </w:rPr>
      </w:pPr>
    </w:p>
    <w:p>
      <w:pPr>
        <w:ind w:left="660" w:hanging="328"/>
        <w:spacing w:after="0" w:line="290" w:lineRule="auto"/>
        <w:tabs>
          <w:tab w:leader="none" w:pos="660"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Compliance with applicable export control laws and regulations in the U.S. and other countries</w:t>
      </w:r>
      <w:r>
        <w:rPr>
          <w:rFonts w:ascii="Arial" w:cs="Arial" w:eastAsia="Arial" w:hAnsi="Arial"/>
          <w:sz w:val="16"/>
          <w:szCs w:val="16"/>
          <w:color w:val="auto"/>
        </w:rPr>
        <w:t>. We must comply with all applicable export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and trade sanctions laws and regulations of the U.S. and other countries. U.S. laws and regulations applicable to us include the Arms Export Control Act, ITAR, EAR and the trade sanctions laws and regulations administered by OFAC. The export of certain hardware, technical data and services relating to satellites is regulated by BIS under EAR. Other items are controlled for export by the DDTC under ITAR. We cannot provide equipment or services to certain countries subject to U.S. trade sanctions unless we first obtain the necessary authorizations from OFAC. Violations of these laws or regulations could result in significant sanctions including fines, more onerous compliance requirements, debarments from export privileges, or loss of authorizations needed to conduct aspects of our international business. A violation of ITAR or the other regulations enumerated above could materially adversely affect our business, financial condition and results of operations.</w:t>
      </w:r>
    </w:p>
    <w:p>
      <w:pPr>
        <w:spacing w:after="0" w:line="31" w:lineRule="exact"/>
        <w:rPr>
          <w:rFonts w:ascii="Arial" w:cs="Arial" w:eastAsia="Arial" w:hAnsi="Arial"/>
          <w:sz w:val="16"/>
          <w:szCs w:val="16"/>
          <w:b w:val="1"/>
          <w:bCs w:val="1"/>
          <w:i w:val="1"/>
          <w:iCs w:val="1"/>
          <w:color w:val="auto"/>
        </w:rPr>
      </w:pPr>
    </w:p>
    <w:p>
      <w:pPr>
        <w:ind w:left="660" w:right="180" w:hanging="328"/>
        <w:spacing w:after="0" w:line="273" w:lineRule="auto"/>
        <w:tabs>
          <w:tab w:leader="none" w:pos="660" w:val="left"/>
        </w:tabs>
        <w:numPr>
          <w:ilvl w:val="0"/>
          <w:numId w:val="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Changes in exchange rates between foreign currencies and the U.S. dollar</w:t>
      </w:r>
      <w:r>
        <w:rPr>
          <w:rFonts w:ascii="Arial" w:cs="Arial" w:eastAsia="Arial" w:hAnsi="Arial"/>
          <w:sz w:val="17"/>
          <w:szCs w:val="17"/>
          <w:color w:val="auto"/>
        </w:rPr>
        <w:t>. We conduct our business and incur cost in the local currency of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the countries in which we operate. Accordingly, our applicable results of operations are reported in the relevant local currency and then translated to U.S. dollars at the applicable currency exchange rate for inclusion in our financial statements. In addition, we sell our products and services and acquire supplies and components from countries that historically have been, and may continue to be, susceptible to recessions or currency devaluation. These fluctuations in currency exchange rates, recessions and currency devaluations have affected, and may in the future affect, revenue, profits and cash earned on international sales.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20" w:hanging="328"/>
        <w:spacing w:after="0" w:line="302" w:lineRule="auto"/>
        <w:tabs>
          <w:tab w:leader="none" w:pos="660"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Greater exposure to the possibility of economic instability, the disruption of operations from labor and political disturbances, expropriation or war </w:t>
      </w:r>
      <w:r>
        <w:rPr>
          <w:rFonts w:ascii="Arial" w:cs="Arial" w:eastAsia="Arial" w:hAnsi="Arial"/>
          <w:sz w:val="16"/>
          <w:szCs w:val="16"/>
          <w:color w:val="auto"/>
        </w:rPr>
        <w:t>. As we conduct operations throughout the world, we could be subject to regional or national economic downturns or instability, acts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terrorism, labor or political disturbances or conflicts of various sizes, including wars. Any of these disruptions could detrimentally affect our sales in the affected region or country or lead to damage to, or expropriation of, our property or danger to our personnel.</w:t>
      </w:r>
    </w:p>
    <w:p>
      <w:pPr>
        <w:spacing w:after="0" w:line="19" w:lineRule="exact"/>
        <w:rPr>
          <w:rFonts w:ascii="Arial" w:cs="Arial" w:eastAsia="Arial" w:hAnsi="Arial"/>
          <w:sz w:val="16"/>
          <w:szCs w:val="16"/>
          <w:b w:val="1"/>
          <w:bCs w:val="1"/>
          <w:i w:val="1"/>
          <w:iCs w:val="1"/>
          <w:color w:val="auto"/>
        </w:rPr>
      </w:pPr>
    </w:p>
    <w:p>
      <w:pPr>
        <w:ind w:left="660" w:hanging="328"/>
        <w:spacing w:after="0" w:line="257" w:lineRule="auto"/>
        <w:tabs>
          <w:tab w:leader="none" w:pos="6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Competition with large or state-owned enterprises and/or regulations that effectively limit our operations and favor local competitors</w:t>
      </w:r>
      <w:r>
        <w:rPr>
          <w:rFonts w:ascii="Arial" w:cs="Arial" w:eastAsia="Arial" w:hAnsi="Arial"/>
          <w:sz w:val="18"/>
          <w:szCs w:val="18"/>
          <w:color w:val="auto"/>
        </w:rPr>
        <w:t>. Many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countries in which we conduct business have traditionally had state owned or state granted monopolies on telecommunications services that favor an incumbent service provider. We face competition from these favored and entrenched companies in countries that have not deregulated. The slower pace of deregulation in these countries, particularly in Asia and Latin America, has adversely affected the growth of our business in these regions.</w:t>
      </w:r>
    </w:p>
    <w:p>
      <w:pPr>
        <w:spacing w:after="0" w:line="53" w:lineRule="exact"/>
        <w:rPr>
          <w:rFonts w:ascii="Arial" w:cs="Arial" w:eastAsia="Arial" w:hAnsi="Arial"/>
          <w:sz w:val="18"/>
          <w:szCs w:val="18"/>
          <w:b w:val="1"/>
          <w:bCs w:val="1"/>
          <w:i w:val="1"/>
          <w:iCs w:val="1"/>
          <w:color w:val="auto"/>
        </w:rPr>
      </w:pPr>
    </w:p>
    <w:p>
      <w:pPr>
        <w:ind w:left="660" w:right="60" w:hanging="328"/>
        <w:spacing w:after="0" w:line="277" w:lineRule="auto"/>
        <w:tabs>
          <w:tab w:leader="none" w:pos="6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Customer credit risks</w:t>
      </w:r>
      <w:r>
        <w:rPr>
          <w:rFonts w:ascii="Arial" w:cs="Arial" w:eastAsia="Arial" w:hAnsi="Arial"/>
          <w:sz w:val="18"/>
          <w:szCs w:val="18"/>
          <w:color w:val="auto"/>
        </w:rPr>
        <w:t>. Customer credit risks are exacerbated in foreign operations because there is often little information available about the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histories of customers in certain of the foreign countries in which we operate.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loss from some of our customer contracts.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provide access to our telecommunications networks to customers that use a variety of platforms such as satellite, wireless 3G and 4G, cable, fiber optic and DSL. These customer contracts may require us to provide services at a fixed price for the term of the contract. To facilitate the provision of this access, we may enter into contracts with terrestrial platform providers. Our agreements with these subcontractors may allow for prices to be changed during the term of the contracts. We assume greater financial risk on these customer contracts than on other types of contracts because if we do not estimate costs accurately and there is an increase in our subcontractors’ prices, our net profit may be significantly reduced or there may be a loss on the contracts.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significant financial losses on our existing investments.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have entered into certain strategic transactions and investments. These investments involve a high degree of risk and could diminish our financial condition or our ability to invest capital in our business. The overall sustained economic uncertainty, as well as financial, operational and other difficulties encountered by certain companies in which we have invested increases the risk that the actual amounts realized in the future on our debt and equity investments will differ significantly from the fair values currently assigned to them. In addition, the companies in which we invest or with whom we partner may not be able to compete effectively or there may be insufficient demand for the services and products offered by these companies. These investments could also expose us to significant financial losses and may restrict our ability to make other investments or limit alternative uses of our capital resources. If our investments suffer losses, our financial condition could be materially adversely affected.</w:t>
      </w:r>
    </w:p>
    <w:p>
      <w:pPr>
        <w:spacing w:after="0" w:line="174"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We may pursue acquisitions, capital expenditures and other strategic transactions to complement or expand our business, which may not be successful and we may lose a portion or all of our investment in these acquisitions and transactions.</w:t>
      </w:r>
    </w:p>
    <w:p>
      <w:pPr>
        <w:spacing w:after="0" w:line="16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future success may depend on the existence of, and our ability to capitalize on, opportunities to acquire or develop other businesses or technologies or partner with other companies that could complement, enhance or expand our current business, services or products or that may otherwise offer us growth opportunities. We may pursue acquisitions, joint ventures or other business combination or development activities to complement or expand our business. Any such acquisitions, transactions or investments that we are able to identify and complete which may become substantial over time, involve a high degree of risk, including, but not limited to, the following:</w:t>
      </w:r>
    </w:p>
    <w:p>
      <w:pPr>
        <w:spacing w:after="0" w:line="188" w:lineRule="exact"/>
        <w:rPr>
          <w:sz w:val="20"/>
          <w:szCs w:val="20"/>
          <w:color w:val="auto"/>
        </w:rPr>
      </w:pPr>
    </w:p>
    <w:p>
      <w:pPr>
        <w:ind w:left="660" w:right="6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business to integrate the operations and personnel of the acquired or combined business, technology or joint venture;</w:t>
      </w:r>
    </w:p>
    <w:p>
      <w:pPr>
        <w:spacing w:after="0" w:line="3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and capacity of our management team to carry out all of our business plans, including with respect to our existing businesses and any businesses we acquire or embark on in the future;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possible adverse effects on our and our targets’ and partners’ business, financial condition or operating results during the integration process;</w:t>
      </w:r>
    </w:p>
    <w:p>
      <w:pPr>
        <w:spacing w:after="0" w:line="101" w:lineRule="exact"/>
        <w:rPr>
          <w:rFonts w:ascii="Arial" w:cs="Arial" w:eastAsia="Arial" w:hAnsi="Arial"/>
          <w:sz w:val="17"/>
          <w:szCs w:val="17"/>
          <w:color w:val="auto"/>
        </w:rPr>
      </w:pPr>
    </w:p>
    <w:p>
      <w:pPr>
        <w:ind w:left="660" w:right="3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exposure to significant financial losses if the transactions, investments and/or the underlying ventures are not successful; and/or we are unable to achieve the intended objectives of the transaction or investment;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2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obtain in the anticipated time frame, or at all, any regulatory approvals required to complete proposed acquisitions, transactions or investments;</w:t>
      </w:r>
    </w:p>
    <w:p>
      <w:pPr>
        <w:spacing w:after="0" w:line="3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risks associated with complying with regulations applicable to the acquired or developed business or technologies which may cause us to incur substantial expenses;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realize anticipated benefits or synergies from an acquisition;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disruption of relationships with employees, vendors or customers.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New acquisitions, investments, joint ventures and other transactions may require the commitment of significant capital that may otherwise be directed to investments in our existing businesses. Commitment of this capital may cause us to defer or suspend any share repurchases or capital expenditures that we otherwise may have made.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cash to meet our debt service needs or fund our operations.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December 31, 2016, our total indebtedness was approximately $3.66 billion. Our ability to make payments on or to refinance our indebtedness and to fund our operations will depend on our ability to generate cash in the future, which is subject in part to general economic, financial, competitive, legislative, regulatory and other factors that are beyond our control. We may need to raise additional debt in order to fund ongoing operations or to capitalize on business opportunities. We may not be able to generate sufficient cash flow from operations and future borrowings may not be available in amounts sufficient to enable us to service our indebtedness or to fund our operations or other liquidity needs. If we are unable to generate sufficient cash, we may be forced to take actions such as revising or delaying our strategic plans, reducing or delaying capital expenditures, selling assets, restructuring or refinancing our debt or seeking additional equity capital. We may not be able to implement any of these actions on satisfactory terms, or at all. The indentures governing our indebtedness limit our ability to dispose of assets and use the proceeds from such dispositions. Therefore, we may not be able to consummate those dispositions on satisfactory terms, or at all, or to use those proceeds in a manner we may otherwise prefer.</w:t>
      </w:r>
    </w:p>
    <w:p>
      <w:pPr>
        <w:spacing w:after="0" w:line="18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addition, conditions in the financial markets could make it difficult for us to access capital markets at acceptable terms or at all. Instability or other conditions in the equity markets could make it difficult for us to raise equity financing without incurring substantial dilution to our existing shareholders. In addition, sustained or increased economic weaknesses or pressures or new economic conditions may limit our ability to generate sufficient internal cash to fund investments, capital expenditures, acquisitions, and other strategic transactions. We cannot predict with any certainty whether or not we will be impacted by economic conditions. As a result, these conditions make it difficult for us to accurately forecast and plan future business activities because we may not have access to funding sources necessary for us to pursue organic and strategic business development opportunities.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in our indentures restrict our business in many ways.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indentures governing our 6 1/2% Senior Secured Notes due 2019 (the “2019 Senior Secured Notes”), 7 5/8% Senior Notes due 2021 (the “2021 Senior Unsecured Notes”), 5.250% Senior Secured Notes due August 1, 2026 (the “2026 Senior Secured Notes”) and 6.625% Senior Unsecured Notes due August 1, 2026 (the “2026 Senior Unsecured Notes” and together with the 2026 Senior Secured Notes, the “2026 Notes”) contain various covenants, subject to certain exceptions, that limit our ability and/or our restricted subsidiaries’ ability to, among other things:</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or make distributions on our capital stock or repurchase our capital stock;</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liens or enter into sale and leaseback transactions;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 and sell assets; and</w:t>
      </w:r>
    </w:p>
    <w:p>
      <w:pPr>
        <w:spacing w:after="0" w:line="9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allow to exist certain restrictions on the ability of certain of our subsidiaries to pay dividends, make distributions, make other payments, or transfer assets to us or our subsidiaries.</w:t>
      </w:r>
    </w:p>
    <w:p>
      <w:pPr>
        <w:spacing w:after="0" w:line="25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Failure to comply with these and certain other financial covenants, if not cured or waived, may result in an event of default under the indentures, which could have a material adverse effect on our business, financial condition, results of operations 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prospects. If an event of default occurs and is continuing under the respective indenture, the trustee under that indenture or the requisite holders of the notes under that indenture may declare all such notes to be immediately due and payable and, in the case of the indentures governing any of our secured notes, could proceed against the collateral that secures the applicable secured notes. We and certain of our subsidiaries have pledged a significant portion of our assets as collateral to secure the 2019 Senior Secured Notes and the 2026 Senior Secured Notes. If we do not have enough cash to service our debt or fund other liquidity needs, we may be required to take actions such as requesting a waiver from the holders of the notes, reducing or delaying capital expenditures, selling assets, restructuring or refinancing all or part of the existing debt, or seeking additional equity capital. We cannot assure you that any of these remedies can be implemented on commercially reasonable terms or at all, which could result in the trustee declaring the notes to be immediately due and payable and/or foreclosing on the collateral.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key personnel and the loss of their services may negatively affect our businesses.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our future success will depend to a significant extent upon the performance of Mr. Charles W. Ergen, our Chairman, and certain other key executives. The loss of Mr. Ergen or of certain other key executives or of the ability of Mr. Ergen or certain other key executives to devote sufficient time and effort to our business could have a material adverse effect on our business, financial condition and results of operations. Although most of our key executives have agreements limiting their ability to work for or consult with competitors, under certain circumstances, we generally do not have employment agreements with them. To the extent Mr. Ergen or other officers are performing services to both DISH Network and us, their attention may be diverted away from our business and therefore adversely affect our business.</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Pursuant to the terms of our preferred tracking stock and related agreements and policies, we could be required to use assets attributed to one group to pay liabilities attributed to the other group if the Share Exchange is not consummated.</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Even though we attribute, for financial reporting purposes, all of our consolidated assets, liabilities, revenue, expenses and cash flows to either the HSSC Group or the Hughes Retail Group (see Note 3 in the notes to consolidated financial statements in Item 15 of this report for definitions and a further discussion of the preferred tracking stock, the HSSC Group and the Hughes Retail Group) and prepare separate attributed financial information for the Hughes Retail Group, we retain legal title to all of our assets and our capitalization will not limit our legal responsibility, or that of our subsidiaries, for the liabilities included in our financial statements and such attributed financial information. As such, the assets attributed to one group are potentially subject to the liabilities attributed to the other group, even if those liabilities arise from lawsuits, contracts or indebtedness that are attributed to such other group. Although the policy statement (the “Policy Statement”) regarding the relationships between the HSSC Group and the Hughes Retail Group with respect to matters such as the attribution and allocation of costs, tax liabilities and benefits, attribution of assets, corporate opportunities and similar items generally requires that all changes in the attribution of assets from one group to the other group will be made on a fair value basis as determined in accordance with certain guiding principles, these policies and our articles of incorporation generally do not prevent us from satisfying liabilities of one group with assets of the other group, and our creditors are not limited by our tracking stock capitalization from proceeding against any assets they could have proceeded against if we did not have a tracking stock capitalization.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risks relating to the referendum of the United Kingdom’s membership of the European Union.</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June 2016, the United Kingdom (the “U.K.”) held a referendum in which voters approved an exit from the European Union and its member states (“EU”), commonly referred to as the “Brexit.” As a result of the referendum, it is expected that the U.K. government will begin negotiating the terms of the U.K.’s future relationship with the EU. Although it is unknown what those terms will be, it is possible that there will be greater restrictions on imports and exports between the U.K. and EU countries. Additionally, with the U.K. no longer being a part of the EU, we anticipate that there may be certain regulatory changes that may impact the regulatory regime under which we operate in both the U.K. and the EU. These and other changes, implications and consequences of the Brexit may adversely affect our business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natural disaster could diminish our ability to provide service to our customers.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Natural disasters could damage or destroy our ground stations, resulting in a disruption of service to our customers. We currently have backup systems and technology in place to safeguard our antennas and protect our ground stations during natural disasters such as tornadoes, but the possibility still exists that our ground facilities could be impacted during a major natural disaster. If a future natural disaster impairs or destroys any of our ground facilities, we may be unable to provide service to our customers in the affected area for a period of time which may adversely affect our business and results of operations.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additional tax liabilities.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subject to income taxes in the United States and foreign jurisdictions. Significant judgments are required in determining our provisions for income taxes. In the course of preparing our tax provisions and returns, we must make calculations where the ultimate tax determination may be uncertain. Our tax returns are subject to examination by the Internal Revenue Service (“IRS”), state, and foreign tax authorities. There can be no assurance as to the outcome of these examinations. If the ultimate determination of taxes owed is for an amount in excess of amounts previously accrued, our operating results, cash flows, and financial condition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SATELLITES</w:t>
      </w:r>
    </w:p>
    <w:p>
      <w:pPr>
        <w:spacing w:after="0" w:line="22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Our owned and leased satellites in orbit are subject to significant operational and environmental risks that could limit our ability to utilize these satellites.</w:t>
      </w:r>
    </w:p>
    <w:p>
      <w:pPr>
        <w:spacing w:after="0" w:line="16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Satellites are subject to significant operational risks while in orbit. These risks include malfunctions, commonly referred to as anomalies, which have occurred and may occur in the future in our satellites and the satellites of other operators as a result of various factors, such as satellite design and manufacturing defects, problems with the power systems or control systems of the satellites and general failures resulting from operating satellites in the harsh environment of space.</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Although we work closely with the satellite manufacturers to determine and eliminate the cause of anomalies in new satellites and provide for redundancies of many critical components in the satellites, we may not be able to prevent anomalies from occurring and may experience anomalies in the future, whether of the types described above or arising from the failure of other systems or components.</w:t>
      </w:r>
    </w:p>
    <w:p>
      <w:pPr>
        <w:spacing w:after="0" w:line="181"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Any single anomaly or series of anomalies could materially and adversely affect our ability to utilize the satellite, our operations and revenue as well as our relationships with current customers and our ability to attract new customers. In particular, future anomalies may result in, among other things, the loss of individual transponders/beams on a satellite, a group of transponders/beams on that satellite or the entire satellite, depending on the nature of the anomaly.</w:t>
      </w:r>
    </w:p>
    <w:p>
      <w:pPr>
        <w:ind w:right="180"/>
        <w:spacing w:after="0" w:line="261" w:lineRule="auto"/>
        <w:rPr>
          <w:sz w:val="20"/>
          <w:szCs w:val="20"/>
          <w:color w:val="auto"/>
        </w:rPr>
      </w:pPr>
      <w:r>
        <w:rPr>
          <w:rFonts w:ascii="Arial" w:cs="Arial" w:eastAsia="Arial" w:hAnsi="Arial"/>
          <w:sz w:val="18"/>
          <w:szCs w:val="18"/>
          <w:color w:val="auto"/>
        </w:rPr>
        <w:t>Anomalies may also reduce the expected capacity or useful life of a satellite, thereby reducing the revenue that could be generated by that satellite, or create additional expenses due to the need to provide replacement or back-up satellites or satellite capacity earlier than planned.</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loss of a satellite or other satellite malfunctions or anomalies could have a material adverse effect on our financial performance, which we may not be able to mitigate by using available capacity on other satellites. There can be no assurance that we can recover critical transmission capacity in the event one or more of our in-orbit satellites were to fail. In addition, the loss of a satellite or other satellite malfunctions or anomalies could affect our ability to comply with FCC and other regulatory obligations and our ability to fund the construction or acquisition of replacement satellites for our in-orbit fleet in a timely fashion, or at all. There can be no assurance that anomalies will not impact the remaining useful life and/or the commercial operation of any of the satellites in our fleet. In addition, there can be no assurance that we can recover critical transmission capacity in the event one or more of our in-orbit satellites were to fail.</w:t>
      </w:r>
    </w:p>
    <w:p>
      <w:pPr>
        <w:spacing w:after="0" w:line="18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Meteoroid events pose a potential threat to all in-orbit satellites. The probability that meteoroids will damage those satellites increases significantly when the Earth passes through the particulate stream left behind by comets. Occasionally, increased solar activity also poses a potential threat to all in-orbit satellites.</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Some decommissioned spacecraft are in uncontrolled orbits, which pass through the geostationary belt at various points and present hazards to operational spacecraft, including our satellites. We may be required to perform maneuvers to avoid collisions and these maneuvers may prove unsuccessful or could reduce the useful life of the satellite through the expenditure of fuel to perform these maneuvers. The loss, damage or destruction of any of our satellites as a result of an electrostatic storm, collision with space debris, malfunction or other event could have a material adverse effect on our business, financial condition and results of operations.</w:t>
      </w:r>
    </w:p>
    <w:p>
      <w:pPr>
        <w:spacing w:after="0" w:line="18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historically have not carried in-orbit insurance on many of our satellites because we assessed that the cost of insurance was uneconomical relative to the risk of failures. If one or more of our in-orbit uninsured satellites fail, we could be required to record significant impairment charges for the satellite.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satellites have minimum design lives ranging from 12 to 15 years, but could fail or suffer reduced capacity before then.</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Generally, the minimum design life of each of our satellites ranges from 12 to 15 years. We can provide no assurance, however, as to the actual operational lives of our satellites, which may be shorter or longer than their design lives. Our ability to earn revenue depends on the continued operation of our satellites, each of which has a limited useful life. A number of factors affect the useful lives of the satellites, including, among other things, the quality of their design and construction, the durability of their component parts, the ability to continue to maintain proper orbit and control over the satellite’s functions, the efficiency of the launch vehicle used, and the remaining on-board fuel following orbit insertion. In addition, continued improvements in satellite technology may make obsolete our existing satellites, or any satellites we may acquire in the future, prior to the end of their design lives.</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event of a failure or loss of any of our satellites, we may relocate another satellite and use it as a replacement for the failed or lost satellite, which could have a material adverse effect on our business, financial condition and results of operations. Additionally, such relocation would require governmental approval. We cannot be certain that we could obtain such governmental approval. In addition, we cannot guarantee that another satellite will be available for use as a replacement for a failed or lost satellite, or that such relocation can be accomplished without a substantial utilization of fuel. Any such utilization of fuel would reduce the operational life of the replacement satellite.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satellites under construction are subject to risks related to construction and launch that could limit our ability to utilize these satellites.</w:t>
      </w:r>
    </w:p>
    <w:p>
      <w:pPr>
        <w:spacing w:after="0" w:line="24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Satellite construction and launch are subject to significant risks, including delays, anomalies, launch failure and incorrect orbital placement. Certain launch vehicles that may be used by us have either unproven track records or have experienced launch failures in the past. The risks of launch delay, launch anomalies and launch failure are usually greater when the launch vehicle does not have a track record of previous successful flights. Launch anomalies and failures can result in significant delays in the deployment of satellites because of the need both to construct replacement satellites, which can take more than three years, and to obtain other launch opportunities. Such significant delays could materially and adversely affect our business, expenses and results of operations, our ability to meet regulatory or contractual required milestones, the availability and our use of other or replacement satellite resources and our ability to provide services to customers as capacity becomes full on existing satellites. In addition, significant delays in a satellite program could give customers who have purchased or reserved capacity on that satellite a right to terminate their service contracts relating to the satellite. We may not be able to accommodate affected customers on other satellites until a replacement satellite is available. A customer’s termination of its service contracts with us as a result of a launch delay or failure would reduce our contracted backlog and our ability to generate revenue. One of our launch services providers is a Russian Federation state-owned company. Recent ongoing political events have created uncertainty as to the stability of U.S. and Russian Federation relations. This could add to risks relative to scheduling uncertainties and timing. Historically, we have not always carried launch insurance for the launch of our satellites. If a launch delay, anomaly or failure were to occur, it could result in the revocation of the applicable license to operate the satellite, undermine our ability to implement our business strategy or develop or pursue existing or future business opportunities with applicable licenses and otherwise have a material adverse effect on our business, expenses, assets, revenue, results of operations and ability to fund future satellite procurement and launch opportunities. In addition, the occurrence of launch anomalies and failures, whether on our satellites or those of others, may significantly reduce our ability to place launch insurance for our satellites or make launch insurance uneconomical.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certain satellites is often dependent on satellite coordination agreements, which may be difficult to obtain.</w:t>
      </w:r>
    </w:p>
    <w:p>
      <w:pPr>
        <w:spacing w:after="0" w:line="229"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Satellite transmissions and the use of frequencies often are dependent on coordination with other satellite systems operated by U.S. or foreign satellite operators, including governments, and it can be difficult to determine the outcome of these coordination agreements with these other entities and governments. The impact of a coordination agreement may result in the loss of rights to the use of certain frequencies or access to certain markets. The significance of such a loss would vary and it can therefore be difficult to determine which portion of our revenue will be impacted.</w:t>
      </w:r>
    </w:p>
    <w:p>
      <w:pPr>
        <w:spacing w:after="0" w:line="15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Furthermore, the satellite coordination process is conducted under the guidance of the ITU radio regulations and the national regulations of the satellites involved in the coordination process. These rules and regulations could be amended and could therefore materially adversely affect our business, financial condition and results of operations.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5"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We may face interference from other services sharing satellite spectrum </w:t>
      </w:r>
      <w:r>
        <w:rPr>
          <w:rFonts w:ascii="Arial" w:cs="Arial" w:eastAsia="Arial" w:hAnsi="Arial"/>
          <w:sz w:val="18"/>
          <w:szCs w:val="18"/>
          <w:color w:val="auto"/>
        </w:rPr>
        <w:t>.</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FCC and other regulators have adopted rules or may adopt rules in the future that allow non-geostationary orbit satellite services to operate on a co-primary basis in the same frequency band as DBS and FSS. The FCC has also authorized the use of multichannel video and data distribution service (“MVDDS”) in the DBS band. Several MVDDS systems are now being commercially deployed. Despite regulatory provisions designed to protect DBS and FSS operations from harmful interference, there can be no assurance that operations by other satellites or terrestrial communication services in the DBS and FSS bands will not interfere with our DBS and FSS operations and adversely affect our business.</w:t>
      </w:r>
    </w:p>
    <w:p>
      <w:pPr>
        <w:spacing w:after="0" w:line="169"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Our dependence on outside contractors could result in delays related to the design, manufacture and launch of our new satellites, which could in turn adversely affect our operating results.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are a limited number of manufacturers that are able to design and build satellites according to the technical specifications and standards of quality we require, including Airbus Defence and Space, Boeing Satellite Systems, Lockheed Martin, SS/L and Thales Alenia Space. There are also a limited number of launch service providers that are able to launch such satellites, including International Launch Services, Arianespace, Lockheed Martin Commercial Launch Services and Space Exploration. The loss of any of our manufacturers or launch service providers could increase the cost and result in the delay of the design, construction or launch of our satellites. Even if alternate suppliers for such services are available, we may have difficulty identifying them in a timely manner or we may incur significant additional expense in changing suppliers, and this could result in difficulties or delays in the design, construction or launch of our satellites. Any delays in the design, construction or launch of our satellites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PRODUCTS AND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properly respond to technological changes, our business could be significantly harmed.</w:t>
      </w:r>
    </w:p>
    <w:p>
      <w:pPr>
        <w:spacing w:after="0" w:line="22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business and the markets in which we operate are characterized by rapid technological changes, evolving industry standards and frequent product and service introductions and enhancements. If we or our suppliers are unable to properly respond to or keep pace with technological developments, fail to develop new technologies, or if our competitors obtain or develop proprietary technologies that are perceived by the market as being superior to ours, our existing products and services may become obsolete and demand for our products and services may decline. Even if we keep up with technological innovation, we may not meet the demands of the markets we serve. Furthermore, after we have incurred substantial research and development costs, one or more of the technologies under our development, or under development by one or more of our strategic partners, could become obsolete prior to its introduction. If we are unable to respond to or keep pace with technological advances on a cost-effective and timely basis, or if our products, applications or services are not accepted by the market, then our business, financial condition and results of operations would be adversely affected.</w:t>
      </w:r>
    </w:p>
    <w:p>
      <w:pPr>
        <w:spacing w:after="0" w:line="16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Our response to technological developments depends, to a significant degree, on the work of technically skilled employees. Competition for the services of such employees is intense. Although we strive to attract, retain and motivate these employees, we may not succeed in these respects.</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made and will continue to make significant investments in research, development, and marketing for new products, services and related technologies, as well as entry into new business areas. Investments in new technologies and business areas are inherently speculative and commercial success thereof depends on numerous factors including innovativeness, quality of service and support, and effectiveness of sales and marketing. We may not achieve revenue or profitability from such investments for a number of years, if at all. Moreover, even if such products, services, technologies and business areas become profitable, their operating margins may be minimal.</w:t>
      </w:r>
    </w:p>
    <w:p>
      <w:pPr>
        <w:spacing w:after="0" w:line="184"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Our business depends on certain intellectual property rights and on not infringing the intellectual property rights of others. The loss of our intellectual property rights or our infringement of the intellectual property rights of others could have a significant adverse impact on our business.</w:t>
      </w:r>
    </w:p>
    <w:p>
      <w:pPr>
        <w:spacing w:after="0" w:line="12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rely on our patents, copyrights, trademarks and trade secrets, as well as licenses and other agreements with our vendors and other parties, to use our technologies, conduct our operations and sell our products and services. Legal challenges to our intellectual property rights and claims by third parties of intellectual property infringement could require that we enter into royalty or licensing agreements on unfavorable terms, incur substantial monetary liability or be enjoined preliminarily or permanently from further use of the intellectual property in question or from the continuation of our businesses as currently conducted, which could require us to change our business practices or limit our ability to compete effectively or could otherwise have an adverse effect on our business, financial condition, results of operations or prospects. Even if we believe 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such challenges or claims are without merit, they can be time-consuming and costly to defend and may divert management’s attention and resources away from our business.</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Moreover, due to the rapid pace of technological change, we rely in part on technologies developed or licensed by third parties, and if we are unable to obtain or continue to obtain licenses or other required intellectual property rights from these third parties on reasonable terms, our business, financial position and results of operations could be adversely affected. Technology licensed from third parties may have undetected errors that impair the functionality or prevent the successful integration of our products or services. As a result of any such changes or loss, we may need to incur additional development costs to ensure continued performance of our products or suffer delays until replacement technology, if available, can be obtained and integrated.</w:t>
      </w:r>
    </w:p>
    <w:p>
      <w:pPr>
        <w:spacing w:after="0" w:line="1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addition, we work with third parties such as vendors, contractors and suppliers for the development and manufacture of components that are integrated into our products and our products may contain technologies provided to us by these third parties. We may have little or no ability to determine in advance whether any such technology infringes the intellectual property rights of others. Our vendors, contractors and suppliers may not be required to indemnify us in the event that a claim of infringement is asserted against us, or they may be required to indemnify us only up to a maximum amount, above which we would be responsible for any further costs or damages. Legal challenges to these intellectual property rights may impair our ability to use the products and technologies that we need in order to operate our business and may materially and adversely affect our business, financial condition and results of operations.</w:t>
      </w:r>
    </w:p>
    <w:p>
      <w:pPr>
        <w:spacing w:after="0" w:line="16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are, and may become, party to various lawsuits which, if adversely decided, could have a significant adverse impact on our business, particularly lawsuits regarding intellectual property.</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are, and may become, subject to various legal proceedings and claims, which arise in the ordinary course of our business. Many entities, including some of our competitors, have or may in the future obtain patents and other intellectual property rights that cover or affect products or services related to those that we offer. In general, if a court determines that one or more of our products or services infringes valid intellectual property rights held by others, we may be required to cease developing or marketing those products or services, to obtain licenses from the holders of the intellectual property at a material cost, or to redesign those products or services in such a way as to avoid infringement. If those intellectual property rights are held by a competitor, we may be unable to license the necessary intellectual property rights at any price, which could adversely affect our competitive position.</w:t>
      </w:r>
    </w:p>
    <w:p>
      <w:pPr>
        <w:spacing w:after="0" w:line="17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may not be aware of all patents and other intellectual property rights that our products and services may potentially infringe. In addition, patent applications in the U.S. and foreign countries are confidential until the Patent and Trademark Office either publishes the application or issues a patent (whichever arises first) and, accordingly, our products may infringe claims contained in pending patent applications of which we are not aware. Further, the process of determining definitively whether a patent claim is valid and whether a particular product infringes a valid patent claim often involves expensive and protracted litigation, even if we are ultimately successful on the merits.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cannot estimate the extent to which we may be required in the future to obtain licenses with respect to intellectual property rights held by others and the availability and cost of any such licenses. Those costs, and their impact on our results of operations, could be material. Damages in patent infringement cases can be substantial, and in certain circumstances, can be trebled. To the extent that we are required to pay unanticipated royalties to third parties, these increased costs of doing business could negatively affect our liquidity and operating results. We are currently defending multiple patent infringement actions and may assert our own actions against parties we suspect of infringing our patents and trademarks. We cannot be certain the courts will conclude these companies do not own the rights they claim, that these rights are not valid, or that our products and services do not infringe on these rights. We also cannot be certain that we will be able to obtain licenses from these persons on commercially reasonable terms or, if we were unable to obtain such licenses, that we would be able to redesign our products and services to avoid infringement. The legal costs associated with defending patent suits and pursuing patent claims against others may be borne by us if we are not awarded reimbursement through the legal process. See further discussion under Item 3. — Legal Proceedings of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litigation or governmental proceedings could result in material adverse consequences, including judgments or settlements.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may become involved in lawsuits, regulatory inquiries, consumer claims and governmental and other legal proceedings arising from of our business, including new products and services that we may offer. Some of these proceedings may raise difficult and complicated factual and legal issues and can be subject to uncertainties and complexities. The timing of the final resolutions to lawsuits, regulatory inquiries, and governmental and other legal proceedings is typically uncertain. Additionally,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possible outcomes of, or resolutions to, these proceedings could include adverse judgments, settlements or liabilities, any of which could require substantial payments or have other adverse impacts on our revenue, results of operations or cash flow.</w:t>
      </w:r>
    </w:p>
    <w:p>
      <w:pPr>
        <w:spacing w:after="0" w:line="166"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We rely on network and information systems and other technologies and a disruption, cyber-attack, failure or destruction of such networks, systems or technologies may disrupt or harm our business and damage our reputation, which could have a material adverse effect on our financial condition and operating results.</w:t>
      </w:r>
    </w:p>
    <w:p>
      <w:pPr>
        <w:spacing w:after="0" w:line="18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capacity, reliability and security of our information technology hardware and software infrastructure are important to the operation of our business, which would suffer in the event of system disruptions or failures, such as computer hackings, cyber-attacks, computer viruses or other destructive or disruptive software, process breakdowns, denial of service attacks or other malicious activities. Security breaches, attacks, unauthorized access and other malicious activities have significantly increased in recent years, and some of them have involved sophisticated and highly targeted attacks on computer networks. Our networks, systems and technologies and those of our third-party service providers and our customers may also be vulnerable to such security breaches, attacks, malicious activities and unauthorized access, resulting in misappropriation, misuse, leakage, corruption, unscheduled downtime, falsification and accidental or intentional release or loss of information maintained on our and our third party service providers’ information technology systems and networks, including but not limited to customer, personnel and vendor data. If such risks were to materialize, we could be exposed to significant costs and interruptions, delays or malfunctions in our operations, any of which could damage our reputation and credibility and have a material adverse effect on our business, financial condition and results of operations. We may also be required to expend significant resources to protect against these threats or to alleviate problems, including reputational harm and litigation, caused by any breaches. Although we have significantly invested in and continue to implement generally recognized security measures, these measures may prove to be inadequate and we could be subject to regulatory penalties, fines, sanctions, enforcement actions, remediation obligations, and/or private litigation by parties whose information was improperly accessed, disclosed or misused which could have a material adverse effect on our business, financial condition and results of operations. Furthermore, the amount and scope of insurance that we maintain against losses resulting from these events may not be sufficient to compensate us adequately for any disruptions to our business or otherwise cover our losses, including reputational harm and negative publicity as well as any litigation liability. In addition, our ability to expand and update our information technology infrastructure in response to our growth and changing needs is important to the continued implementation of our new service offering initiatives. A security breach or attack could impact our ability to expand or upgrade our technology infrastructure which could have adverse consequences, including the delayed implementation of new offerings, product or service interruptions, and the diversion of development resources.</w:t>
      </w:r>
    </w:p>
    <w:p>
      <w:pPr>
        <w:spacing w:after="0" w:line="16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our products contain defects, we could be subject to significant costs to correct such defects and our product and network service contracts could be delayed or cancelled, which could adversely affect our revenue.</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products and the networks we deploy are highly complex, and some may contain defects when first introduced or when new versions or enhancements are released, despite testing and our quality control procedures. For example, our products may contain software “bugs” that can unexpectedly interfere with their operation. Defects may also occur in components and products that we purchase from third parties. In addition, many of our products and network services are designed to interface with our customers’ existing networks, each of which has different specifications and utilize multiple protocol standards. Our products and services must interoperate with the other products and services within our customers’ networks, as well as with future products and services that might be added to these networks, to meet our customers’ requirements. There can be no assurance that we will be able to detect and fix all defects in the products and networks we sell. The occurrence of any defects, errors or failures in our products or network services could result in: (i) additional costs to correct such defects; (ii) cancellation of orders and lost revenue; (iii) a reduction in revenue backlog; (iv) product returns or recalls; (v) diversion of our resources; (vi) the issuance of credits to customers and other losses to us, our customers or end-users; (vii) liability for harm to persons and property caused by defects in or failures of our products or services; and (viii) harm to our reputation if we fail to detect or effectively address such issues through design, testing or warranty repairs. Any of these occurrences could also result in the loss of or delay in market acceptance of our products and services and loss of sales, which would harm our reputation and our business and materially adversely affect our revenue and profitability.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risks of adverse government regulation.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 is subject to varying degrees of regulation in the U.S. by the FCC, and other federal, state and local entities, and in foreign countries by similar entities and internationally by the ITU. These regulations are subject to the administrative and political process and do change, for political and other reasons, from time to time. For example, the FCC recently adopted an order in its “Spectrum Frontiers” proceeding under which a portion of the Ka-band, in which we operate our broadband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gateway earth stations, has been enabled for 5G mobile terrestrial services, which could limit our flexibility to change the way in which we use Ka-band in the future. Other countries in which we currently, or may in the future, operate are also considering regulations that could limit access to the Ka-band or other frequency bands. The FCC has also opened a proceeding on non-geostationary satellites, which may adversely impact our ability to use certain spectrum for user terminals. Moreover, a substantial number of foreign countries in which we have, or may in the future make, an investment, regulate, in varying degrees, the ownership of satellites and other telecommunication facilities/networks and foreign investment in telecommunications companies. Violations of laws or regulations may result in various sanctions including fines, loss of authorizations and the denial of applications for new authorizations or for the renewal of existing authorizations. Further material changes in law and regulatory requirements may also occur, and there can be no assurance that our business and the business of our subsidiaries and affiliates will not be adversely affected by future legislation, new regulation or deregulation. The failure to obtain or comply with the authorizations and regulations governing our operations could have a material adverse effect on our ability to generate revenue and our overall competitive position and could result in our suffering serious harm to our reputation.</w:t>
      </w:r>
    </w:p>
    <w:p>
      <w:pPr>
        <w:spacing w:after="0" w:line="17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business depends on regulatory authorizations issued by the FCC and state and foreign regulators that can expire, be revoked or modified, and applications for licenses and other authorizations that may not be granted.</w:t>
      </w:r>
    </w:p>
    <w:p>
      <w:pPr>
        <w:spacing w:after="0" w:line="16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Generally all satellite, earth stations and other licenses granted by the FCC and most other countries are subject to expiration unless renewed by the regulatory agency. Our satellite licenses are currently set to expire at various times. In addition, we occasionally receive special temporary authorizations that are granted for limited periods of time (e.g., 180 days or less) and subject to possible renewal. Generally, our licenses and special temporary authorizations have been renewed on a routine basis, but there can be no assurance that this will continue. There can be no assurance that the FCC or other regulators will continue granting applications for new licenses or for the renewal of existing ones. If the FCC or other regulators were to cancel, revoke, suspend, or fail to renew any of our licenses or authorizations, or fail to grant our applications for FCC or other licenses, it could have a material adverse effect on our business, financial condition and results of operations. Specifically, loss of a frequency authorization would reduce the amount of spectrum available to us, potentially reducing the amount of services we provide to our customers. The significance of such a loss of authorizations would vary based upon, among other things, the orbital location, the frequency band and the availability of replacement spectrum. In addition, the legislative and executive branches of the U.S. government and foreign governments often consider legislation and regulatory requirements that could affect us, as could the actions that the FCC and foreign regulatory bodies take. We cannot predict the outcomes of these legislative or regulatory proceedings or their effect on our business.</w:t>
      </w:r>
    </w:p>
    <w:p>
      <w:pPr>
        <w:spacing w:after="0" w:line="17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addition, third parties have or may oppose some of our license applications and pending and future requests for extensions, modifications, waivers and approvals of our licenses. Even if we have fully complied with all of the required reporting, filing and other requirements in connection with our authorizations, it is possible a regulator could decline to grant certain of our applications or requests for authority, or could revoke, terminate, condition or decline to modify, extend or renew certain of our authorizations or licenses.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difficulties in accurately assessing and collecting contributions towards the Universal Service Fund.</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Because our customer contracts often include both telecommunications services, which create obligations to contribute to the USF, and other goods and services, which do not, it can be difficult to determine what portion of our revenue forms the basis for our required contribution to the USF and the amount that we can recover from our customers. If the FCC, which oversees the USF, or a court or other governmental entity were to determine that we computed our USF contribution obligation incorrectly or passed the wrong amount onto our customers, we could become subject to additional assessments, liabilities, or other financial penalties. In addition, the FCC is considering substantial changes to its USF contribution and distribution rules. These changes could impact our future contribution obligations and those of third parties that provide communication services to our business. Any such change to the USF contribution rules could adversely affect our costs of providing service to our customers. In addition, changes to the USF distribution rules could intensify the competition we face by offering subsidies to competing firms and/or technologies.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PENDING SHARE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risks and uncertainties associated with the pending Share Exchange.</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There are a number of risks and uncertainties associated with the pending Share Exchange including, among others, the potential failure to satisfy the conditions to closing, including the conditions related to obtaining required governmental approvals. Any delay or failure to complete the Share Exchange could negatively impact our relationships with DISH Network, other customers, suppliers and employees and could adversely affect our business. Pending completion of the Share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Exchange, the attention of our management may be focused on the transaction and related matters, and diverted from our day-to-day business operations, including from other opportunities that might benefit us.</w:t>
      </w:r>
    </w:p>
    <w:p>
      <w:pPr>
        <w:spacing w:after="0" w:line="16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might not be able to engage in certain strategic transactions because we have agreed to certain restrictions to comply with U.S. federal income tax requirements for a tax-free split-off.</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preserve the intended tax-free treatment of the Share Exchange, EchoStar will undertake upon closing of the Share Exchange to comply with certain restrictions under current U.S. federal income tax laws for split-offs, including (i) refraining from engaging in certain transactions that would result in a fifty percent or greater change by vote or by value in EchoStar’s stock ownership, (ii) continuing to own and manage EchoStar’s historic businesses, and (iii) limiting sales or redemptions of EchoStar’s and our common stock. If these restrictions, among others, are not followed, the Share Exchange could be taxable to us, EchoStar and possibly EchoStar’s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parent, EchoStar, is controlled by one principal stockholder who is our Chairman.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Charles W. Ergen, our Chairman, beneficially owns approximately 43.3% of EchoStar’s total equity securities (assuming conversion of only the Class B common stock held by Mr. Ergen into Class A common stock and giving effect to the exercise of options held by Mr. Ergen that are either currently exercisable or may become exercisable within 60 days of February 15, 2017) and possesses approximately 63.6% of the total voting power of all classes of shares (assuming no conversion of the Class B common stock and no conversion of the preferred tracking stock and giving effect to the exercise of options held by Mr. Ergen that are either currently exercisable or may become exercisable within 60 days of February 15, 2017). Mr. Ergen’s beneficial ownership of EchoStar excludes 1,640 shares of EchoStar’s Class A common stock and 14,493,094 shares of its Class A common stock issuable upon conversion of shares of its Class B common stock, in each case, currently held by certain trusts established by Mr. Ergen for the benefit of his family. These trusts beneficially own approximately 23.6% of EchoStar’s total equity securities (assuming conversion of only the Class B common stock held by such trusts into Class A common stock) and possess approximately 27.6% of EchoStar’s total voting power of all classes of shares (assuming no conversion of the Class B common stock and no conversion of the preferred tracking stock). Thus, Mr. Ergen has the ability to elect a majority of EchoStar’s directors and to control all other matters requiring the approval of EchoStar’s stockholders. As a result of Mr. Ergen’s voting power, EchoStar is a “controlled company” as defined in the Nasdaq listing rules and, therefore, is not subject to Nasdaq requirements that would otherwise require EchoStar to have (i) a majority of independent directors; (ii) a nominating committee composed solely of independent directors; (iii) compensation of our executive officers determined by a majority of the independent directors or a compensation committee composed solely of independent directors; and (iv) director nominees selected, or recommended for the Board’s selection, either by a majority of the independent directors or a nominating committee composed solely of independent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potential conflicts of interest with DISH Network due to EchoStar and DISH Network’s common ownership.</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Questions relating to conflicts of interest may arise between DISH Network and us in a number of areas relating to our past and ongoing relationships. Areas in which conflicts of interest between DISH Network and us could arise include, but are not limited to, the following:</w:t>
      </w:r>
    </w:p>
    <w:p>
      <w:pPr>
        <w:spacing w:after="0" w:line="170" w:lineRule="exact"/>
        <w:rPr>
          <w:sz w:val="20"/>
          <w:szCs w:val="20"/>
          <w:color w:val="auto"/>
        </w:rPr>
      </w:pPr>
    </w:p>
    <w:p>
      <w:pPr>
        <w:ind w:left="660" w:right="20" w:hanging="328"/>
        <w:spacing w:after="0" w:line="287" w:lineRule="auto"/>
        <w:tabs>
          <w:tab w:leader="none" w:pos="660" w:val="left"/>
        </w:tabs>
        <w:numPr>
          <w:ilvl w:val="0"/>
          <w:numId w:val="1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Cross officerships, directorships and stock ownership</w:t>
      </w:r>
      <w:r>
        <w:rPr>
          <w:rFonts w:ascii="Arial" w:cs="Arial" w:eastAsia="Arial" w:hAnsi="Arial"/>
          <w:sz w:val="16"/>
          <w:szCs w:val="16"/>
          <w:color w:val="auto"/>
        </w:rPr>
        <w:t>. We have certain overlap in our directors and Chairman position with DISH Network,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lead to conflicting interests. EchoStar’s board of directors includes persons who are officers or members of the board of directors of DISH Network, including Charles W. Ergen, who serves as the Chairman of and is employed by both companies. Our Chairman, the members of EchoStar’s board of directors and executive officers who overlap with DISH Network also have fiduciary duties to DISH Network’s shareholders. Therefore, these individuals may have actual or apparent conflicts of interest with respect to matters involving or affecting each company. For example, there is potential for a conflict of interest when we or DISH Network look at acquisitions and other corporate opportunities that may be suitable for both companies. In addition, many of EchoStar’s directors and officers own DISH Network stock and options to purchase DISH Network stock, certain of which they acquired or were granted prior to the Spin-off, including Mr. Ergen. Furthermore, until consummation of the Share Exchange, DISH Network holds shares of preferred tracking stock in EchoStar and us that in the aggregate represents an 80.0% economic interest in our residential retail satellite broadband business. These ownership interests could create actual, apparent or potential conflicts of interest when these individuals are faced with decisions that could have different implications for our company and DISH Network.</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125" w:right="2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line="282" w:lineRule="auto"/>
        <w:tabs>
          <w:tab w:leader="none" w:pos="660" w:val="left"/>
        </w:tabs>
        <w:numPr>
          <w:ilvl w:val="0"/>
          <w:numId w:val="1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Intercompany agreements with DISH Net</w:t>
      </w:r>
      <w:r>
        <w:rPr>
          <w:rFonts w:ascii="Arial" w:cs="Arial" w:eastAsia="Arial" w:hAnsi="Arial"/>
          <w:sz w:val="16"/>
          <w:szCs w:val="16"/>
          <w:color w:val="auto"/>
        </w:rPr>
        <w:t>We and EchoStar have entered into various agreements with DISH Network. Pursuant to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agreements, DISH Network provides EchoStar and us certain professional services, for which we and EchoStar pay DISH Network an amount equal to DISH Network’s cost plus a fixed margin. Certain other intercompany agreements cover matters such as tax sharing and EchoStar’s responsibility for certain liabilities previously undertaken by DISH Network for certain of EchoStar’s businesses. We and EchoStar have also entered into certain commercial agreements with DISH Network. The terms of certain of these agreements were established while EchoStar was a wholly-owned subsidiary of DISH Network and were not the result of arm’s length negotiations. The allocation of assets, liabilities, rights, indemnifications and other obligations between DISH Network and EchoStar under the separation and ancillary agreements EchoStar entered into with DISH Network did not necessarily reflect what two unaffiliated parties might have agreed to. Had these agreements been negotiated with unaffiliated third parties, their terms may have been more favorable, or less favorable, to EchoStar. In addition, DISH Network or its affiliates will continu EchoStar or its subsidiaries, us or our subsidiaries, or other affiliates, including in connection with the consummation of the Share Exchange transaction. Although the terms of any such transactions will be established based upon negotiations between DISH Network an EchoStar’s audit committee and committee of the non-interlocking directors or in certain instances non-interlocking management, there can be no assurance that the terms of any such transactions will be as favorable to us or our subsidiaries or affiliates as may otherwise be obtained in negotiations between unaffiliated third parties.d us and, when appropriate, subject to the approval of EchoStar’s audit committee and committee of the non-interlocking directors or in certain instances non-interlocking management, there can be no assurance that the terms of any such transactions will be as favorable to us or our subsidiaries or affiliates as may otherwise be obtained in negotiations between unaffiliated third parties.e to enter into transactions with EchoStar or its subsidiaries, us or our subsidiaries, or other affiliates, including in connection with the consummation of the Share Exchange transaction. Although the terms of any such transactions will be established based upon negotiations between DISH Network an EchoStar’s audit committee and committee of the non-interlocking directors or in certain instances non-interlocking management, there can be no assurance that the terms of any such transactions will be as favorable to us or our subsidiaries or affiliates as may otherwise be obtained in negotiations between unaffiliated third parties.d us and, when appropriate, subject to the approval of EchoStar’s audit committee and committee of the non-interlocking directors or in certain instances non-interlocking management, there can be no assurance that the terms of any such transactions will be as favorable to us or our subsidiaries or affiliates as may otherwise be obtained in negotiations between unaffiliated third parties.</w:t>
      </w:r>
      <w:r>
        <w:rPr>
          <w:rFonts w:ascii="Arial" w:cs="Arial" w:eastAsia="Arial" w:hAnsi="Arial"/>
          <w:sz w:val="16"/>
          <w:szCs w:val="16"/>
          <w:b w:val="1"/>
          <w:bCs w:val="1"/>
          <w:i w:val="1"/>
          <w:iCs w:val="1"/>
          <w:color w:val="auto"/>
        </w:rPr>
        <w:t>work</w:t>
      </w:r>
      <w:r>
        <w:rPr>
          <w:rFonts w:ascii="Arial" w:cs="Arial" w:eastAsia="Arial" w:hAnsi="Arial"/>
          <w:sz w:val="16"/>
          <w:szCs w:val="16"/>
          <w:color w:val="auto"/>
        </w:rPr>
        <w:t>We and EchoStar have entered into various agreements with DISH Network. Pursuant to certain agreements, DISH Network provides EchoStar and us certain professional services, for which we and EchoStar pay DISH Network an amount equal to DISH Network’s cost plus a fixed margin. Certain other intercompany agreements cover matters such as tax sharing and EchoStar’s responsibility for certain liabilities previously undertaken by DISH Network for certain of EchoStar’s businesses. We and EchoStar have also entered into certain commercial agreements with DISH Network. The terms of certain of these agreements were established while EchoStar was a wholly-owned subsidiary of DISH Network and were not the result of arm’s length negotiations. The allocation of assets, liabilities, rights, indemnifications and other obligations between DISH Network and EchoStar under the separation and ancillary agreements EchoStar entered into with DISH Network did not necessarily reflect what two unaffiliated parties might have agreed to. Had these agreements been negotiated with unaffiliated third parties, their terms may have been more favorable, or less favorable, to EchoStar. In addition, DISH Network or its affiliates will continu EchoStar or its subsidiaries, us or our subsidiaries, or other affiliates, including in connection with the consummation of the Share Exchange transaction. Although the terms of any such transactions will be established based upon negotiations between DISH Network an EchoStar’s audit committee and committee of the non-interlocking directors or in certain instances non-interlocking management, there can be no assurance that the terms of any such transactions will be as favorable to us or our subsidiaries or affiliates as may otherwise be obtained in negotiations between unaffiliated third parties.d us and, when appropriate, subject to the approval of EchoStar’s audit committee and committee of the non-interlocking directors or in certain instances non-interlocking management, there can be no assurance that the terms of any such transactions will be as favorable to us or our subsidiaries or affiliates as may otherwise be obtained in negotiations between unaffiliated third parties.e to enter into transactions with EchoStar or its subsidiaries, us or our subsidiaries, or other affiliates, including in connection with the consummation of the Share Exchange transaction. Although the terms of any such transactions will be established based upon negotiations between DISH Network an EchoStar’s audit committee and committee of the non-interlocking directors or in certain instances non-interlocking management, there can be no assurance that the terms of any such transactions will be as favorable to us or our subsidiaries or affiliates as may otherwise be obtained in negotiations between unaffiliated third parties.d us and, when appropriate, subject to the approval of EchoStar’s audit committee and committee of the non-interlocking directors or in certain instances non-interlocking management, there can be no assurance that the terms of any such transactions will be as favorable to us or our subsidiaries or affiliates as may otherwise be obtained in negotiations between unaffiliated third parties.. We and EchoStar have entered into various agreements with DISH Network. Pursuant to certain agreements, DISH Network provides EchoStar and us certain professional services, for which we and EchoStar pay DISH Network an amount equal to DISH Network’s cost plus a fixed margin. Certain other intercompany agreements cover matters such as tax sharing and EchoStar’s responsibility for certain liabilities previously undertaken by DISH Network for certain of EchoStar’s businesses. We and EchoStar have also entered into certain commercial agreements with DISH Network. The terms of certain of these agreements were established while EchoStar was a wholly-owned subsidiary of DISH Network and were not the result of arm’s length negotiations. The allocation of assets, liabilities, rights, indemnifications and other obligations between DISH Network and EchoStar under the separation and ancillary agreements EchoStar entered into with DISH Network did not necessarily reflect what two unaffiliated parties might have agreed to. Had these agreements been negotiated with unaffiliated third parties, their terms may have been more favorable, or less favorable, to EchoStar. In addition, DISH Network or its affiliates will continu EchoStar or its subsidiaries, us or our subsidiaries, or other affiliates, including in connection with the consummation of the Share Exchange transaction. Although the terms of any such transactions will be established based upon negotiations between DISH Network an EchoStar’s audit committee and committee of the non-interlocking directors or in certain instances non-interlocking management, there can be no assurance that the terms of any such transactions will be as favorable to us or our subsidiaries or affiliates as may otherwise be obtained in negotiations between unaffiliated third parties.d us and, when appropriate, subject to the approval of EchoStar’s audit committee and committee of the non-interlocking directors or in certain instances non-interlocking management, there can be no assurance that the terms of any such transactions will be as favorable to us or our subsidiaries or affiliates as may otherwise be obtained in negotiations between unaffiliated third parties.e to enter into transactions with EchoStar or its subsidiaries, us or our subsidiaries, or other affiliates, including in connection with the consummation of the Share Exchange transaction. Although the terms of any such transactions will be established based upon negotiations between DISH Network an EchoStar’s audit committee and committee of the non-interlocking directors or in certain instances non-interlocking management, there can be no assurance that the terms of any such transactions will be as favorable to us or our subsidiaries or affiliates as may otherwise be obtained in negotiations between unaffiliated third parties.d us and, when appropriate, subject to the approval of EchoStar’s audit committee and committee of the non-interlocking directors or in certain instances non-interlocking management, there can be no assurance that the terms of any such transactions will be as favorable to us or our subsidiaries or affiliates as may otherwise be obtained in negotiations between unaffiliated third parties.</w:t>
      </w:r>
    </w:p>
    <w:p>
      <w:pPr>
        <w:spacing w:after="0" w:line="290" w:lineRule="exact"/>
        <w:rPr>
          <w:rFonts w:ascii="Arial" w:cs="Arial" w:eastAsia="Arial" w:hAnsi="Arial"/>
          <w:sz w:val="16"/>
          <w:szCs w:val="16"/>
          <w:b w:val="1"/>
          <w:bCs w:val="1"/>
          <w:i w:val="1"/>
          <w:iCs w:val="1"/>
          <w:color w:val="auto"/>
        </w:rPr>
      </w:pPr>
    </w:p>
    <w:p>
      <w:pPr>
        <w:ind w:left="660" w:right="120" w:hanging="328"/>
        <w:spacing w:after="0" w:line="30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Competition for business opportunities</w:t>
      </w:r>
      <w:r>
        <w:rPr>
          <w:rFonts w:ascii="Arial" w:cs="Arial" w:eastAsia="Arial" w:hAnsi="Arial"/>
          <w:sz w:val="16"/>
          <w:szCs w:val="16"/>
          <w:color w:val="auto"/>
        </w:rPr>
        <w:t>. DISH Network retains its interests in various companies that have subsidiaries or controlled affiliates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 or operate domestic or foreign services that may compete with services offered by our businesses. In addition, pursuant to a distribution agreement, DISH Network has the right, but not the obligation, to market, sell and distribute our Hughes segment’s satellite broadband internet service under the dishNET brand which could compete with sales by our Hughes segment. DISH Network also has a distribution agreement with</w:t>
      </w:r>
    </w:p>
    <w:p>
      <w:pPr>
        <w:sectPr>
          <w:pgSz w:w="11900" w:h="16838" w:orient="portrait"/>
          <w:cols w:equalWidth="0" w:num="1">
            <w:col w:w="11400"/>
          </w:cols>
          <w:pgMar w:left="240" w:top="125" w:right="259" w:bottom="0" w:gutter="0" w:footer="0" w:header="0"/>
        </w:sectPr>
      </w:pPr>
    </w:p>
    <w:bookmarkStart w:id="20" w:name="page21"/>
    <w:bookmarkEnd w:id="20"/>
    <w:p>
      <w:pPr>
        <w:ind w:left="660" w:right="380"/>
        <w:spacing w:after="0" w:line="277" w:lineRule="auto"/>
        <w:rPr>
          <w:sz w:val="20"/>
          <w:szCs w:val="20"/>
          <w:color w:val="auto"/>
        </w:rPr>
      </w:pPr>
      <w:r>
        <w:rPr>
          <w:rFonts w:ascii="Arial" w:cs="Arial" w:eastAsia="Arial" w:hAnsi="Arial"/>
          <w:sz w:val="18"/>
          <w:szCs w:val="18"/>
          <w:color w:val="auto"/>
        </w:rPr>
        <w:t>ViaSat, a competitor of our Hughes segment, to sell services similar to those offered by our Hughes segment. We may also compete with DISH Network when we participate in auctions for spectrum or orbital slots for our satellites.</w:t>
      </w:r>
    </w:p>
    <w:p>
      <w:pPr>
        <w:spacing w:after="0" w:line="2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may not be able to resolve any potential conflicts of interest with DISH Network and, even if we do so, the resolution may be less favorable to us than if we were dealing with an unaffiliated party. We do not have any agreements not to compete with DISH Network. However, many of our potential customers who compete with DISH Network have historically perceived us as a competitor due to our affiliation with DISH Network. There can be no assurance that we will be successful in entering into any commercial relationships with potential customers who are competitors of DISH Network (particularly if we continue to be perceived as affiliated with DISH Network as a result of common ownership, certain shared management services and other arrangements with DISH Network).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wholly owned subsidiary of EchoStar and do not operate as an independent company.</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rely on EchoStar for a substantial portion of our administrative and management functions and services including human resources-related functions, accounting, tax administration, legal, external reporting, treasury administration, internal audit and insurance functions, information technology and telecommunications services and other support services. We do not have systems and resources in place to perform all of these functions or services. Instead, we generally receive these services pursuant to an arrangement between us and EchoStar. EchoStar in turn receives certain of these services from DISH Network pursuant to a professional services agreement entered into between them. We anticipate continuing to rely upon DISH Network to provide some of these services. If our intercompany arrangement with EchoStar were to terminate, or if EchoStar no longer receives certain services from DISH Network, we would need to obtain agreements with third-party service providers or obtain additional internal resources, neither of which may be available on acceptable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 may be difficult for a third party to acquire us, even if doing so may be beneficial to our shareholders, because of our capital structure.</w:t>
      </w:r>
    </w:p>
    <w:p>
      <w:pPr>
        <w:spacing w:after="0" w:line="24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Certain provisions of our articles of incorporation and bylaws, such as a provision that authorizes the issuance of “blank check” preferred stock, which could be issued by our board of directors to increase the number of outstanding shares and thwart a takeover attempt, may discourage delay or prevent a change in control of our company that a shareholder may consider favorable. In addition, our parent, EchoStar holds all of our issued and outstanding shares of common stock, which results in EchoStar having the power to elect all of our directors and control shareholder decision on all matters.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The preferred tracking stock in our capital structure may create conflicts of interest for our board of directors and management, and our board of directors may make decisions that could adversely affect only one group of holders.</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If the Share Exchange is not consummated, our preferred tracking stock capital structure could give rise to occasions when the interests of holders of stock of one group might diverge or appear to diverge from the interests of holders of stock of the other group and our board of directors or officers could make decisions that could adversely affect only one group of holders. Colorado law requires that our board of directors and officers act in good faith and with a view to the interest of the company and are not required to consider, as a dominant factor, the effect of a proposed corporate action upon any particular group of shareholders. Decisions deemed to be in the interest of our company may not always align with the best interest of a particular group of our shareholders when considered independently. Examples include, but are not limited to:</w:t>
      </w:r>
    </w:p>
    <w:p>
      <w:pPr>
        <w:spacing w:after="0" w:line="178" w:lineRule="exact"/>
        <w:rPr>
          <w:sz w:val="20"/>
          <w:szCs w:val="20"/>
          <w:color w:val="auto"/>
        </w:rPr>
      </w:pPr>
    </w:p>
    <w:p>
      <w:pPr>
        <w:ind w:left="660" w:right="1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decisions as to the terms of any business relationships that may be created between the EchoStar Group and the Hughes Retail Group and the terms of any reattributions of assets between the groups;</w:t>
      </w:r>
    </w:p>
    <w:p>
      <w:pPr>
        <w:spacing w:after="0" w:line="3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decisions as to the allocation of corporate opportunities between the groups, especially where the opportunities might meet the strategic business objectives of both groups;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decisions as to operational and financial matters that could be considered detrimental to one group but beneficial to the other;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decisions as to the internal or external financing attributable to businesses or assets attributed to either of our groups;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decisions as to the payment of dividends on our common stock or preferred tracking stock;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decisions as to the disposition of assets of either of our groups.</w:t>
      </w:r>
    </w:p>
    <w:p>
      <w:pPr>
        <w:spacing w:after="0" w:line="30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as our preferred tracking stock is currently held by DISH Network, if the Share Exchange is not consummated questions relating to conflicts of interest may also arise between DISH Network and us due to EchoStar and DISH Network’s common ownership and Chairman. Provisions of Colorado law and our articles of incorporation may protect decisions of our board of directors and officers that have a disparate impact on one group of shareholders. Our shareholders may have limited or no legal remedies under Colorado law with respect to such decisions even if the actions of our directors or officers adversely affect the market value of our common stock.</w:t>
      </w:r>
    </w:p>
    <w:p>
      <w:pPr>
        <w:spacing w:after="0" w:line="18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If the Share Exchange is not consummated, our board of directors has the ability to change our attribution policies at any time without a vote of our common shareholders.</w:t>
      </w:r>
    </w:p>
    <w:p>
      <w:pPr>
        <w:spacing w:after="0" w:line="16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board of directors has adopted the Policy Statement. Our board of directors may at any time change or make exceptions to the Policy Statement with only the consent of holders of a majority of the outstanding shares of our preferred tracking stock. Because these policies relate to matters concerning the day-to-day management of our company as opposed to significant corporate actions, such as a merger involving the Company or a sale of substantially all of our assets, no approval from our common shareholders is required with respect to the changes or exceptions to these policies. A decision to change, or make exceptions to the Policy Statement or adopt additional policies could disadvantage one group of shareholders while advantaging another.</w:t>
      </w:r>
    </w:p>
    <w:p>
      <w:pPr>
        <w:spacing w:after="0" w:line="1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Changes in United States Generally Accepted Accounting Principles (“GAAP”) could adversely affect our reported financial results and may require significant changes to our internal accounting systems and processes.</w:t>
      </w:r>
    </w:p>
    <w:p>
      <w:pPr>
        <w:spacing w:after="0" w:line="166"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We prepare our consolidated financial statements in conformity with GAAP. These principles are subject to interpretation by the Financial Accounting Standards Board (“FASB”), the SEC and various bodies formed to interpret and create appropriate accounting principles and guidance.</w:t>
      </w:r>
    </w:p>
    <w:p>
      <w:pPr>
        <w:spacing w:after="0" w:line="12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FASB is currently working together with the International Accounting Standards Board to converge certain accounting principles and facilitate more comparable financial reporting between companies that are required to follow GAAP and those that are required to follow International Financial Reporting Standards. In connection with this initiative, the FASB issued new accounting standards for revenue recognition and accounting for leases. For information regarding new accounting standards, please refer to Note 2 in the notes to consolidated financial statements in Item 15 of this report under the heading “New Accounting Pronouncements.” These and other such standards may result in different accounting principles, which may significantly impact our reported results or could result in volatility of our financial results. In addition, we may need to significantly change our customer and vendor contracts, accounting systems and processes. The cost and effect of these changes may adversely impact our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other risks described from time to time in periodic and current reports we file with the SEC.</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principal executive offices are located at 100 Inverness Terrace East, Englewood, Colorado 80112-5308 and our telephone number is (303) 706-4000. The following table sets forth certain information concerning our principal properties related to our Hughes segment (“Hughes”), EchoStar Satellite Services segment (“ESS”) and to our other operations and administrative functions (“Other”) as of December 31, 2016. We operate various facilities in the U.S. and abroad. We believe that our facilities are well maintained and are sufficient to meet our current and projected needs.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Leased/</w:t>
            </w:r>
          </w:p>
        </w:tc>
        <w:tc>
          <w:tcPr>
            <w:tcW w:w="5240" w:type="dxa"/>
            <w:vAlign w:val="bottom"/>
          </w:tcPr>
          <w:p>
            <w:pPr>
              <w:spacing w:after="0"/>
              <w:rPr>
                <w:sz w:val="18"/>
                <w:szCs w:val="18"/>
                <w:color w:val="auto"/>
              </w:rPr>
            </w:pPr>
          </w:p>
        </w:tc>
      </w:tr>
      <w:tr>
        <w:trPr>
          <w:trHeight w:val="234"/>
        </w:trPr>
        <w:tc>
          <w:tcPr>
            <w:tcW w:w="3460" w:type="dxa"/>
            <w:vAlign w:val="bottom"/>
            <w:gridSpan w:val="2"/>
          </w:tcPr>
          <w:p>
            <w:pPr>
              <w:ind w:left="40"/>
              <w:spacing w:after="0"/>
              <w:rPr>
                <w:sz w:val="20"/>
                <w:szCs w:val="20"/>
                <w:color w:val="auto"/>
              </w:rPr>
            </w:pPr>
            <w:r>
              <w:rPr>
                <w:rFonts w:ascii="Arial" w:cs="Arial" w:eastAsia="Arial" w:hAnsi="Arial"/>
                <w:sz w:val="18"/>
                <w:szCs w:val="18"/>
                <w:b w:val="1"/>
                <w:bCs w:val="1"/>
                <w:color w:val="auto"/>
              </w:rPr>
              <w:t>Location (4)</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Segment(s)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Owned</w:t>
            </w:r>
          </w:p>
        </w:tc>
        <w:tc>
          <w:tcPr>
            <w:tcW w:w="5240" w:type="dxa"/>
            <w:vAlign w:val="bottom"/>
          </w:tcPr>
          <w:p>
            <w:pPr>
              <w:ind w:left="2280"/>
              <w:spacing w:after="0"/>
              <w:rPr>
                <w:sz w:val="20"/>
                <w:szCs w:val="20"/>
                <w:color w:val="auto"/>
              </w:rPr>
            </w:pPr>
            <w:r>
              <w:rPr>
                <w:rFonts w:ascii="Arial" w:cs="Arial" w:eastAsia="Arial" w:hAnsi="Arial"/>
                <w:sz w:val="18"/>
                <w:szCs w:val="18"/>
                <w:b w:val="1"/>
                <w:bCs w:val="1"/>
                <w:color w:val="auto"/>
              </w:rPr>
              <w:t>Function</w:t>
            </w:r>
          </w:p>
        </w:tc>
      </w:tr>
      <w:tr>
        <w:trPr>
          <w:trHeight w:val="27"/>
        </w:trPr>
        <w:tc>
          <w:tcPr>
            <w:tcW w:w="3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San Diego, California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Hughes</w:t>
            </w: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Engineering and sales offices</w:t>
            </w:r>
          </w:p>
        </w:tc>
      </w:tr>
      <w:tr>
        <w:trPr>
          <w:trHeight w:val="229"/>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Manufacturing and testing facilities, engineering and logistics and</w:t>
            </w:r>
          </w:p>
        </w:tc>
      </w:tr>
      <w:tr>
        <w:trPr>
          <w:trHeight w:val="230"/>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Gaithersburg, Maryland</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Hughes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5240" w:type="dxa"/>
            <w:vAlign w:val="bottom"/>
          </w:tcPr>
          <w:p>
            <w:pPr>
              <w:ind w:left="20"/>
              <w:spacing w:after="0"/>
              <w:rPr>
                <w:sz w:val="20"/>
                <w:szCs w:val="20"/>
                <w:color w:val="auto"/>
              </w:rPr>
            </w:pPr>
            <w:r>
              <w:rPr>
                <w:rFonts w:ascii="Arial" w:cs="Arial" w:eastAsia="Arial" w:hAnsi="Arial"/>
                <w:sz w:val="18"/>
                <w:szCs w:val="18"/>
                <w:color w:val="auto"/>
              </w:rPr>
              <w:t>administrative offices</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Southfield, Michigan (1)</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Hughes</w:t>
            </w: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Shared hub</w:t>
            </w:r>
          </w:p>
        </w:tc>
      </w:tr>
      <w:tr>
        <w:trPr>
          <w:trHeight w:val="229"/>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w w:val="93"/>
              </w:rPr>
              <w:t>Shared hub, antennae yards, gateway, backup network operation and</w:t>
            </w:r>
          </w:p>
        </w:tc>
      </w:tr>
      <w:tr>
        <w:trPr>
          <w:trHeight w:val="230"/>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Las Vegas, Nevada (1)</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Hughes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5240" w:type="dxa"/>
            <w:vAlign w:val="bottom"/>
          </w:tcPr>
          <w:p>
            <w:pPr>
              <w:ind w:left="20"/>
              <w:spacing w:after="0"/>
              <w:rPr>
                <w:sz w:val="20"/>
                <w:szCs w:val="20"/>
                <w:color w:val="auto"/>
              </w:rPr>
            </w:pPr>
            <w:r>
              <w:rPr>
                <w:rFonts w:ascii="Arial" w:cs="Arial" w:eastAsia="Arial" w:hAnsi="Arial"/>
                <w:sz w:val="18"/>
                <w:szCs w:val="18"/>
                <w:color w:val="auto"/>
              </w:rPr>
              <w:t>control center for Hughes corporate headquarters</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American Fork, Utah (5)</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Hughes</w:t>
            </w: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 space and engineering offices</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Barueri, Brazil (1)</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Hughes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5240" w:type="dxa"/>
            <w:vAlign w:val="bottom"/>
          </w:tcPr>
          <w:p>
            <w:pPr>
              <w:ind w:left="20"/>
              <w:spacing w:after="0"/>
              <w:rPr>
                <w:sz w:val="20"/>
                <w:szCs w:val="20"/>
                <w:color w:val="auto"/>
              </w:rPr>
            </w:pPr>
            <w:r>
              <w:rPr>
                <w:rFonts w:ascii="Arial" w:cs="Arial" w:eastAsia="Arial" w:hAnsi="Arial"/>
                <w:sz w:val="18"/>
                <w:szCs w:val="18"/>
                <w:color w:val="auto"/>
              </w:rPr>
              <w:t>Shared hub and warehouse</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Sao Paulo, Brazil</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Hughes</w:t>
            </w: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Hughes Brazil corporate headquarters, sales offices, and warehouse</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Bangalore, India (2)</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Hughes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5240" w:type="dxa"/>
            <w:vAlign w:val="bottom"/>
          </w:tcPr>
          <w:p>
            <w:pPr>
              <w:ind w:left="20"/>
              <w:spacing w:after="0"/>
              <w:rPr>
                <w:sz w:val="20"/>
                <w:szCs w:val="20"/>
                <w:color w:val="auto"/>
              </w:rPr>
            </w:pPr>
            <w:r>
              <w:rPr>
                <w:rFonts w:ascii="Arial" w:cs="Arial" w:eastAsia="Arial" w:hAnsi="Arial"/>
                <w:sz w:val="18"/>
                <w:szCs w:val="18"/>
                <w:color w:val="auto"/>
              </w:rPr>
              <w:t>Office space</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29"/>
        </w:trPr>
        <w:tc>
          <w:tcPr>
            <w:tcW w:w="3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offices, shared hub, operations, warehouse, and</w:t>
            </w:r>
          </w:p>
        </w:tc>
      </w:tr>
      <w:tr>
        <w:trPr>
          <w:trHeight w:val="237"/>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Gurgaon, India (1)(2)</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Hughes</w:t>
            </w: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 center</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New Delhi, India</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Hughes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5240" w:type="dxa"/>
            <w:vAlign w:val="bottom"/>
          </w:tcPr>
          <w:p>
            <w:pPr>
              <w:ind w:left="20"/>
              <w:spacing w:after="0"/>
              <w:rPr>
                <w:sz w:val="20"/>
                <w:szCs w:val="20"/>
                <w:color w:val="auto"/>
              </w:rPr>
            </w:pPr>
            <w:r>
              <w:rPr>
                <w:rFonts w:ascii="Arial" w:cs="Arial" w:eastAsia="Arial" w:hAnsi="Arial"/>
                <w:sz w:val="18"/>
                <w:szCs w:val="18"/>
                <w:color w:val="auto"/>
              </w:rPr>
              <w:t>Hughes India corporate headquarters</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Mexico City, Mexico</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Hughes</w:t>
            </w: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office, gateways</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Milton Keynes, United Kingdom</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Hughes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5240" w:type="dxa"/>
            <w:vAlign w:val="bottom"/>
          </w:tcPr>
          <w:p>
            <w:pPr>
              <w:ind w:left="20"/>
              <w:spacing w:after="0"/>
              <w:rPr>
                <w:sz w:val="20"/>
                <w:szCs w:val="20"/>
                <w:color w:val="auto"/>
              </w:rPr>
            </w:pPr>
            <w:r>
              <w:rPr>
                <w:rFonts w:ascii="Arial" w:cs="Arial" w:eastAsia="Arial" w:hAnsi="Arial"/>
                <w:sz w:val="18"/>
                <w:szCs w:val="18"/>
                <w:color w:val="auto"/>
              </w:rPr>
              <w:t>Hughes Europe corporate headquarters and operations</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29"/>
        </w:trPr>
        <w:tc>
          <w:tcPr>
            <w:tcW w:w="3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Hughes corporate headquarters, engineering offices, network operations</w:t>
            </w:r>
          </w:p>
        </w:tc>
      </w:tr>
      <w:tr>
        <w:trPr>
          <w:trHeight w:val="237"/>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Germantown, Maryland (1)</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Hughes</w:t>
            </w:r>
          </w:p>
        </w:tc>
        <w:tc>
          <w:tcPr>
            <w:tcW w:w="13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Owned</w:t>
            </w: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shared hubs</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Griesheim, Germany (1)</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Hughes</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Owned</w:t>
            </w:r>
          </w:p>
        </w:tc>
        <w:tc>
          <w:tcPr>
            <w:tcW w:w="5240" w:type="dxa"/>
            <w:vAlign w:val="bottom"/>
          </w:tcPr>
          <w:p>
            <w:pPr>
              <w:ind w:left="20"/>
              <w:spacing w:after="0"/>
              <w:rPr>
                <w:sz w:val="20"/>
                <w:szCs w:val="20"/>
                <w:color w:val="auto"/>
              </w:rPr>
            </w:pPr>
            <w:r>
              <w:rPr>
                <w:rFonts w:ascii="Arial" w:cs="Arial" w:eastAsia="Arial" w:hAnsi="Arial"/>
                <w:sz w:val="18"/>
                <w:szCs w:val="18"/>
                <w:color w:val="auto"/>
              </w:rPr>
              <w:t>Shared hub, operations, administrative offices and warehouse</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Gilbert, Arizona (1)(3)(5)</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ESS</w:t>
            </w: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Digital broadcast operations center</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Black Hawk, South Dakota (1)(3)</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ESS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5240" w:type="dxa"/>
            <w:vAlign w:val="bottom"/>
          </w:tcPr>
          <w:p>
            <w:pPr>
              <w:ind w:left="20"/>
              <w:spacing w:after="0"/>
              <w:rPr>
                <w:sz w:val="20"/>
                <w:szCs w:val="20"/>
                <w:color w:val="auto"/>
              </w:rPr>
            </w:pPr>
            <w:r>
              <w:rPr>
                <w:rFonts w:ascii="Arial" w:cs="Arial" w:eastAsia="Arial" w:hAnsi="Arial"/>
                <w:sz w:val="18"/>
                <w:szCs w:val="18"/>
                <w:color w:val="auto"/>
              </w:rPr>
              <w:t>Spacecraft autotrack operations center</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Cheyenne, Wyoming (1)(3)(5)</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ESS</w:t>
            </w: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Digital broadcast operations center</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Mustang Ridge, Texas (1)(3)</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ESS</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Owned</w:t>
            </w:r>
          </w:p>
        </w:tc>
        <w:tc>
          <w:tcPr>
            <w:tcW w:w="5240" w:type="dxa"/>
            <w:vAlign w:val="bottom"/>
          </w:tcPr>
          <w:p>
            <w:pPr>
              <w:ind w:left="20"/>
              <w:spacing w:after="0"/>
              <w:rPr>
                <w:sz w:val="20"/>
                <w:szCs w:val="20"/>
                <w:color w:val="auto"/>
              </w:rPr>
            </w:pPr>
            <w:r>
              <w:rPr>
                <w:rFonts w:ascii="Arial" w:cs="Arial" w:eastAsia="Arial" w:hAnsi="Arial"/>
                <w:sz w:val="18"/>
                <w:szCs w:val="18"/>
                <w:color w:val="auto"/>
              </w:rPr>
              <w:t>Micro digital broadcast center</w:t>
            </w:r>
          </w:p>
        </w:tc>
      </w:tr>
      <w:tr>
        <w:trPr>
          <w:trHeight w:val="256"/>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Hughes/</w:t>
            </w: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230"/>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Englewood, Colorado (3)(5)</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ESS/Other</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Owned</w:t>
            </w:r>
          </w:p>
        </w:tc>
        <w:tc>
          <w:tcPr>
            <w:tcW w:w="5240" w:type="dxa"/>
            <w:vAlign w:val="bottom"/>
          </w:tcPr>
          <w:p>
            <w:pPr>
              <w:ind w:left="20"/>
              <w:spacing w:after="0"/>
              <w:rPr>
                <w:sz w:val="20"/>
                <w:szCs w:val="20"/>
                <w:color w:val="auto"/>
              </w:rPr>
            </w:pPr>
            <w:r>
              <w:rPr>
                <w:rFonts w:ascii="Arial" w:cs="Arial" w:eastAsia="Arial" w:hAnsi="Arial"/>
                <w:sz w:val="18"/>
                <w:szCs w:val="18"/>
                <w:color w:val="auto"/>
              </w:rPr>
              <w:t>Corporate headquarters, gateways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perform network services and customer support functions 24 hours a day, 365 days a year at these locations.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These properties are used by subsidiaries that are less than wholly-owned by the Company.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These properties are owned by EchoStar Corporation or its subsidiaries.</w:t>
      </w:r>
    </w:p>
    <w:p>
      <w:pPr>
        <w:spacing w:after="0" w:line="1" w:lineRule="exact"/>
        <w:rPr>
          <w:rFonts w:ascii="Arial" w:cs="Arial" w:eastAsia="Arial" w:hAnsi="Arial"/>
          <w:sz w:val="14"/>
          <w:szCs w:val="14"/>
          <w:color w:val="auto"/>
        </w:rPr>
      </w:pPr>
    </w:p>
    <w:p>
      <w:pPr>
        <w:ind w:left="340" w:right="60" w:hanging="332"/>
        <w:spacing w:after="0" w:line="24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addition to the above properties, we have multiple gateways throughout the Western part of the U.S., Mexico and Canada that support the SPACEWAY 3, EchoStar XVII, and EchoStar XIX satellites as well as multiple regional broadcast operations centers.</w:t>
      </w:r>
    </w:p>
    <w:p>
      <w:pPr>
        <w:ind w:left="340" w:right="300" w:hanging="332"/>
        <w:spacing w:after="0" w:line="248"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These properties are a part of the EchoStar Technologies segment of EchoStar. As a result, they, or a portion thereof, will be transferred in connection with, and upon consummation of, the pending Share Exchange. Hughes and ESS may enter into agreements with DISH Network for continued use of all or a portion of some of these facilities. See Note 18 in the notes to consolidated financial statements in Item 15 for further discussion of the Share Exchange.</w:t>
      </w:r>
    </w:p>
    <w:p>
      <w:pPr>
        <w:spacing w:after="0" w:line="1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legal proceedings, see Note 13 in the notes to consolidated financial statements in Item 15 of this report.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19"/>
          </w:cols>
          <w:pgMar w:left="240" w:top="125" w:right="1440"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 xml:space="preserve">Market Information. </w:t>
      </w:r>
      <w:r>
        <w:rPr>
          <w:rFonts w:ascii="Arial" w:cs="Arial" w:eastAsia="Arial" w:hAnsi="Arial"/>
          <w:sz w:val="17"/>
          <w:szCs w:val="17"/>
          <w:color w:val="auto"/>
        </w:rPr>
        <w:t>As of February 15, 2017, all of our 1,000 issued and outstanding shares of common stock were held by EchoStar. There is currently no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established trading market for our common stock. On December 20, 2013, we amended our Articles of Incorporation to authorize the issuance of 1,000,000 shares of preferred stock. As of February 15, 2017, 81.128 shares of our preferred stock were issued and outstanding.</w:t>
      </w:r>
    </w:p>
    <w:p>
      <w:pPr>
        <w:spacing w:after="0" w:line="166"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b w:val="1"/>
          <w:bCs w:val="1"/>
          <w:i w:val="1"/>
          <w:iCs w:val="1"/>
          <w:color w:val="auto"/>
        </w:rPr>
        <w:t>Dividends</w:t>
      </w:r>
      <w:r>
        <w:rPr>
          <w:rFonts w:ascii="Arial" w:cs="Arial" w:eastAsia="Arial" w:hAnsi="Arial"/>
          <w:sz w:val="17"/>
          <w:szCs w:val="17"/>
          <w:color w:val="auto"/>
        </w:rPr>
        <w:t>. We have not paid any cash dividends on our common stock in the past two years. Payment of any future dividends will depend upon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earnings, capital requirements, contractual restrictions, and other factors the board of directors considers appropriate. We currently intend to retain our earnings, if any, to support future growth and expansion. Our ability to declare dividends is affected by covenants in our indentures.</w:t>
      </w:r>
    </w:p>
    <w:p>
      <w:pPr>
        <w:spacing w:after="0" w:line="16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NARRATIVE ANALYSIS OF RESULTS OF OPERATIONS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Unless the context indicates otherwise, as used herein, the terms “we,” “us,” “HSS,” the “Company” and “our” refer to Hughes Satellite Systems Corporation and its subsidiaries. References to “$” are to United States dollars. The following management’s narrative analysis of results of operations should be read in conjunction with the consolidated financial statements and notes to our financial statements included elsewhere in this Annual Report on Form 10-K. This management’s narrative analysis is intended to help provide an understanding of our financial condition, changes in our financial condition and our results of operations. Many of the statements in this management’s narrative analysis are forward-looking statements that involve assumptions and are subject to risks and uncertainties that are often difficult to predict and beyond our control. Actual results could differ materially from those expressed or implied by such forward-looking statements. See “Disclosure Regarding Forward-Looking Statements” in this Annual Report on Form 10-K for further discussion. For a discussion of additional risks, uncertainties and other factors that could impact our results of operations or financial condition, see the caption “Risk Factors” in Item 1A of this Annual Report on Form 10-K. Further, such forward-looking statements speak only as of the date of this Annual Report on Form 10-K and we undertake no obligation to update them.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are a holding company and a subsidiary of EchoStar Corporation (“EchoStar”). We were formed as a Colorado corporation in March 2011. We are a global provider of satellite service operations, video delivery solutions, broadband satellite technologies and broadband services for home and small office customers. We deliver innovative network technologies, managed services, and various communications solutions for enterprise and government customers. We currently operate in two business segments, which are differentiated primarily by their operational focus: Hughes and EchoStar Satellite Services (“ESS”). These segments are consistent with the way decisions regarding the allocation of resources are made, as well as how operating results are reviewed by our chief operating decision maker (“CODM”), who for HSS, is the Company’s Chief Executive Officer.</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January 31, 2017, our parent company EchoStar and certain of our and EchoStar’s subsidiaries entered into the Share Exchange Agreement. The Share Exchange Agreement provides, among other things, that EchoStar and its subsidiaries will receive all of the shares of the EchoStar Tracking Stock and HSS Tracking Stock in exchange for 100% of the equity interests of certain subsidiaries of EchoStar that will hold its EchoStar Technologies segment businesses. Following consummation of the Share Exchange, the HSS Tracking Stock will be retired and all agreements, arrangements and policy statements with respect to, and terms of, such tracking stock will terminate and be of no further effect. See “Pending Share Exchange” in Item 1. Business and “Risks Related to the Pending Share Exchange” in Item 1A. Risk Factors of this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for the Year Ended December 31, 2016</w:t>
      </w:r>
    </w:p>
    <w:p>
      <w:pPr>
        <w:spacing w:after="0" w:line="22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of $1.80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income of $350.7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income of $121.7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income attributable to HSS of $120.0 million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7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EBITDA of $782.5 million (see reconciliation of this non-GAAP measure on page 28)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December 31, 2016</w:t>
      </w:r>
    </w:p>
    <w:p>
      <w:pPr>
        <w:spacing w:after="0" w:line="22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assets of $6.38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liabilities of $4.62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shareholders’ equity of $1.76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of $2.26 billion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Hughes segment is a global provider of broadband satellite technologies and broadband services for home and small office customers. We deliver network technologies, managed services, equipment, and communications solutions for domestic and international consumers and enterprise and government customers. In addition, our Hughes segment provides and installs gateway and terminal equipment and provides satellite ground segment systems and terminals for other satellite systems, including mobile system operators.</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continue to focus our efforts on growing our Hughes segment consumer revenue by maximizing utilization of our existing satellites while planning for new satellites to be launched. Our consumer revenue growth depends on our success in adding new subscribers and driving higher average revenue per subscriber across our wholesale and retail channels.</w:t>
      </w:r>
    </w:p>
    <w:p>
      <w:pPr>
        <w:spacing w:after="0" w:line="18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Hughes segment currently uses its two owned satellites, the SPACEWAY 3 satellite and the EchoStar XVII satellite, and additional satellite capacity acquired from multiple third-party providers, to provide satellite broadband internet access and communications services to our customers. We currently provide HughesNet Gen4 satellite broadband internet services to our consumer market customers in North America on the EchoStar XVII satellite. In December 2016, EchoStar launched the EchoStar XIX satellite, a next-generation, high throughput geostationary satellite, which will provide significant capacity for continued subscriber growth. The EchoStar XIX satellite employs a multi-spot beam, bent pipe Ka-band architecture and will provide additional capacity for the Hughes broadband services to our customers in North America and added capacity in Mexico and certain Latin American countries and is expected to add capability for aeronautical, enterprise and international broadband services. Capital expenditures associated with the construction and launch of the EchoStar XIX satellite have been incurred by our parent company. EchoStar contributed the EchoStar XIX satellite to us in February 2017.</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our broadband consumer service offerings, our Hughes segment also provides network technologies, managed services, hardware, equipment and satellite services to large enterprise and government customers globally. Examples of such customers include lottery agencies, gas station operators and companies with multi-branch networks that rely on satellite or terrestrial networks for critical communication across wide geographies. Most of our enterprise customers have contracts with us for the services they purchase.</w:t>
      </w:r>
    </w:p>
    <w:p>
      <w:pPr>
        <w:spacing w:after="0" w:line="18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Developments toward the launch of next-generation satellite systems including low-earth orbit (“LEO”) and geostationary systems could provide additional opportunities to drive the demand for our network equipment and services. The growth of our enterprise and equipment businesses relies heavily on global economic conditions and the competitive landscape for pricing relative to competitors and alternative technologies.</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continue our efforts to grow our consumer satellite services business outside of the U.S. In April 2014, we entered into a satellite services agreement pursuant to which Eutelsat do Brasil provides us Ka-band capacity into Brazil on the EUTELSAT 65 West A satellite for a 15-year term. That satellite was launched in March 2016 and we began delivering high-speed consumer satellite broadband services in Brazil in July 2016. In September 2015, we entered into satellite services agreements pursuant to which affiliates of Telesat Canada (“Telesat”) will provide to us the Ka-band capacity on a satellite to be located at the 63 degree west longitude orbital location for a 15-year term. We expect the satellite to be launched in the second quarter of 2018 and plan to provide service in additional markets across South America once that capacity is available for commercial use.</w:t>
      </w:r>
    </w:p>
    <w:p>
      <w:pPr>
        <w:spacing w:after="0" w:line="17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are tracking closely the developments in next-generation satellite businesses, and we are seeking to utilize our services, technologies and expertise to find new commercial opportunities for our business. In June 2015, EchoStar made an equity investment in WorldVu Satellites Limited (“OneWeb”), a global LEO satellite service company. In addition, our Hughes segment entered into an agreement with OneWeb to provide certain equipment and services in connection with the ground systems for OneWeb’s LEO satellites.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of December 31, 2016, 2015 and 2014, our Hughes segment had approximately 1,036,000, 1,035,000 and 977,000 broadband subscribers, respectively. These broadband subscribers include customers that subscribe to our HughesNet broadband services through retail, wholesale and small/medium enterprise service channels. Gross subscriber additions increased by approximately 19,000 in the fourth quarter of 2016 when compared to the third quarter of 2016 primarily due to an increase in additions in our retail channel due to the launch of our broadband service in Brazil in the second quarter of 2016 offset partially by a decrease in additions in our wholesale channel due to our lack of free capacity due to satellite beams servicing certain areas reaching capacity. Our average monthly subscriber churn percentage for the fourth quarter of 2016 decreased as compared to the third quarter of 2016. As a result of higher gross subscriber additions and a decrease in churn, net subscribers for the quarter ended December 31, 2016 increased by approximately 30,000 when compared to the third quarter of 2016 with increases in retail and decreases in wholesale subscribers. Subscriber additions and churn include only subscribers through our retail and wholesale channels.</w:t>
      </w:r>
    </w:p>
    <w:p>
      <w:pPr>
        <w:spacing w:after="0" w:line="18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As of December 31, 2016 and 2015, our Hughes segment had approximately $1.52 billion and $1.44 billion, respectively, of contracted revenue backlog. We define Hughes contracted revenue backlog as our expected future revenue under customer contracts that are non-cancelable, excluding agreements with customers in our consumer market. The increase in contracted revenue backlog is primarily due to an increase in customer contracts from our international markets as a result of future commitments to provide satellite services and gateway and network management services on the EchoStar XIX satellite. Of the total contracted revenue backlog as of December 31, 2016, we expect to recognize approximately $436.5 million of revenue in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 Satellite Services Segment</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ESS segment is a global provider of satellite service operations and video delivery solutions. We operate our business using our owned and leased in-orbit satellites. We provide satellite services on a full-time and occasional-use basis primarily to DISH Network Corporation (“DISH Network”) (our largest customer), Dish Mexico, S. de R.L. de C.V. (“Dish Mexico”), U.S. government service providers, internet service providers, broadcast news organizations, programmers and private enterprise customers.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depend on DISH Network for a significant portion of the revenue for our ESS segment, and we expect that DISH Network will continue to be the primary source of revenue for our ESS segment. Therefore, the results of operations of our ESS segment are linked to changes in DISH Network’s satellite capacity requirements. DISH Network’s capacity requirements have been driven by the addition of new channels and migration of programming to high-definition TV and video on demand services. The services that we provide to DISH Network are critical to its nationwide delivery of content to its customers across the U.S. While we expect to continue to provide satellite services to DISH Network, its satellite capacity requirements may change for a variety of reasons, including its ability to construct and launch its own satellites. Any termination or reduction in the services we provide to DISH Network may cause us to have unused capacity on our satellites and require that we aggressively pursue alternative sources of revenue for this business.</w:t>
      </w:r>
    </w:p>
    <w:p>
      <w:pPr>
        <w:spacing w:after="0" w:line="167"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In August 2014, we entered into: (i) a construction contract with Airbus Defence and Space SAS for the construction of the EchoStar 105/SES-11 satellite with C-band, Ku-band and Ka-band payloads; (ii) an agreement with SES Satellite Leasing Limited for the procurement of the related launch services; and</w:t>
      </w:r>
    </w:p>
    <w:p>
      <w:pPr>
        <w:ind w:right="80" w:firstLine="8"/>
        <w:spacing w:after="0" w:line="269" w:lineRule="auto"/>
        <w:tabs>
          <w:tab w:leader="none" w:pos="3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agreement with SES Americom Inc. (“SES”) pursuant to which we will transfer the title to the C-band and Ka-band payloads to SES Satellite Leasing Limited at launch and transfer the title to the Ku-band payload to SES following in-orbit testing of the satellite. Simultaneously, SES will provide to us satellite service on the entire Ku-band payload on the EchoStar 105/SES-11 satellite for an initial ten-year term, with an option for us to renew the agreement on a year-to-year basis. Due to anomalies experienced by our launch provider, the expected launch date of the EchoStar 105/SES-11 satellite has been delayed. We currently expect to launch the EchoStar 105/SES-11 satellite in the second quarter of 2017. Our Ku-band payload on the EchoStar 105/SES-11 satellite will replace and augment our current capacity on the AMC-15 satellite. As a result of this launch delay, we have incurred and expect to incur additional costs related to the lease of the AMC-15 satellite.</w:t>
      </w:r>
    </w:p>
    <w:p>
      <w:pPr>
        <w:spacing w:after="0" w:line="18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Revenue growth in our ESS segment depends largely on our ability to continuously make additional satellite capacity available for sale. Once the EchoStar 105/SES-11 satellite is launched and placed into operation, we expect periodic revenue from the satellite to exceed the amount currently generated by the AMC-15 satellite. As a result of the launch delay, we expect a delay in revenue generated from the EchoStar 105/SES-11 satellite.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7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continue to pursue expanding our business offerings by providing value added services such as telemetry, tracking, and control services to third parties, which leverages the ground monitoring networks and personnel currently within our ESS segment.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2016 and 2015, our ESS segment had contracted revenue backlog attributable to satellites currently in orbit of approximately</w:t>
      </w:r>
    </w:p>
    <w:p>
      <w:pPr>
        <w:spacing w:after="0" w:line="35" w:lineRule="exact"/>
        <w:rPr>
          <w:sz w:val="20"/>
          <w:szCs w:val="20"/>
          <w:color w:val="auto"/>
        </w:rPr>
      </w:pPr>
    </w:p>
    <w:p>
      <w:pPr>
        <w:jc w:val="both"/>
        <w:ind w:right="580"/>
        <w:spacing w:after="0" w:line="323" w:lineRule="auto"/>
        <w:rPr>
          <w:sz w:val="20"/>
          <w:szCs w:val="20"/>
          <w:color w:val="auto"/>
        </w:rPr>
      </w:pPr>
      <w:r>
        <w:rPr>
          <w:rFonts w:ascii="Arial" w:cs="Arial" w:eastAsia="Arial" w:hAnsi="Arial"/>
          <w:sz w:val="16"/>
          <w:szCs w:val="16"/>
          <w:color w:val="auto"/>
        </w:rPr>
        <w:t>$1.16 billion and $1.41 billion, respectively. The decrease is primarily driven by the fixed-term nature of the satellite services agreements with DISH Network. Of the total contracted revenue backlog as of December 31, 2016, we expect to recognize approximately $365.1 million of revenue in 2017.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Business Opportunities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industry is evolving with the increase in worldwide demand for broadband internet access for information, entertainment and commerce. In addition to fiber and wireless systems, other technologies such as geostationary high throughput satellites, low-earth orbit (“LEO”) networks, balloons, and High Altitude Platform Systems have begun to play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entertainment and commerce in North America and internationally for consumers, enterprises and governments.</w:t>
      </w:r>
    </w:p>
    <w:p>
      <w:pPr>
        <w:spacing w:after="0" w:line="15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continue to selectively explore opportunities to pursue partnerships, joint ventures and strategic acquisitions, domestically and internationally, that we believe may allow us to increase our existing market share, expand into new markets and new customers, broaden our portfolio of services, products and intellectual property, and strengthen our relationships with our customers. We may allocate significant resources for long-term initiatives that may not have a short or medium-term or any positive impact on our revenue, results of operations, or cash flow.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and analysis of our consolidated results of operations is presented on a historical basis.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gridSpan w:val="5"/>
          </w:tcPr>
          <w:p>
            <w:pPr>
              <w:spacing w:after="0"/>
              <w:rPr>
                <w:sz w:val="20"/>
                <w:szCs w:val="20"/>
                <w:color w:val="auto"/>
              </w:rPr>
            </w:pPr>
            <w:r>
              <w:rPr>
                <w:rFonts w:ascii="Arial" w:cs="Arial" w:eastAsia="Arial" w:hAnsi="Arial"/>
                <w:sz w:val="18"/>
                <w:szCs w:val="18"/>
                <w:b w:val="1"/>
                <w:bCs w:val="1"/>
                <w:color w:val="auto"/>
              </w:rPr>
              <w:t>Year Ended December 31, 2016 Compared to the Year Ended December 31, 2015</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gridSpan w:val="5"/>
          </w:tcPr>
          <w:p>
            <w:pPr>
              <w:ind w:left="40"/>
              <w:spacing w:after="0"/>
              <w:rPr>
                <w:sz w:val="20"/>
                <w:szCs w:val="20"/>
                <w:color w:val="auto"/>
              </w:rPr>
            </w:pPr>
            <w:r>
              <w:rPr>
                <w:rFonts w:ascii="Arial" w:cs="Arial" w:eastAsia="Arial" w:hAnsi="Arial"/>
                <w:sz w:val="18"/>
                <w:szCs w:val="18"/>
                <w:b w:val="1"/>
                <w:bCs w:val="1"/>
                <w:color w:val="auto"/>
                <w:w w:val="98"/>
              </w:rPr>
              <w:t>For the Years Ended December 31,</w:t>
            </w:r>
          </w:p>
        </w:tc>
        <w:tc>
          <w:tcPr>
            <w:tcW w:w="240" w:type="dxa"/>
            <w:vAlign w:val="bottom"/>
          </w:tcPr>
          <w:p>
            <w:pPr>
              <w:spacing w:after="0"/>
              <w:rPr>
                <w:sz w:val="24"/>
                <w:szCs w:val="24"/>
                <w:color w:val="auto"/>
              </w:rPr>
            </w:pPr>
          </w:p>
        </w:tc>
        <w:tc>
          <w:tcPr>
            <w:tcW w:w="1660" w:type="dxa"/>
            <w:vAlign w:val="bottom"/>
            <w:gridSpan w:val="2"/>
          </w:tcPr>
          <w:p>
            <w:pPr>
              <w:ind w:left="84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4"/>
                <w:szCs w:val="24"/>
                <w:color w:val="auto"/>
              </w:rPr>
            </w:pPr>
          </w:p>
        </w:tc>
      </w:tr>
      <w:tr>
        <w:trPr>
          <w:trHeight w:val="27"/>
        </w:trPr>
        <w:tc>
          <w:tcPr>
            <w:tcW w:w="550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Statements of Operations Data (1)</w:t>
            </w:r>
          </w:p>
        </w:tc>
        <w:tc>
          <w:tcPr>
            <w:tcW w:w="1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9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7"/>
        </w:trPr>
        <w:tc>
          <w:tcPr>
            <w:tcW w:w="5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40" w:type="dxa"/>
            <w:vAlign w:val="bottom"/>
            <w:gridSpan w:val="5"/>
          </w:tcPr>
          <w:p>
            <w:pPr>
              <w:ind w:left="280"/>
              <w:spacing w:after="0"/>
              <w:rPr>
                <w:sz w:val="20"/>
                <w:szCs w:val="20"/>
                <w:color w:val="auto"/>
              </w:rPr>
            </w:pPr>
            <w:r>
              <w:rPr>
                <w:rFonts w:ascii="Arial" w:cs="Arial" w:eastAsia="Arial" w:hAnsi="Arial"/>
                <w:sz w:val="18"/>
                <w:szCs w:val="18"/>
                <w:color w:val="auto"/>
              </w:rPr>
              <w:t>(Dollars in thousands)</w:t>
            </w:r>
          </w:p>
        </w:tc>
        <w:tc>
          <w:tcPr>
            <w:tcW w:w="90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449,547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518,853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(69,306)</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 and other revenue - other</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1,103,127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1,095,249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7,878</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Equipment revenue - DISH Network</w:t>
            </w:r>
          </w:p>
        </w:tc>
        <w:tc>
          <w:tcPr>
            <w:tcW w:w="1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8,840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10,752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(1,912)</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revenue - other</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238,279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212,278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26,001</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1,799,793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1,837,132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(37,339)</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Cost of sales - services and other</w:t>
            </w:r>
          </w:p>
        </w:tc>
        <w:tc>
          <w:tcPr>
            <w:tcW w:w="1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517,957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525,471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(7,514)</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 of Total services and other revenue</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Cost of sales - equipment</w:t>
            </w:r>
          </w:p>
        </w:tc>
        <w:tc>
          <w:tcPr>
            <w:tcW w:w="1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204,753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195,537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9,216</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 of Total equipment revenue</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281,048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276,616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4,432</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 of Total revenue</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31,170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26,377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4,793</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18.2</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 of Total revenue</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414,133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430,127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(15,994)</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1,449,061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1,454,128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350,732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383,004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(32,272)</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12,598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4,416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8,182</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(187,198)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(169,150)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(18,048)</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Loss from partial redemption of debt</w:t>
            </w:r>
          </w:p>
        </w:tc>
        <w:tc>
          <w:tcPr>
            <w:tcW w:w="14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(5,044)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5,044</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2"/>
              </w:rPr>
              <w:t>Gains (losses) and impairment on marketable investment securities, net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19,597</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12,353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10,724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1,629</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(155,252)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(171,656)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16,404</w:t>
            </w: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7"/>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195,480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211,348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(15,868)</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provision, net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(73,759)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(72,364)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121,721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138,984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(17,263)</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97"/>
        </w:trPr>
        <w:tc>
          <w:tcPr>
            <w:tcW w:w="550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Net income attributable to HSS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120,015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137,367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(17,352)</w:t>
            </w:r>
          </w:p>
        </w:tc>
        <w:tc>
          <w:tcPr>
            <w:tcW w:w="5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(12.6)</w:t>
            </w:r>
          </w:p>
        </w:tc>
      </w:tr>
      <w:tr>
        <w:trPr>
          <w:trHeight w:val="237"/>
        </w:trPr>
        <w:tc>
          <w:tcPr>
            <w:tcW w:w="550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Other Data:</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304"/>
        </w:trPr>
        <w:tc>
          <w:tcPr>
            <w:tcW w:w="55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EBITDA (2)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782,507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804,592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(22,085)</w:t>
            </w:r>
          </w:p>
        </w:tc>
        <w:tc>
          <w:tcPr>
            <w:tcW w:w="5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w:t>
            </w:r>
          </w:p>
        </w:tc>
      </w:tr>
      <w:tr>
        <w:trPr>
          <w:trHeight w:val="251"/>
        </w:trPr>
        <w:tc>
          <w:tcPr>
            <w:tcW w:w="550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Subscribers, end of period</w:t>
            </w: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1,036,000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1,035,000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bl>
    <w:p>
      <w:pPr>
        <w:spacing w:after="0" w:line="8"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-98425</wp:posOffset>
            </wp:positionV>
            <wp:extent cx="28473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 explanation of our key metrics is included on pages 30 and 31 under the heading “Explanation of Key Metrics and Other Items.”</w:t>
      </w:r>
    </w:p>
    <w:p>
      <w:pPr>
        <w:spacing w:after="0" w:line="1" w:lineRule="exact"/>
        <w:rPr>
          <w:rFonts w:ascii="Arial" w:cs="Arial" w:eastAsia="Arial" w:hAnsi="Arial"/>
          <w:sz w:val="14"/>
          <w:szCs w:val="14"/>
          <w:color w:val="auto"/>
        </w:rPr>
      </w:pPr>
    </w:p>
    <w:p>
      <w:pPr>
        <w:ind w:left="340" w:right="160" w:hanging="332"/>
        <w:spacing w:after="0" w:line="255"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 reconciliation of EBITDA to “Net income,” the most directly comparable GAAP measure in the accompanying financial statements, is included on page 28. For further information on our use of EBITDA, see “Explanation of Key Metrics and Other Items” on page 31.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7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totaled $449.5 million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a decrease of $69.3 million, or 13.4%, compared to the same period in 2015.</w:t>
      </w:r>
    </w:p>
    <w:p>
      <w:pPr>
        <w:spacing w:after="0" w:line="170" w:lineRule="exact"/>
        <w:rPr>
          <w:sz w:val="20"/>
          <w:szCs w:val="20"/>
          <w:color w:val="auto"/>
        </w:rPr>
      </w:pPr>
    </w:p>
    <w:p>
      <w:pPr>
        <w:jc w:val="both"/>
        <w:ind w:left="660" w:right="100"/>
        <w:spacing w:after="0" w:line="259" w:lineRule="auto"/>
        <w:rPr>
          <w:sz w:val="20"/>
          <w:szCs w:val="20"/>
          <w:color w:val="auto"/>
        </w:rPr>
      </w:pPr>
      <w:r>
        <w:rPr>
          <w:rFonts w:ascii="Arial" w:cs="Arial" w:eastAsia="Arial" w:hAnsi="Arial"/>
          <w:sz w:val="18"/>
          <w:szCs w:val="18"/>
          <w:color w:val="auto"/>
        </w:rPr>
        <w:t>Services and other revenue — DISH Network from our Hughes segment for the year ended December 31, 2016 increased by $4.0 million, or 4.3%, to $98.5 million compared to the same period in 2015. The increase was primarily attributable to an increase in the average revenue per subscriber as a result of an increase in wholesale subscribers receiving higher end service plans pursuant to our Distribution Agreement with dishNET Satellite Broadband L.L.C. (“dishNET”), partially offset by a decrease in wholesale subscribers.</w:t>
      </w:r>
    </w:p>
    <w:p>
      <w:pPr>
        <w:spacing w:after="0" w:line="187" w:lineRule="exact"/>
        <w:rPr>
          <w:sz w:val="20"/>
          <w:szCs w:val="20"/>
          <w:color w:val="auto"/>
        </w:rPr>
      </w:pPr>
    </w:p>
    <w:p>
      <w:pPr>
        <w:ind w:left="660" w:right="180"/>
        <w:spacing w:after="0" w:line="312" w:lineRule="auto"/>
        <w:rPr>
          <w:sz w:val="20"/>
          <w:szCs w:val="20"/>
          <w:color w:val="auto"/>
        </w:rPr>
      </w:pPr>
      <w:r>
        <w:rPr>
          <w:rFonts w:ascii="Arial" w:cs="Arial" w:eastAsia="Arial" w:hAnsi="Arial"/>
          <w:sz w:val="16"/>
          <w:szCs w:val="16"/>
          <w:color w:val="auto"/>
        </w:rPr>
        <w:t>Services and other revenue — DISH Network from our ESS segment for the year ended December 31, 2016 decreased by $73.9 million, or 17.5%, to $349.6 million compared to the same period in 2015. The decrease was mainly due to a decrease of $74.1 million in revenue as a result of the termination of the satellite services provided to DISH Network from the EchoStar I and EchoStar VIII satellites effective in November 2015.</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totaled $1.10 billion for the year ended December 31, 2016, an increase of $7.9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0.7%, compared to the same period in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Services and other revenue — other from our Hughes segment for the year ended December 31, 2016 increased by $16.7 million, or 1.6%, to</w:t>
      </w:r>
    </w:p>
    <w:p>
      <w:pPr>
        <w:spacing w:after="0" w:line="35" w:lineRule="exact"/>
        <w:rPr>
          <w:sz w:val="20"/>
          <w:szCs w:val="20"/>
          <w:color w:val="auto"/>
        </w:rPr>
      </w:pPr>
    </w:p>
    <w:p>
      <w:pPr>
        <w:ind w:left="660" w:right="20"/>
        <w:spacing w:after="0" w:line="254" w:lineRule="auto"/>
        <w:rPr>
          <w:sz w:val="20"/>
          <w:szCs w:val="20"/>
          <w:color w:val="auto"/>
        </w:rPr>
      </w:pPr>
      <w:r>
        <w:rPr>
          <w:rFonts w:ascii="Arial" w:cs="Arial" w:eastAsia="Arial" w:hAnsi="Arial"/>
          <w:sz w:val="18"/>
          <w:szCs w:val="18"/>
          <w:color w:val="auto"/>
        </w:rPr>
        <w:t>$1.05 billion compared to the same period in 2015. The increase was primarily attributable to an increase of $28.6 million in sales of broadband services to our domestic consumer customers as a result of an increase in retail subscribers and the average revenue per subscriber. This increase was partially offset by a decrease of $10.8 million of broadband services to our international enterprise customers attributable to an unfavorable foreign exchange impact and non-renewal of certain service contracts.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Services and other revenue — other from our ESS segment for the year ended December 31, 2016 decreased by $9.0 million, or 13.4%, to</w:t>
      </w:r>
    </w:p>
    <w:p>
      <w:pPr>
        <w:spacing w:after="0" w:line="35" w:lineRule="exact"/>
        <w:rPr>
          <w:sz w:val="20"/>
          <w:szCs w:val="20"/>
          <w:color w:val="auto"/>
        </w:rPr>
      </w:pPr>
    </w:p>
    <w:p>
      <w:pPr>
        <w:ind w:left="660" w:right="220"/>
        <w:spacing w:after="0" w:line="323" w:lineRule="auto"/>
        <w:rPr>
          <w:sz w:val="20"/>
          <w:szCs w:val="20"/>
          <w:color w:val="auto"/>
        </w:rPr>
      </w:pPr>
      <w:r>
        <w:rPr>
          <w:rFonts w:ascii="Arial" w:cs="Arial" w:eastAsia="Arial" w:hAnsi="Arial"/>
          <w:sz w:val="16"/>
          <w:szCs w:val="16"/>
          <w:color w:val="auto"/>
        </w:rPr>
        <w:t>$58.1 million compared to the same period in 2015. The decrease was primarily attributable to a decrease in sales of transponder services due to a decrease in the number of transponders available for use in providing service as our lease of the AMC-16 satellite ended in February 2016.</w:t>
      </w:r>
    </w:p>
    <w:p>
      <w:pPr>
        <w:spacing w:after="0" w:line="13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 xml:space="preserve">Equipment revenue — DISH Network. </w:t>
      </w:r>
      <w:r>
        <w:rPr>
          <w:rFonts w:ascii="Arial" w:cs="Arial" w:eastAsia="Arial" w:hAnsi="Arial"/>
          <w:sz w:val="18"/>
          <w:szCs w:val="18"/>
          <w:color w:val="auto"/>
        </w:rPr>
        <w:t>“Equipment revenue — DISH Network” totaled $8.8 million for the year ended December 31, 2016,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 million, or 17.8%, compared to the same period in 2015. The decrease in revenue was primarily due to the decrease in the unit sales of broadband equipment to dishNET.</w:t>
      </w:r>
    </w:p>
    <w:p>
      <w:pPr>
        <w:spacing w:after="0" w:line="18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b w:val="1"/>
          <w:bCs w:val="1"/>
          <w:i w:val="1"/>
          <w:iCs w:val="1"/>
          <w:color w:val="auto"/>
        </w:rPr>
        <w:t xml:space="preserve">Equipment revenue — other. </w:t>
      </w:r>
      <w:r>
        <w:rPr>
          <w:rFonts w:ascii="Arial" w:cs="Arial" w:eastAsia="Arial" w:hAnsi="Arial"/>
          <w:sz w:val="18"/>
          <w:szCs w:val="18"/>
          <w:color w:val="auto"/>
        </w:rPr>
        <w:t>“Equipment revenue — other” totaled $238.3 million for the year ended December 31, 2016, an increase of $26.0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12.2%, compared to the same period in 2015. The increase was mainly due to an increase of $40.7 million in sales of broadband equipment to our domestic enterprise and government customers, partially offset by a decrease of $14.7 million in revenue from our international and telecom systems customers from our Hughes segment.</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$518.0 million for the year ended December 31, 2016, a decrease of $7.5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1.4%, compared to the same period in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sales — services and other from our Hughes segment for the year ended December 31, 2016 decreased by $2.2 million, or 0.5%, to</w:t>
      </w:r>
    </w:p>
    <w:p>
      <w:pPr>
        <w:spacing w:after="0" w:line="35" w:lineRule="exact"/>
        <w:rPr>
          <w:sz w:val="20"/>
          <w:szCs w:val="20"/>
          <w:color w:val="auto"/>
        </w:rPr>
      </w:pPr>
    </w:p>
    <w:p>
      <w:pPr>
        <w:ind w:left="660" w:right="120"/>
        <w:spacing w:after="0" w:line="255" w:lineRule="auto"/>
        <w:rPr>
          <w:sz w:val="20"/>
          <w:szCs w:val="20"/>
          <w:color w:val="auto"/>
        </w:rPr>
      </w:pPr>
      <w:r>
        <w:rPr>
          <w:rFonts w:ascii="Arial" w:cs="Arial" w:eastAsia="Arial" w:hAnsi="Arial"/>
          <w:sz w:val="18"/>
          <w:szCs w:val="18"/>
          <w:color w:val="auto"/>
        </w:rPr>
        <w:t>$454.5 million compared to the same period in 2015. The decrease was primarily attributable to the decrease of Ku-band space segment costs as customers either terminated services or migrated to the Ka-band platform offset by the increase in service costs as a result of the increase in sales of broadband services to our domestic consumer customers.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sales — services and other from our ESS segment for the year ended December 31, 2016 decreased by $6.0 million, or 8.6%, to</w:t>
      </w:r>
    </w:p>
    <w:p>
      <w:pPr>
        <w:spacing w:after="0" w:line="35" w:lineRule="exact"/>
        <w:rPr>
          <w:sz w:val="20"/>
          <w:szCs w:val="20"/>
          <w:color w:val="auto"/>
        </w:rPr>
      </w:pPr>
    </w:p>
    <w:p>
      <w:pPr>
        <w:ind w:left="660" w:right="100"/>
        <w:spacing w:after="0" w:line="255" w:lineRule="auto"/>
        <w:rPr>
          <w:sz w:val="20"/>
          <w:szCs w:val="20"/>
          <w:color w:val="auto"/>
        </w:rPr>
      </w:pPr>
      <w:r>
        <w:rPr>
          <w:rFonts w:ascii="Arial" w:cs="Arial" w:eastAsia="Arial" w:hAnsi="Arial"/>
          <w:sz w:val="18"/>
          <w:szCs w:val="18"/>
          <w:color w:val="auto"/>
        </w:rPr>
        <w:t>$64.2 million compared to the same period in 2015. The decrease was primarily due to a decrease in cost of sales of transponder services as a result of a decrease in the number of leased transponders available for use in providing service as our lease of the AMC-16 satellite ended in February 2016.</w:t>
      </w:r>
    </w:p>
    <w:p>
      <w:pPr>
        <w:spacing w:after="0" w:line="190"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Cost of sales — equipment. </w:t>
      </w:r>
      <w:r>
        <w:rPr>
          <w:rFonts w:ascii="Arial" w:cs="Arial" w:eastAsia="Arial" w:hAnsi="Arial"/>
          <w:sz w:val="17"/>
          <w:szCs w:val="17"/>
          <w:color w:val="auto"/>
        </w:rPr>
        <w:t>“Cost of sales — equipment” totaled $204.8 million for the year ended December 31, 2016, an increase of $9.2 million, or 4.7%,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the same period in 2015. The increase was primarily attributable to an increase of $20.3 million in equipment costs related to the increase in sales volume of broadband equipment to our domestic enterprise and government customers, partially offset by a decrease of $12.3 million in equipment costs related to the decrease in sales to our international and telecom systems customers from our Hughes segment.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$281.0 million for the year ended December 31,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increase of $4.4 million, or 1.6%, compared to the same period in 2015. The increase was mainly due to a $3.8 million increase in marketing and promotional costs in our Hughes segment.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r>
        <w:rPr>
          <w:rFonts w:ascii="Arial" w:cs="Arial" w:eastAsia="Arial" w:hAnsi="Arial"/>
          <w:sz w:val="16"/>
          <w:szCs w:val="16"/>
          <w:color w:val="auto"/>
        </w:rPr>
        <w:t>. “Research and development expenses” totaled $31.2 million for the year ended December 31, 2016, an increase of</w:t>
      </w:r>
    </w:p>
    <w:p>
      <w:pPr>
        <w:spacing w:after="0" w:line="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$4.8 million, or 18.2%, compared to the same period in 2015. The increase was related to an increase in research and development expense of $4.8 million in our Hughes segment. The Company’s research and development activities vary based on the activity level and scope of other engineering and customer related development contracts.</w:t>
      </w:r>
    </w:p>
    <w:p>
      <w:pPr>
        <w:spacing w:after="0" w:line="1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totaled $414.1 million for the year ended December 31, 2016, a decrease of $16.0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3.7%, compared to the same period in 2015. The decrease was primarily related to certain of our fully amortized other intangible assets in our Hughes segment and the fully depreciated EchoStar IX satellite as of October 2015 in our ESS segment.</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totaled $12.6 million for the year ended December 31, 2016, an increase of $8.2 million compared to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The increase was primarily attributable to the increase in our short term investments from proceeds from the issuance of long-term debt in the third quarter of 2016 and an increase in yield percentage.</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Interest expense, net of amounts capitalized</w:t>
      </w:r>
      <w:r>
        <w:rPr>
          <w:rFonts w:ascii="Arial" w:cs="Arial" w:eastAsia="Arial" w:hAnsi="Arial"/>
          <w:sz w:val="16"/>
          <w:szCs w:val="16"/>
          <w:color w:val="auto"/>
        </w:rPr>
        <w:t>. “Interest expense, net of amounts capitalized” totaled $187.2 million for the year ended December 31, 2016,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of $18.0 million, or 10.7%, compared to the same period in 2015. The increase was mainly attributable to an increase of $38.1 million related to the issuance of 5.250% Senior Secured Notes due August 1, 2026 (the “2026 Senior Secured Notes”) and 6.625% Senior Unsecured Notes due August 1, 2026 (the “2026 Senior Unsecured Notes” and together with the 2026 Senior Secured Notes, the “2026 Notes”) in the third quarter of 2016. The increase was partially offset by an increase in capitalized interest of $14.3 million related to the construction of the EchoStar XIX, EchoStar XXI and EchoStar 105/SES-11 satellites, and payments for satellite services on the EUTELSAT 65 West A and 63 West satellites, a decrease of $3.2 million relating to the partial redemption of the outstanding principal amount of HSS’ 6 1/2 Senior Secured Notes due 2019 (the “2019 Senior Secured Notes”) in the second quarter of 2015, and a decrease of $2.8 million relating to the accounting impact of two of our satellites that are treated as capital leases.</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Loss from partial redemption of debt. </w:t>
      </w:r>
      <w:r>
        <w:rPr>
          <w:rFonts w:ascii="Arial" w:cs="Arial" w:eastAsia="Arial" w:hAnsi="Arial"/>
          <w:sz w:val="18"/>
          <w:szCs w:val="18"/>
          <w:color w:val="auto"/>
        </w:rPr>
        <w:t>“Loss from partial redemption of debt” totaled zero for the year ended December 31, 2016. In 2015, the $5.0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 was related to the partial redemption of the 2019 Senior Secured Notes in the second quarter of 2015 which included a $3.3 million redemption premium and a $1.7 million write off of related unamortized financing costs.</w:t>
      </w:r>
    </w:p>
    <w:p>
      <w:pPr>
        <w:spacing w:after="0" w:line="18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b w:val="1"/>
          <w:bCs w:val="1"/>
          <w:i w:val="1"/>
          <w:iCs w:val="1"/>
          <w:color w:val="auto"/>
        </w:rPr>
        <w:t xml:space="preserve">Gains (losses) and impairment on marketable investment securities, net. </w:t>
      </w:r>
      <w:r>
        <w:rPr>
          <w:rFonts w:ascii="Arial" w:cs="Arial" w:eastAsia="Arial" w:hAnsi="Arial"/>
          <w:sz w:val="16"/>
          <w:szCs w:val="16"/>
          <w:color w:val="auto"/>
        </w:rPr>
        <w:t>“Gains (losses) and impairment on marketable investment securities, net” totaled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$7.0 million in gains for the year ended December 31, 2016 compared to $12.6 million in losses for the same period in 2015. The change of $19.6 million was primarily due to an increase of $10.5 million in gains on our trading securities in 2016, an other than temporary impairment loss of $6.1 million on certain strategic equity securities in 2015, and an increase of $3.0 million in realized gains on our securities classified as available-for-sale in 2016.</w:t>
      </w:r>
    </w:p>
    <w:p>
      <w:pPr>
        <w:spacing w:after="0" w:line="15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i w:val="1"/>
          <w:iCs w:val="1"/>
          <w:color w:val="auto"/>
        </w:rPr>
        <w:t xml:space="preserve">Other, net. </w:t>
      </w:r>
      <w:r>
        <w:rPr>
          <w:rFonts w:ascii="Arial" w:cs="Arial" w:eastAsia="Arial" w:hAnsi="Arial"/>
          <w:sz w:val="16"/>
          <w:szCs w:val="16"/>
          <w:color w:val="auto"/>
        </w:rPr>
        <w:t>“Other, net” totaled $12.4 million in income for the year ended December 31, 2016, an increase of $1.6 million, or 15.2%, compared to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2015. The increase was primarily related to a $13.5 million for a provision recorded in the first half of 2015 in connection with FCC regulatory fees, which was reversed in the first quarter of 2016 and an unfavorable foreign exchange impact of $3.7 million in 2015. The increases were partially offset by a decrease of $8.8 million related to a protective put associated with our trading securities in 2016 when compared to the same period in 2015, a</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$4.5 million non-recurring reduction of the capital lease obligation for the AMC-15 and AMC-16 satellites recorded in the first quarter of 2015 as a result of anomalies that previously affected the operation of these satellites, and a gain of $1.7 million on the exchange of accounts receivable for certain trading securities in the second quarter of 2015.</w:t>
      </w:r>
    </w:p>
    <w:p>
      <w:pPr>
        <w:spacing w:after="0" w:line="1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Income tax provision, net</w:t>
      </w:r>
      <w:r>
        <w:rPr>
          <w:rFonts w:ascii="Arial" w:cs="Arial" w:eastAsia="Arial" w:hAnsi="Arial"/>
          <w:sz w:val="18"/>
          <w:szCs w:val="18"/>
          <w:color w:val="auto"/>
        </w:rPr>
        <w:t>. Income tax expense was $73.8 million for the year ended December 31, 2016, an increase of $1.4 million, or 1.9%,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2015. Our effective income tax rate was 37.7% for the year ended December 31, 2016, compared to 34.2% for the same period in 2015. The variation in our current year effective tax rate from the U.S. federal statutory rate was primarily due to state income taxes, partially offset by research and experimentation tax credits and valuation allowances. The variation in our effective tax rate from the U.S. federal statutory rate for the same period in 2015 was primarily due to research and experimentation tax credits.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b w:val="1"/>
          <w:bCs w:val="1"/>
          <w:i w:val="1"/>
          <w:iCs w:val="1"/>
          <w:color w:val="auto"/>
        </w:rPr>
        <w:t>Net income attributable to HSS</w:t>
      </w:r>
      <w:r>
        <w:rPr>
          <w:rFonts w:ascii="Arial" w:cs="Arial" w:eastAsia="Arial" w:hAnsi="Arial"/>
          <w:sz w:val="16"/>
          <w:szCs w:val="16"/>
          <w:color w:val="auto"/>
        </w:rPr>
        <w:t>. Net income attributable to HSS was $120.0 million for the year ended December 31, 2016, a decrease of $17.4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12.6%, compared to the same period in 2015. The decrease was primarily due to (i) a decrease of $39.0 million in gross margin, which we define as total revenue less total cost of sales, (ii) an increase of $38.1 million in interest expense related to the issuance of the 2026 Notes in the third quarter of 2016, (iii) an increase in research and development expense of $4.8 million, (iv) a decrease of $8.8 million related to a protective put associated with our trading securities in 2016 when compared to the same period in 2015, (v) $4.5 million non-recurring reduction of the capital lease obligation for the AMC-15 and AMC-16 satellites recorded in the first quarter of 2015, (vi) an increase of $4.4 million in selling, general and administrative expense and (vii) an increase in income tax expense of $1.4 million in 2016. The decreases were partially offset by (i) an increase of $19.6 million in gains on marketable investments, net,</w:t>
      </w:r>
    </w:p>
    <w:p>
      <w:pPr>
        <w:spacing w:after="0" w:line="3" w:lineRule="exact"/>
        <w:rPr>
          <w:sz w:val="20"/>
          <w:szCs w:val="20"/>
          <w:color w:val="auto"/>
        </w:rPr>
      </w:pPr>
    </w:p>
    <w:p>
      <w:pPr>
        <w:ind w:right="80" w:firstLine="8"/>
        <w:spacing w:after="0" w:line="251" w:lineRule="auto"/>
        <w:tabs>
          <w:tab w:leader="none" w:pos="2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of $16.0 million in depreciation and amortization expense related to certain of our fully amortized other intangible assets in our Hughes segment and the fully depreciated EchoStar IX satellite as of October 2015 in our ESS segment, (iii) higher capitalized interest of $14.3 million related to the construction of the EchoStar XIX, EchoStar XXI and EchoStar 105/SES-11 satellites, and payments for satellite services on the EUTELSAT 65 West A and 63 West satellites, (iv) $13.5 million for a provision recorded in the first half of 2015 in connection with FCC regulatory fees which was reversed in the first quarter of 2016, (v) an increase of $8.2 million in interest income primarily attributable to the increase in our short term investments from proceeds from the issuance of long-term debt in the third quarter of 2016 and an increase in yield percentage, (vi) a $5.0 million loss related to the partial redemption of the 2019 Senior Secured Notes in the second quarter of 2015, (vii) an unfavorable foreign exchange impact of $3.7 million in 2015 and (viii) a decrease in interest expense of $3.2 million relating to the partial redemption of the outstanding principal amount of the 2019 Senior Secured Notes in the second quarter of 2015.</w:t>
      </w:r>
    </w:p>
    <w:p>
      <w:pPr>
        <w:spacing w:after="0" w:line="19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i w:val="1"/>
          <w:iCs w:val="1"/>
          <w:color w:val="auto"/>
        </w:rPr>
        <w:t>Earnings before interest, taxes, depreciation and amortization (“EBITDA”)</w:t>
      </w:r>
      <w:r>
        <w:rPr>
          <w:rFonts w:ascii="Arial" w:cs="Arial" w:eastAsia="Arial" w:hAnsi="Arial"/>
          <w:sz w:val="16"/>
          <w:szCs w:val="16"/>
          <w:color w:val="auto"/>
        </w:rPr>
        <w:t>. EBITDA was $782.5 million for the year ended December 31, 2016,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 of $22.1 million, or 2.7%, compared to the same period in 2015. The decrease was primarily due to (i) a decrease of $39.0 million in gross margin,</w:t>
      </w:r>
    </w:p>
    <w:p>
      <w:pPr>
        <w:ind w:firstLine="8"/>
        <w:spacing w:after="0" w:line="251" w:lineRule="auto"/>
        <w:tabs>
          <w:tab w:leader="none" w:pos="2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of $8.8 million related to a protective put associated with our trading securities in 2016 when compared to the same period in 2015, (iii) an increase of $4.8 million related to research and development, (iv) a $4.5 million non-recurring reduction of the capital lease obligation for the AMC-15 and AMC-16 satellites recorded in the first quarter of 2015 as a result of anomalies that previously affected the operation of these satellites and (v) an increase of $4.4 million in selling, general and administrative expense. The decreases were partially offset by (i) an increase of $19.6 million in gains (losses) on marketable investments, net, (ii) $13.5 million for a provision recorded in the first half of 2015 in connection with FCC regulatory fees, which was reversed in the first quarter of 2016, (iii) a $5.0 million loss related to the partial redemption of the 2019 Senior Secured Notes in the second quarter of 2015, and (iv) an unfavorable foreign exchange impact of $3.7 million in 2015. EBITDA is a non-GAAP financial measure and is described under Explanation of Key Metrics and Other Items below. The following table reconciles EBITDA to Net income, the most directly comparable GAAP measure in the accompanying financial statements.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ind w:left="60"/>
              <w:spacing w:after="0"/>
              <w:rPr>
                <w:sz w:val="20"/>
                <w:szCs w:val="20"/>
                <w:color w:val="auto"/>
              </w:rPr>
            </w:pPr>
            <w:r>
              <w:rPr>
                <w:rFonts w:ascii="Arial" w:cs="Arial" w:eastAsia="Arial" w:hAnsi="Arial"/>
                <w:sz w:val="18"/>
                <w:szCs w:val="18"/>
                <w:b w:val="1"/>
                <w:bCs w:val="1"/>
                <w:color w:val="auto"/>
                <w:w w:val="99"/>
              </w:rPr>
              <w:t>For the Years Ended December 31,</w:t>
            </w:r>
          </w:p>
        </w:tc>
        <w:tc>
          <w:tcPr>
            <w:tcW w:w="280" w:type="dxa"/>
            <w:vAlign w:val="bottom"/>
          </w:tcPr>
          <w:p>
            <w:pPr>
              <w:spacing w:after="0"/>
              <w:rPr>
                <w:sz w:val="20"/>
                <w:szCs w:val="20"/>
                <w:color w:val="auto"/>
              </w:rPr>
            </w:pPr>
          </w:p>
        </w:tc>
        <w:tc>
          <w:tcPr>
            <w:tcW w:w="1780" w:type="dxa"/>
            <w:vAlign w:val="bottom"/>
            <w:gridSpan w:val="2"/>
          </w:tcPr>
          <w:p>
            <w:pPr>
              <w:ind w:left="920"/>
              <w:spacing w:after="0"/>
              <w:rPr>
                <w:sz w:val="20"/>
                <w:szCs w:val="20"/>
                <w:color w:val="auto"/>
              </w:rPr>
            </w:pPr>
            <w:r>
              <w:rPr>
                <w:rFonts w:ascii="Arial" w:cs="Arial" w:eastAsia="Arial" w:hAnsi="Arial"/>
                <w:sz w:val="18"/>
                <w:szCs w:val="18"/>
                <w:b w:val="1"/>
                <w:bCs w:val="1"/>
                <w:color w:val="auto"/>
              </w:rPr>
              <w:t>Variance</w:t>
            </w:r>
          </w:p>
        </w:tc>
        <w:tc>
          <w:tcPr>
            <w:tcW w:w="10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00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gridSpan w:val="5"/>
          </w:tcPr>
          <w:p>
            <w:pPr>
              <w:ind w:left="380"/>
              <w:spacing w:after="0"/>
              <w:rPr>
                <w:sz w:val="20"/>
                <w:szCs w:val="20"/>
                <w:color w:val="auto"/>
              </w:rPr>
            </w:pPr>
            <w:r>
              <w:rPr>
                <w:rFonts w:ascii="Arial" w:cs="Arial" w:eastAsia="Arial" w:hAnsi="Arial"/>
                <w:sz w:val="18"/>
                <w:szCs w:val="18"/>
                <w:color w:val="auto"/>
              </w:rPr>
              <w:t>(Dollars in thousands)</w:t>
            </w:r>
          </w:p>
        </w:tc>
        <w:tc>
          <w:tcPr>
            <w:tcW w:w="10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121,721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(17,263)</w:t>
            </w: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97"/>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 and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174,600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164,734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9,866</w:t>
            </w: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73,759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72,364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1,395</w:t>
            </w:r>
          </w:p>
        </w:tc>
        <w:tc>
          <w:tcPr>
            <w:tcW w:w="5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414,133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430,127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(15,994)</w:t>
            </w: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5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782,507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804,592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(22,085)</w:t>
            </w:r>
          </w:p>
        </w:tc>
        <w:tc>
          <w:tcPr>
            <w:tcW w:w="5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77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w w:val="92"/>
              </w:rPr>
              <w:t>Segment Operating Results and Capital Expenditures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32"/>
        </w:trPr>
        <w:tc>
          <w:tcPr>
            <w:tcW w:w="6300" w:type="dxa"/>
            <w:vAlign w:val="bottom"/>
            <w:gridSpan w:val="7"/>
          </w:tcPr>
          <w:p>
            <w:pPr>
              <w:spacing w:after="0"/>
              <w:rPr>
                <w:sz w:val="20"/>
                <w:szCs w:val="20"/>
                <w:color w:val="auto"/>
              </w:rPr>
            </w:pPr>
            <w:r>
              <w:rPr>
                <w:rFonts w:ascii="Arial" w:cs="Arial" w:eastAsia="Arial" w:hAnsi="Arial"/>
                <w:sz w:val="18"/>
                <w:szCs w:val="18"/>
                <w:b w:val="1"/>
                <w:bCs w:val="1"/>
                <w:color w:val="auto"/>
                <w:w w:val="91"/>
              </w:rPr>
              <w:t>Year Ended December 31, 2016 Compared to the Year Ended December 31, 2015</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60"/>
        </w:trPr>
        <w:tc>
          <w:tcPr>
            <w:tcW w:w="3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jc w:val="center"/>
              <w:ind w:right="510"/>
              <w:spacing w:after="0"/>
              <w:rPr>
                <w:sz w:val="20"/>
                <w:szCs w:val="20"/>
                <w:color w:val="auto"/>
              </w:rPr>
            </w:pPr>
            <w:r>
              <w:rPr>
                <w:rFonts w:ascii="Arial" w:cs="Arial" w:eastAsia="Arial" w:hAnsi="Arial"/>
                <w:sz w:val="18"/>
                <w:szCs w:val="18"/>
                <w:b w:val="1"/>
                <w:bCs w:val="1"/>
                <w:color w:val="auto"/>
              </w:rPr>
              <w:t>All</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6"/>
        </w:trPr>
        <w:tc>
          <w:tcPr>
            <w:tcW w:w="3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EchoStar</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Other and</w:t>
            </w: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3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9"/>
              </w:rPr>
              <w:t>Hughes</w:t>
            </w:r>
          </w:p>
        </w:tc>
        <w:tc>
          <w:tcPr>
            <w:tcW w:w="17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Satellite Services</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Eliminations</w:t>
            </w:r>
          </w:p>
        </w:tc>
        <w:tc>
          <w:tcPr>
            <w:tcW w:w="2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7"/>
        </w:trPr>
        <w:tc>
          <w:tcPr>
            <w:tcW w:w="3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ind w:left="380"/>
              <w:spacing w:after="0"/>
              <w:rPr>
                <w:sz w:val="20"/>
                <w:szCs w:val="20"/>
                <w:color w:val="auto"/>
              </w:rPr>
            </w:pPr>
            <w:r>
              <w:rPr>
                <w:rFonts w:ascii="Arial" w:cs="Arial" w:eastAsia="Arial" w:hAnsi="Arial"/>
                <w:sz w:val="18"/>
                <w:szCs w:val="18"/>
                <w:color w:val="auto"/>
                <w:w w:val="97"/>
              </w:rPr>
              <w:t>(In thousands)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70"/>
        </w:trPr>
        <w:tc>
          <w:tcPr>
            <w:tcW w:w="3720" w:type="dxa"/>
            <w:vAlign w:val="bottom"/>
          </w:tcPr>
          <w:p>
            <w:pPr>
              <w:ind w:left="40"/>
              <w:spacing w:after="0"/>
              <w:rPr>
                <w:sz w:val="20"/>
                <w:szCs w:val="20"/>
                <w:color w:val="auto"/>
              </w:rPr>
            </w:pPr>
            <w:r>
              <w:rPr>
                <w:rFonts w:ascii="Arial" w:cs="Arial" w:eastAsia="Arial" w:hAnsi="Arial"/>
                <w:sz w:val="18"/>
                <w:szCs w:val="18"/>
                <w:b w:val="1"/>
                <w:bCs w:val="1"/>
                <w:color w:val="auto"/>
              </w:rPr>
              <w:t>For the Year Ended December 31, 2016</w:t>
            </w: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1,392,361</w:t>
            </w:r>
          </w:p>
        </w:tc>
        <w:tc>
          <w:tcPr>
            <w:tcW w:w="7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407,660</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1,799,793</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520" w:type="dxa"/>
            <w:vAlign w:val="bottom"/>
          </w:tcPr>
          <w:p>
            <w:pPr>
              <w:spacing w:after="0"/>
              <w:rPr>
                <w:sz w:val="21"/>
                <w:szCs w:val="21"/>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322,362</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58,925</w:t>
            </w:r>
          </w:p>
        </w:tc>
        <w:tc>
          <w:tcPr>
            <w:tcW w:w="600" w:type="dxa"/>
            <w:vAlign w:val="bottom"/>
          </w:tcPr>
          <w:p>
            <w:pPr>
              <w:ind w:lef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381,287</w:t>
            </w:r>
          </w:p>
        </w:tc>
      </w:tr>
      <w:tr>
        <w:trPr>
          <w:trHeight w:val="27"/>
        </w:trPr>
        <w:tc>
          <w:tcPr>
            <w:tcW w:w="3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427,802</w:t>
            </w:r>
          </w:p>
        </w:tc>
        <w:tc>
          <w:tcPr>
            <w:tcW w:w="7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339,496</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15,209</w:t>
            </w:r>
          </w:p>
        </w:tc>
        <w:tc>
          <w:tcPr>
            <w:tcW w:w="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782,507</w:t>
            </w:r>
          </w:p>
        </w:tc>
      </w:tr>
      <w:tr>
        <w:trPr>
          <w:trHeight w:val="270"/>
        </w:trPr>
        <w:tc>
          <w:tcPr>
            <w:tcW w:w="3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2015</w:t>
            </w:r>
          </w:p>
        </w:tc>
        <w:tc>
          <w:tcPr>
            <w:tcW w:w="5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r>
      <w:tr>
        <w:trPr>
          <w:trHeight w:val="237"/>
        </w:trPr>
        <w:tc>
          <w:tcPr>
            <w:tcW w:w="3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revenue</w:t>
            </w:r>
          </w:p>
        </w:tc>
        <w:tc>
          <w:tcPr>
            <w:tcW w:w="5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1,347,340</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490,591</w:t>
            </w:r>
          </w:p>
        </w:tc>
        <w:tc>
          <w:tcPr>
            <w:tcW w:w="600" w:type="dxa"/>
            <w:vAlign w:val="bottom"/>
          </w:tcPr>
          <w:p>
            <w:pPr>
              <w:ind w:lef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(799)</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1,837,132</w:t>
            </w:r>
          </w:p>
        </w:tc>
      </w:tr>
      <w:tr>
        <w:trPr>
          <w:trHeight w:val="27"/>
        </w:trPr>
        <w:tc>
          <w:tcPr>
            <w:tcW w:w="3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285,499</w:t>
            </w:r>
          </w:p>
        </w:tc>
        <w:tc>
          <w:tcPr>
            <w:tcW w:w="7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101,215</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386,714</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EBITDA</w:t>
            </w:r>
          </w:p>
        </w:tc>
        <w:tc>
          <w:tcPr>
            <w:tcW w:w="520" w:type="dxa"/>
            <w:vAlign w:val="bottom"/>
          </w:tcPr>
          <w:p>
            <w:pPr>
              <w:spacing w:after="0"/>
              <w:rPr>
                <w:sz w:val="21"/>
                <w:szCs w:val="21"/>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396,684</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412,607</w:t>
            </w:r>
          </w:p>
        </w:tc>
        <w:tc>
          <w:tcPr>
            <w:tcW w:w="600" w:type="dxa"/>
            <w:vAlign w:val="bottom"/>
          </w:tcPr>
          <w:p>
            <w:pPr>
              <w:ind w:lef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(4,699)</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804,592</w:t>
            </w:r>
          </w:p>
        </w:tc>
      </w:tr>
      <w:tr>
        <w:trPr>
          <w:trHeight w:val="27"/>
        </w:trPr>
        <w:tc>
          <w:tcPr>
            <w:tcW w:w="3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37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8"/>
                <w:szCs w:val="18"/>
                <w:b w:val="1"/>
                <w:bCs w:val="1"/>
                <w:color w:val="auto"/>
              </w:rPr>
              <w:t>Hughes Segment</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60"/>
        </w:trPr>
        <w:tc>
          <w:tcPr>
            <w:tcW w:w="3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gridSpan w:val="5"/>
          </w:tcPr>
          <w:p>
            <w:pPr>
              <w:jc w:val="right"/>
              <w:ind w:right="330"/>
              <w:spacing w:after="0"/>
              <w:rPr>
                <w:sz w:val="20"/>
                <w:szCs w:val="20"/>
                <w:color w:val="auto"/>
              </w:rPr>
            </w:pPr>
            <w:r>
              <w:rPr>
                <w:rFonts w:ascii="Arial" w:cs="Arial" w:eastAsia="Arial" w:hAnsi="Arial"/>
                <w:sz w:val="18"/>
                <w:szCs w:val="18"/>
                <w:b w:val="1"/>
                <w:bCs w:val="1"/>
                <w:color w:val="auto"/>
              </w:rPr>
              <w:t>For the Years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4"/>
        </w:trPr>
        <w:tc>
          <w:tcPr>
            <w:tcW w:w="3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6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Ended December 31,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80" w:type="dxa"/>
            <w:vAlign w:val="bottom"/>
            <w:gridSpan w:val="2"/>
          </w:tcPr>
          <w:p>
            <w:pPr>
              <w:ind w:left="480"/>
              <w:spacing w:after="0"/>
              <w:rPr>
                <w:sz w:val="20"/>
                <w:szCs w:val="20"/>
                <w:color w:val="auto"/>
              </w:rPr>
            </w:pPr>
            <w:r>
              <w:rPr>
                <w:rFonts w:ascii="Arial" w:cs="Arial" w:eastAsia="Arial" w:hAnsi="Arial"/>
                <w:sz w:val="18"/>
                <w:szCs w:val="18"/>
                <w:b w:val="1"/>
                <w:bCs w:val="1"/>
                <w:color w:val="auto"/>
              </w:rPr>
              <w:t>Variance</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520" w:type="dxa"/>
            <w:vAlign w:val="bottom"/>
            <w:gridSpan w:val="2"/>
          </w:tcPr>
          <w:p>
            <w:pPr>
              <w:ind w:left="480"/>
              <w:spacing w:after="0"/>
              <w:rPr>
                <w:sz w:val="20"/>
                <w:szCs w:val="20"/>
                <w:color w:val="auto"/>
              </w:rPr>
            </w:pPr>
            <w:r>
              <w:rPr>
                <w:rFonts w:ascii="Arial" w:cs="Arial" w:eastAsia="Arial" w:hAnsi="Arial"/>
                <w:sz w:val="18"/>
                <w:szCs w:val="18"/>
                <w:b w:val="1"/>
                <w:bCs w:val="1"/>
                <w:color w:val="auto"/>
              </w:rPr>
              <w:t>Amount</w:t>
            </w:r>
          </w:p>
        </w:tc>
        <w:tc>
          <w:tcPr>
            <w:tcW w:w="880" w:type="dxa"/>
            <w:vAlign w:val="bottom"/>
          </w:tcPr>
          <w:p>
            <w:pPr>
              <w:spacing w:after="0"/>
              <w:rPr>
                <w:sz w:val="20"/>
                <w:szCs w:val="20"/>
                <w:color w:val="auto"/>
              </w:rPr>
            </w:pPr>
          </w:p>
        </w:tc>
        <w:tc>
          <w:tcPr>
            <w:tcW w:w="28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w w:val="93"/>
              </w:rPr>
              <w:t>(Dollars in thousands)</w:t>
            </w: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1,392,361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1,347,340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4"/>
              </w:rPr>
              <w:t>45,021</w:t>
            </w: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21"/>
                <w:szCs w:val="2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322,362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285,499</w:t>
            </w:r>
          </w:p>
        </w:tc>
        <w:tc>
          <w:tcPr>
            <w:tcW w:w="100" w:type="dxa"/>
            <w:vAlign w:val="bottom"/>
          </w:tcPr>
          <w:p>
            <w:pPr>
              <w:spacing w:after="0"/>
              <w:rPr>
                <w:sz w:val="21"/>
                <w:szCs w:val="21"/>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60"/>
              <w:spacing w:after="0"/>
              <w:rPr>
                <w:sz w:val="20"/>
                <w:szCs w:val="20"/>
                <w:color w:val="auto"/>
              </w:rPr>
            </w:pPr>
            <w:r>
              <w:rPr>
                <w:rFonts w:ascii="Arial" w:cs="Arial" w:eastAsia="Arial" w:hAnsi="Arial"/>
                <w:sz w:val="18"/>
                <w:szCs w:val="18"/>
                <w:color w:val="auto"/>
                <w:w w:val="94"/>
              </w:rPr>
              <w:t>36,863</w:t>
            </w: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c>
          <w:tcPr>
            <w:tcW w:w="46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43"/>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427,802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396,684</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31,118</w:t>
            </w:r>
          </w:p>
        </w:tc>
        <w:tc>
          <w:tcPr>
            <w:tcW w:w="8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60" w:type="dxa"/>
            <w:vAlign w:val="bottom"/>
          </w:tcPr>
          <w:p>
            <w:pPr>
              <w:spacing w:after="0"/>
              <w:rPr>
                <w:sz w:val="21"/>
                <w:szCs w:val="21"/>
                <w:color w:val="auto"/>
              </w:rPr>
            </w:pPr>
          </w:p>
        </w:tc>
      </w:tr>
      <w:tr>
        <w:trPr>
          <w:trHeight w:val="27"/>
        </w:trPr>
        <w:tc>
          <w:tcPr>
            <w:tcW w:w="37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6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Hughes segment total revenue for the year ended December 31, 2016 increased by $45.0 million, or 3.3%, compared to the same period in 2015. The increase was primarily due to an increase of $40.7 million in sales of broadband equipment to our domestic enterprise and government customers and an increase of $28.6 million in sales of broadband services to our domestic consumer customers. These increases were partially offset by a decrease of $25.5 million in revenue of broadband equipment and services to our international and telecom systems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Hughes segment capital expenditures for the year ended December 31, 2016 increased by $36.9 million, or 12.9%, compared to the same period in 2015, primarily due to an increase in expenditures on the 63 West satellite. The increase was partially offset by a decrease in capital expenditures on satellite ground infrastructures related to the EchoStar XIX and EchoStar XXI satellites. Capital expenditures associated with the construction and launch of the EchoStar XIX satellite are included in “All Other and Eliminations” in our segment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Hughes segment EBITDA for the year ended December 31, 2016 was $427.8 million, an increase of $31.1 million, or 7.8%, compared to the same period in 2015. The increase was primarily attributable to a $37.9 million increase in total gross margin and an unfavorable foreign exchange impact of $3.6 million in</w:t>
      </w:r>
    </w:p>
    <w:p>
      <w:pPr>
        <w:ind w:right="60"/>
        <w:spacing w:after="0" w:line="261" w:lineRule="auto"/>
        <w:rPr>
          <w:sz w:val="20"/>
          <w:szCs w:val="20"/>
          <w:color w:val="auto"/>
        </w:rPr>
      </w:pPr>
      <w:r>
        <w:rPr>
          <w:rFonts w:ascii="Arial" w:cs="Arial" w:eastAsia="Arial" w:hAnsi="Arial"/>
          <w:sz w:val="18"/>
          <w:szCs w:val="18"/>
          <w:color w:val="auto"/>
        </w:rPr>
        <w:t>2015. These increases were partially offset by an increase of $4.8 million in research and development expenses and an increase of $3.8 million in marketing and promotional costs.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Arial" w:cs="Arial" w:eastAsia="Arial" w:hAnsi="Arial"/>
                <w:sz w:val="18"/>
                <w:szCs w:val="18"/>
                <w:b w:val="1"/>
                <w:bCs w:val="1"/>
                <w:color w:val="auto"/>
              </w:rPr>
              <w:t>EchoStar Satellite Services Segment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0"/>
        </w:trPr>
        <w:tc>
          <w:tcPr>
            <w:tcW w:w="4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90"/>
              </w:rPr>
              <w:t>For the Years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0"/>
              </w:rPr>
              <w:t>Ended December 31,</w:t>
            </w:r>
          </w:p>
        </w:tc>
        <w:tc>
          <w:tcPr>
            <w:tcW w:w="280" w:type="dxa"/>
            <w:vAlign w:val="bottom"/>
          </w:tcPr>
          <w:p>
            <w:pPr>
              <w:spacing w:after="0"/>
              <w:rPr>
                <w:sz w:val="20"/>
                <w:szCs w:val="20"/>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104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20"/>
                <w:szCs w:val="20"/>
                <w:color w:val="auto"/>
              </w:rPr>
            </w:pPr>
          </w:p>
        </w:tc>
        <w:tc>
          <w:tcPr>
            <w:tcW w:w="96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ind w:right="95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160" w:type="dxa"/>
            <w:vAlign w:val="bottom"/>
            <w:gridSpan w:val="4"/>
          </w:tcPr>
          <w:p>
            <w:pPr>
              <w:ind w:left="260"/>
              <w:spacing w:after="0"/>
              <w:rPr>
                <w:sz w:val="20"/>
                <w:szCs w:val="20"/>
                <w:color w:val="auto"/>
              </w:rPr>
            </w:pPr>
            <w:r>
              <w:rPr>
                <w:rFonts w:ascii="Arial" w:cs="Arial" w:eastAsia="Arial" w:hAnsi="Arial"/>
                <w:sz w:val="18"/>
                <w:szCs w:val="18"/>
                <w:color w:val="auto"/>
              </w:rPr>
              <w:t>(Dollars in thousands)</w:t>
            </w:r>
          </w:p>
        </w:tc>
        <w:tc>
          <w:tcPr>
            <w:tcW w:w="104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407,660</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490,591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(82,931)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58,925</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ind w:left="280"/>
              <w:spacing w:after="0"/>
              <w:rPr>
                <w:sz w:val="20"/>
                <w:szCs w:val="20"/>
                <w:color w:val="auto"/>
              </w:rPr>
            </w:pPr>
            <w:r>
              <w:rPr>
                <w:rFonts w:ascii="Arial" w:cs="Arial" w:eastAsia="Arial" w:hAnsi="Arial"/>
                <w:sz w:val="18"/>
                <w:szCs w:val="18"/>
                <w:color w:val="auto"/>
              </w:rPr>
              <w:t>101,215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570"/>
              <w:spacing w:after="0"/>
              <w:rPr>
                <w:sz w:val="20"/>
                <w:szCs w:val="20"/>
                <w:color w:val="auto"/>
              </w:rPr>
            </w:pPr>
            <w:r>
              <w:rPr>
                <w:rFonts w:ascii="Arial" w:cs="Arial" w:eastAsia="Arial" w:hAnsi="Arial"/>
                <w:sz w:val="18"/>
                <w:szCs w:val="18"/>
                <w:color w:val="auto"/>
              </w:rPr>
              <w:t>(42,290)</w:t>
            </w:r>
          </w:p>
        </w:tc>
        <w:tc>
          <w:tcPr>
            <w:tcW w:w="104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7"/>
        </w:trPr>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339,496</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412,607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(73,111)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4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ESS segment total revenue for the year ended December 31, 2016 decreased by $82.9 million, or 16.9%, compared to the same period in 2015, primarily due to a decrease of $74.1 million in revenue as a result of the termination of the satellite services provided to DISH Network from the EchoStar I and EchoStar VIII satellites effective in November 2015 and a decrease of $9.0 million primarily attributable to a decrease in sales of transponder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ESS segment capital expenditures for the year ended December 31, 2016 decreased by $42.3 million, or 41.8%, compared to the same period in 2015, primarily related to a decrease in expenditures on the EchoStar 105/SES-11 satellite.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ESS segment EBITDA for the year ended December 31, 2016 was $339.5 million, a decrease of $73.1 million, or 17.7%, compared to the same period in 2015. The decrease in EBITDA for our ESS segment was primarily due to a decrease of $76.9 million in gross margin and $4.5 million non-recurring reduction of the capital lease obligation for the AMC-15 and AMC-16 satellites recorded in the first quarter of 2015 as a result of anomalies that previously affected the operation of these satellites. The decrease in EBITDA was partially offset by $7.5 million for a provision recorded in the first half of 2015 in connection with FCC regulatory fees, which was reversed in the first quarter of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primarily includes revenue associated with satellite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transponder services, satellite uplinking/downlinking, signal processing, conditional access management, telemetry, tracking and control, professional services, facilities rental revenue and other services provided to DISH Network. “Services and other revenue — DISH Network” also includes subscriber wholesale service fees for the Hughes service sold to dishNET.</w:t>
      </w:r>
    </w:p>
    <w:p>
      <w:pPr>
        <w:spacing w:after="0" w:line="18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Services and other revenue — other</w:t>
      </w:r>
      <w:r>
        <w:rPr>
          <w:rFonts w:ascii="Arial" w:cs="Arial" w:eastAsia="Arial" w:hAnsi="Arial"/>
          <w:sz w:val="17"/>
          <w:szCs w:val="17"/>
          <w:color w:val="auto"/>
        </w:rPr>
        <w:t>. “Services and other revenue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primarily includes the sales of enterprise and consumer broadband services,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well as maintenance and other contracted services. “Services and other revenue</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other” also includes revenue associated with satellite and transponder services, satellite uplinking/downlinking and other services provided to customers other than DISH Network.</w:t>
      </w:r>
    </w:p>
    <w:p>
      <w:pPr>
        <w:spacing w:after="0" w:line="1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Equipment revenue — DISH Network</w:t>
      </w:r>
      <w:r>
        <w:rPr>
          <w:rFonts w:ascii="Arial" w:cs="Arial" w:eastAsia="Arial" w:hAnsi="Arial"/>
          <w:sz w:val="18"/>
          <w:szCs w:val="18"/>
          <w:color w:val="auto"/>
        </w:rPr>
        <w:t>. “Equipment revenue — DISH Network” primarily includes sales of satellite broadband equipment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related to the Hughes service, to DISH Network.</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Equipment revenue — other</w:t>
      </w:r>
      <w:r>
        <w:rPr>
          <w:rFonts w:ascii="Arial" w:cs="Arial" w:eastAsia="Arial" w:hAnsi="Arial"/>
          <w:sz w:val="18"/>
          <w:szCs w:val="18"/>
          <w:color w:val="auto"/>
        </w:rPr>
        <w:t>. “Equipment revenue — other” primarily includes broadband equipment and networks sold to customers in our enterprise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markets.</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Cost of sales — services and other</w:t>
      </w:r>
      <w:r>
        <w:rPr>
          <w:rFonts w:ascii="Arial" w:cs="Arial" w:eastAsia="Arial" w:hAnsi="Arial"/>
          <w:sz w:val="16"/>
          <w:szCs w:val="16"/>
          <w:color w:val="auto"/>
        </w:rPr>
        <w:t>. “Cost of sales — services and other” primarily includes the cost of broadband services provided to our enterprise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 customers, and to DISH Network, as well as the cost of providing maintenance and other contracted services. “Cost of sales — services and other” also includes the costs associated with satellite and transponder services, satellite uplinking/downlinking, signal processing, conditional access management, telemetry, tracking and control, professional services, facilities rental costs, and other services provided to our customers, including DISH Network.</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125"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7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consists primarily of the cost of broadband equipment and networks sold to customers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and consumer markets.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primarily includes selling and marketing costs and employee-related costs associated with administrative services (e.g., information systems, human resources and other services), including stock-based compensation expense. It also includes professional fees (e.g. legal, information systems and accounting services) and other items associated with facilities and administrative services provided by EchoStar, DISH Network and other third parties.</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includes costs associated with the design and development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to support future growth and provide new technology and innovation to our customers.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primarily includes interest earned on our cash, cash equivalents and marketable investment securities, including premium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and discount accretion on debt securities.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 with our debt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lease obligations (net of capitalized interest), and amortization of debt issuance costs.</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 xml:space="preserve">Loss from partial redemption of debt. </w:t>
      </w:r>
      <w:r>
        <w:rPr>
          <w:rFonts w:ascii="Arial" w:cs="Arial" w:eastAsia="Arial" w:hAnsi="Arial"/>
          <w:sz w:val="18"/>
          <w:szCs w:val="18"/>
          <w:color w:val="auto"/>
        </w:rPr>
        <w:t>“Loss from partial redemption of debt” primarily includes the loss from the partial redemption of the 2019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Secured Notes representing the redemption premium that the Company paid to the holders of its 2019 Senior Secured Notes and the write-off of related unamortized debt issuance costs.</w:t>
      </w:r>
    </w:p>
    <w:p>
      <w:pPr>
        <w:spacing w:after="0" w:line="181"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b w:val="1"/>
          <w:bCs w:val="1"/>
          <w:i w:val="1"/>
          <w:iCs w:val="1"/>
          <w:color w:val="auto"/>
        </w:rPr>
        <w:t>Gains (losses) and impairment on marketable investment securities, net</w:t>
      </w:r>
      <w:r>
        <w:rPr>
          <w:rFonts w:ascii="Arial" w:cs="Arial" w:eastAsia="Arial" w:hAnsi="Arial"/>
          <w:sz w:val="18"/>
          <w:szCs w:val="18"/>
          <w:color w:val="auto"/>
        </w:rPr>
        <w:t>. “Gains (losses) and impairment on marketable investment securities,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includes gains, net of any losses, on the sale or exchange of investments and other-than-temporary impairment on certain of our marketable investment securities.</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foreign exchange gains and losses, dividends received from our marketable investment securities, equity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of unconsolidated affiliate, and other non-operating income or expense items that are not appropriately classified elsewhere in our consolidated statements of operations and comprehensive income (loss).</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Earnings before interest, taxes, depreciation and amortization (“EBITDA”). </w:t>
      </w:r>
      <w:r>
        <w:rPr>
          <w:rFonts w:ascii="Arial" w:cs="Arial" w:eastAsia="Arial" w:hAnsi="Arial"/>
          <w:sz w:val="17"/>
          <w:szCs w:val="17"/>
          <w:color w:val="auto"/>
        </w:rPr>
        <w:t>EBITDA is defined as “Net income” excluding “Interest expense, net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amounts capitalized,” “Interest income,” “Income tax provision, net,” and “Depreciation and amortization.” EBITDA is not a measure determined in accordance with GAAP. This non-GAAP measure is reconciled to “Net income” in our discussion of “Results of Operations” above. EBITDA should not be considered in isolation or as a substitute for operating income, net income or any other measure determined in accordance with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Management also believes that EBITDA is useful to investors because it is frequently used by securities analysts, investors, and other interested parties to evaluate the performance of companies in our industry.</w:t>
      </w:r>
    </w:p>
    <w:p>
      <w:pPr>
        <w:spacing w:after="0" w:line="17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Subscribers</w:t>
      </w:r>
      <w:r>
        <w:rPr>
          <w:rFonts w:ascii="Arial" w:cs="Arial" w:eastAsia="Arial" w:hAnsi="Arial"/>
          <w:sz w:val="18"/>
          <w:szCs w:val="18"/>
          <w:color w:val="auto"/>
        </w:rPr>
        <w:t>. “Subscribers” include customers that subscribe to our Hughes segment’s HughesNet broadband services, through retail, wholesale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small/medium enterprise service channels.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125"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 Associated with Financial Instruments and Foreign Currency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and debt are exposed to market risks,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31, 2016, our cash, cash equivalents and current marketable investment securities had a fair value of $2.26 billion. Of this amount, a total of $2.25 billion was invested in: (a) cash; (b) commercial paper and corporate notes with an overall average maturity of less than one year and rated in one of the four highest rating categories by at least two nationally recognized statistical rating organizations; (c) debt instruments of the U.S. government and its agencies; and/or (d) instruments with similar risk, duration and credit quality characteristics to the commercial paper and corporate obligations described above. The primary purpose of these investing activities has been to preserve principal until the cash is required to, among other things, fund operations, make strategic investments and expand the business. Consequently, the size of this portfolio fluctuates significantly as cash is received and used in our business. The value of this portfolio may be negatively impacted by credit losses; however, this risk is mitigated through diversification that limits our exposure to any one issuer.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 change in interest rates would not affect the fair value of our cash, or materially affect the fair value of our cash equivalents due to their maturities of less than 90 days. A change in interest rates would affect the fair value of our current marketable debt securities portfolio; however, we normally hold these investments to maturity. Based on our current non-strategic investment portfolio of $2.25 billion as of December 31, 2016, a hypothetical 10% change in average interest rates during 2016 would not have a material impact on the fair value of our cash, cash equivalents and debt securities portfolio due to the limited duration of our investments.</w:t>
      </w:r>
    </w:p>
    <w:p>
      <w:pPr>
        <w:spacing w:after="0" w:line="188"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Our cash, cash equivalents and current marketable debt securities had an average annual rate of return for the year ended December 31, 2016 of 0.9%. A change in interest rates would affect our future annual interest income from this portfolio, since funds would be re-invested at different rates as the instruments mature. A hypothetical 10% decrease in average interest rates during 2016 would have an insignificant impact to our annual interest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December 31, 2016, we had $42.6 million of noncurrent equity instruments that we hold for strategic business purposes and account for under the cost or equity methods of accounting. The fair value of these instruments is not readily determinable. We periodically review these investments and estimate fair value when there are indications of impairment. A hypothetical adverse change equal to 10% of the carrying amount of these equity instruments would result in a decrease of approximately $4.3 million in the value of these investments.</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ability to realize value from our strategic investments in companies that are privately held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generally conduct our business in U.S. dollars. Our international business is conducted in a variety of foreign currencies with our largest exposures being to the Brazilian real, the Indian rupee, and the British pound. This exposes us to fluctuations in foreign currency exchange rates. Transactions in foreign currencies are converted into U.S. dollars using exchange rates in effect on the dates of the transactions.</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objective in managing our exposure to foreign currency changes is to reduce earnings and cash flow volatility associated with foreign exchange rate fluctuations. Accordingly, we may enter into foreign currency forward contracts, or take other measures, to mitigate risks associated with foreign currency denominated assets, liabilities, commitments and anticipated foreign currency transactions. As of December 31, 2016, we had $30.9 million of net foreign currency denominated receivables and payables outstanding, and foreign currency forward contracts with a notional value of $3.4 million in place to partially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mitigate foreign currency exchange risk. The estimated fair values of the foreign exchange contracts were not material as of December 31, 2016. The impact of a hypothetical 10% adverse change in exchange rates on the carrying amount of the net assets and liabilities of our foreign subsidiaries would be an estimated loss to the cumulative translation adjustment of $29.6 million as of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generally do not use derivative financial instruments for speculative purposes and we generally do not apply hedge accounting treatment to our derivative financial instruments. We evaluate our derivative financial instruments from time to time but there can be no assurance that we will not enter into additional foreign currency forward contracts, or take other measures, in the future to mitigate our foreign exchange risk.</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Our consolidated financial statements are included in Item 15 of this report beginning on page </w:t>
      </w:r>
      <w:hyperlink w:anchor="page40">
        <w:r>
          <w:rPr>
            <w:rFonts w:ascii="Arial" w:cs="Arial" w:eastAsia="Arial" w:hAnsi="Arial"/>
            <w:sz w:val="18"/>
            <w:szCs w:val="18"/>
            <w:color w:val="auto"/>
          </w:rPr>
          <w:t>F-3.</w:t>
        </w:r>
      </w:hyperlink>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evaluated the effectiveness of our disclosure controls and procedures (as defined in Rule 15d-15(e) under the Securities Exchange Act of 1934, as amended) as of the end of the period covered by this report. Based upon that evaluation, our Chief Executive Officer and Chief Financial Officer concluded that our disclosure controls and procedures were effective as of the end of the period covered by this report such that the information required to be disclosed in our SEC reports is recorded, processed, summarized and reported within the time periods specified in the SEC rules and forms, and is accumulated and communicated to our management, including our Chief Executive Officer and Chief Financial Officer, as appropriate, to allow timely decisions regarding required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There has been no change in our internal control over financial reporting (as defined in Rule 15d-15(f) under the Securities Exchange Act of 1934, as amended) that occurred during our fiscal quarter ended December 31, 2016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(“GAAP”).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225" w:lineRule="exact"/>
        <w:rPr>
          <w:sz w:val="20"/>
          <w:szCs w:val="20"/>
          <w:color w:val="auto"/>
        </w:rPr>
      </w:pPr>
    </w:p>
    <w:p>
      <w:pPr>
        <w:ind w:left="660" w:hanging="409"/>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dispositions of our assets;</w:t>
      </w:r>
    </w:p>
    <w:p>
      <w:pPr>
        <w:spacing w:after="0" w:line="101" w:lineRule="exact"/>
        <w:rPr>
          <w:rFonts w:ascii="Arial" w:cs="Arial" w:eastAsia="Arial" w:hAnsi="Arial"/>
          <w:sz w:val="17"/>
          <w:szCs w:val="17"/>
          <w:color w:val="auto"/>
        </w:rPr>
      </w:pPr>
    </w:p>
    <w:p>
      <w:pPr>
        <w:ind w:left="660" w:right="340" w:hanging="409"/>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provide reasonable assurance that our transactions are recorded as necessary to permit preparation of our financial statements in accordance with GAAP, and that our receipts and expenditures are being made only in accordance with authorizations of our management and our directors; and</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40" w:hanging="409"/>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management conducted an evaluation of the effectiveness of our internal control over financial reporting based on the framework in Internal Control— Integrated Framework (2013) issued by the Committee of Sponsoring Organizations of the Treadway Commission. Based on this evaluation, our management has concluded that our internal control over financial reporting was effective as of December 31, 2016.</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Independent Registered Public Accounting Firm</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Appointment of Independent Registered Public Accounting Firm for 2017</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KPMG LLP served as our independent registered public accounting firm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year ended December 31, 2016. EchoStar Corporation’s (“EchoStar”) board of directors, in its discretion, may direct the appointment of a different independent registered public accounting firm at any time during the year if EchoStar’s board of directors believes that a change would be in our best interests.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KPMG LLP</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fees for professional services rendered by KPMG LLP on behalf of the Company for the years ended December 31, 2016 and 2015.</w:t>
      </w:r>
    </w:p>
    <w:p>
      <w:pPr>
        <w:spacing w:after="0" w:line="112"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34290</wp:posOffset>
            </wp:positionV>
            <wp:extent cx="24872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Audit fees (1)</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Audit-related fees (2)</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audit and audited related fees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Tax fees (3)</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fees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2015</w:t>
            </w:r>
          </w:p>
        </w:tc>
      </w:tr>
      <w:tr>
        <w:trPr>
          <w:trHeight w:val="27"/>
        </w:trPr>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1,651,744</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1,542,559</w:t>
            </w:r>
          </w:p>
        </w:tc>
      </w:tr>
      <w:tr>
        <w:trPr>
          <w:trHeight w:val="270"/>
        </w:trPr>
        <w:tc>
          <w:tcPr>
            <w:tcW w:w="44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90,171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25,832</w:t>
            </w:r>
          </w:p>
        </w:tc>
      </w:tr>
      <w:tr>
        <w:trPr>
          <w:trHeight w:val="27"/>
        </w:trPr>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1,741,915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1,568,391</w:t>
            </w:r>
          </w:p>
        </w:tc>
      </w:tr>
      <w:tr>
        <w:trPr>
          <w:trHeight w:val="270"/>
        </w:trPr>
        <w:tc>
          <w:tcPr>
            <w:tcW w:w="44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22,875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29,206</w:t>
            </w:r>
          </w:p>
        </w:tc>
      </w:tr>
      <w:tr>
        <w:trPr>
          <w:trHeight w:val="27"/>
        </w:trPr>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1,764,790</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1,597,597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-865505</wp:posOffset>
            </wp:positionV>
            <wp:extent cx="710057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18034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-513715</wp:posOffset>
            </wp:positionV>
            <wp:extent cx="710057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0570" cy="18034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-162560</wp:posOffset>
            </wp:positionV>
            <wp:extent cx="710057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0570" cy="188595"/>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6560" w:space="720"/>
            <w:col w:w="4100"/>
          </w:cols>
          <w:pgMar w:left="240" w:top="125" w:right="279" w:bottom="1440" w:gutter="0" w:footer="0" w:header="0"/>
          <w:type w:val="continuous"/>
        </w:sectPr>
      </w:pPr>
    </w:p>
    <w:p>
      <w:pPr>
        <w:ind w:left="340" w:right="560" w:hanging="332"/>
        <w:spacing w:after="0" w:line="250"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fees paid by us for the audit of our and our subsidiaries’ consolidated financial statements included in our Annual Report on Form 10-K, review of our unaudited financial statements included in our Quarterly Reports on Form 10-Q and fees in connection with statutory audits of our foreign subsidiaries.</w:t>
      </w:r>
    </w:p>
    <w:p>
      <w:pPr>
        <w:ind w:left="340" w:right="240" w:hanging="332"/>
        <w:spacing w:after="0" w:line="24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fees paid by us and our subsidiaries for the audit of financial statements and certain fees for other services that are normally provided by the accountant in connection with the issuance of consents, comfort letter, and certifications, compliance with XBRL tagging, and professional consultations with respect to accounting issues or matters that are non-recurring in nature.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fees paid by us and our subsidiaries for tax consultation and tax compliance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-620395</wp:posOffset>
            </wp:positionV>
            <wp:extent cx="2487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on Audit Committee Pre-Approval of Audit and Permissible Non-Audit Services of Independent Registered Public Accounting Firm</w:t>
      </w:r>
    </w:p>
    <w:p>
      <w:pPr>
        <w:spacing w:after="0" w:line="24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Our board of directors has delegated to EchoStar’s Audit Committee the responsibility for appointing, setting compensation, retaining, and overseeing the work of our independent registered public accounting firm. EchoStar’s Audit Committee has established a process regarding pre-approval of all audit and permissible non-audit services provided by the independent registered public accounting firm.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Requests are submitted to EchoStar’s Audit Committee in one of the following ways:</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Request for approval of services at a meeting of EchoStar’s Audit Committee;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Request for approval of services by members of EchoStar’s Audit Committee acting by written consent.</w:t>
      </w:r>
    </w:p>
    <w:p>
      <w:pPr>
        <w:spacing w:after="0" w:line="30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request may be made with respect to either specific services or a type of service for predictable or recurring services. Fees paid by us to KPMG LLP for services rendered in 2016 and 2015 were pre-approved by EchoStar’s Audit Committee.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29" w:lineRule="exact"/>
        <w:rPr>
          <w:sz w:val="20"/>
          <w:szCs w:val="20"/>
          <w:color w:val="auto"/>
        </w:rPr>
      </w:pPr>
    </w:p>
    <w:p>
      <w:pPr>
        <w:ind w:left="180"/>
        <w:spacing w:after="0"/>
        <w:tabs>
          <w:tab w:leader="none" w:pos="5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following documents are filed as part of this report: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ind w:left="440"/>
              <w:spacing w:after="0"/>
              <w:rPr>
                <w:sz w:val="20"/>
                <w:szCs w:val="20"/>
                <w:color w:val="auto"/>
              </w:rPr>
            </w:pPr>
            <w:r>
              <w:rPr>
                <w:rFonts w:ascii="Arial" w:cs="Arial" w:eastAsia="Arial" w:hAnsi="Arial"/>
                <w:sz w:val="18"/>
                <w:szCs w:val="18"/>
                <w:b w:val="1"/>
                <w:bCs w:val="1"/>
                <w:color w:val="auto"/>
                <w:w w:val="97"/>
              </w:rPr>
              <w:t>Page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11060" w:type="dxa"/>
            <w:vAlign w:val="bottom"/>
            <w:gridSpan w:val="15"/>
          </w:tcPr>
          <w:p>
            <w:pPr>
              <w:ind w:left="640"/>
              <w:spacing w:after="0"/>
              <w:rPr>
                <w:sz w:val="20"/>
                <w:szCs w:val="20"/>
                <w:color w:val="auto"/>
              </w:rPr>
            </w:pPr>
            <w:r>
              <w:rPr>
                <w:rFonts w:ascii="Arial" w:cs="Arial" w:eastAsia="Arial" w:hAnsi="Arial"/>
                <w:sz w:val="18"/>
                <w:szCs w:val="18"/>
                <w:color w:val="auto"/>
              </w:rPr>
              <w:t>(1) Consolidated Financial Statements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7"/>
        </w:trPr>
        <w:tc>
          <w:tcPr>
            <w:tcW w:w="1000" w:type="dxa"/>
            <w:vAlign w:val="bottom"/>
          </w:tcPr>
          <w:p>
            <w:pPr>
              <w:spacing w:after="0"/>
              <w:rPr>
                <w:sz w:val="24"/>
                <w:szCs w:val="24"/>
                <w:color w:val="auto"/>
              </w:rPr>
            </w:pPr>
          </w:p>
        </w:tc>
        <w:tc>
          <w:tcPr>
            <w:tcW w:w="10060" w:type="dxa"/>
            <w:vAlign w:val="bottom"/>
            <w:gridSpan w:val="1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Index to Consolidated Financial Statements</w:t>
              </w:r>
            </w:hyperlink>
          </w:p>
        </w:tc>
        <w:tc>
          <w:tcPr>
            <w:tcW w:w="360" w:type="dxa"/>
            <w:vAlign w:val="bottom"/>
            <w:gridSpan w:val="3"/>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F-1</w:t>
              </w:r>
            </w:hyperlink>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10060" w:type="dxa"/>
            <w:vAlign w:val="bottom"/>
            <w:gridSpan w:val="1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Report of Independent Registered Public Accounting Firm</w:t>
              </w:r>
            </w:hyperlink>
          </w:p>
        </w:tc>
        <w:tc>
          <w:tcPr>
            <w:tcW w:w="360" w:type="dxa"/>
            <w:vAlign w:val="bottom"/>
            <w:gridSpan w:val="3"/>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F-2</w:t>
              </w:r>
            </w:hyperlink>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466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Consolidated Balance Sheets as of December 31, 2016 and 2015</w:t>
              </w:r>
            </w:hyperlink>
          </w:p>
        </w:tc>
        <w:tc>
          <w:tcPr>
            <w:tcW w:w="540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0000EE"/>
            </w:tcBorders>
          </w:tcPr>
          <w:p>
            <w:pPr>
              <w:jc w:val="right"/>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F-3</w:t>
              </w:r>
            </w:hyperlink>
          </w:p>
        </w:tc>
        <w:tc>
          <w:tcPr>
            <w:tcW w:w="20" w:type="dxa"/>
            <w:vAlign w:val="bottom"/>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10060" w:type="dxa"/>
            <w:vAlign w:val="bottom"/>
            <w:gridSpan w:val="14"/>
          </w:tcPr>
          <w:p>
            <w:pPr>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Consolidated Statements of Operations and Comprehensive Income (Loss) for the years ended December 31, 2016, 2015 and</w:t>
              </w:r>
            </w:hyperlink>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00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84"/>
              </w:rPr>
            </w:pPr>
            <w:hyperlink w:anchor="page50">
              <w:r>
                <w:rPr>
                  <w:rFonts w:ascii="Arial" w:cs="Arial" w:eastAsia="Arial" w:hAnsi="Arial"/>
                  <w:sz w:val="18"/>
                  <w:szCs w:val="18"/>
                  <w:color w:val="0000EE"/>
                  <w:w w:val="84"/>
                </w:rPr>
                <w:t>2014</w:t>
              </w:r>
            </w:hyperlink>
          </w:p>
        </w:tc>
        <w:tc>
          <w:tcPr>
            <w:tcW w:w="440" w:type="dxa"/>
            <w:vAlign w:val="bottom"/>
            <w:tcBorders>
              <w:top w:val="single" w:sz="8" w:color="0000EE"/>
            </w:tcBorders>
          </w:tcPr>
          <w:p>
            <w:pPr>
              <w:spacing w:after="0"/>
              <w:rPr>
                <w:sz w:val="17"/>
                <w:szCs w:val="17"/>
                <w:color w:val="auto"/>
              </w:rPr>
            </w:pPr>
          </w:p>
        </w:tc>
        <w:tc>
          <w:tcPr>
            <w:tcW w:w="2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26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F-4</w:t>
              </w:r>
            </w:hyperlink>
          </w:p>
        </w:tc>
        <w:tc>
          <w:tcPr>
            <w:tcW w:w="20" w:type="dxa"/>
            <w:vAlign w:val="bottom"/>
          </w:tcPr>
          <w:p>
            <w:pPr>
              <w:spacing w:after="0"/>
              <w:rPr>
                <w:sz w:val="17"/>
                <w:szCs w:val="17"/>
                <w:color w:val="auto"/>
              </w:rPr>
            </w:pPr>
          </w:p>
        </w:tc>
      </w:tr>
      <w:tr>
        <w:trPr>
          <w:trHeight w:val="250"/>
        </w:trPr>
        <w:tc>
          <w:tcPr>
            <w:tcW w:w="1000" w:type="dxa"/>
            <w:vAlign w:val="bottom"/>
          </w:tcPr>
          <w:p>
            <w:pPr>
              <w:spacing w:after="0"/>
              <w:rPr>
                <w:sz w:val="21"/>
                <w:szCs w:val="21"/>
                <w:color w:val="auto"/>
              </w:rPr>
            </w:pPr>
          </w:p>
        </w:tc>
        <w:tc>
          <w:tcPr>
            <w:tcW w:w="10060" w:type="dxa"/>
            <w:vAlign w:val="bottom"/>
            <w:gridSpan w:val="1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Statements of Changes in Shareholders’ Equity for the years ended December 31, 2016, 2015 and 2014</w:t>
              </w:r>
            </w:hyperlink>
          </w:p>
        </w:tc>
        <w:tc>
          <w:tcPr>
            <w:tcW w:w="360" w:type="dxa"/>
            <w:vAlign w:val="bottom"/>
            <w:gridSpan w:val="3"/>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F-5</w:t>
              </w:r>
            </w:hyperlink>
          </w:p>
        </w:tc>
      </w:tr>
      <w:tr>
        <w:trPr>
          <w:trHeight w:val="250"/>
        </w:trPr>
        <w:tc>
          <w:tcPr>
            <w:tcW w:w="1000" w:type="dxa"/>
            <w:vAlign w:val="bottom"/>
          </w:tcPr>
          <w:p>
            <w:pPr>
              <w:spacing w:after="0"/>
              <w:rPr>
                <w:sz w:val="21"/>
                <w:szCs w:val="21"/>
                <w:color w:val="auto"/>
              </w:rPr>
            </w:pPr>
          </w:p>
        </w:tc>
        <w:tc>
          <w:tcPr>
            <w:tcW w:w="69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Consolidated Statements of Cash Flows for the years ended December 31, 2016, 2015 and 2014</w:t>
              </w:r>
            </w:hyperlink>
          </w:p>
        </w:tc>
        <w:tc>
          <w:tcPr>
            <w:tcW w:w="1520" w:type="dxa"/>
            <w:vAlign w:val="bottom"/>
            <w:tcBorders>
              <w:top w:val="single" w:sz="8" w:color="0000EE"/>
            </w:tcBorders>
          </w:tcPr>
          <w:p>
            <w:pPr>
              <w:spacing w:after="0"/>
              <w:rPr>
                <w:sz w:val="21"/>
                <w:szCs w:val="21"/>
                <w:color w:val="auto"/>
              </w:rPr>
            </w:pPr>
          </w:p>
        </w:tc>
        <w:tc>
          <w:tcPr>
            <w:tcW w:w="162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0000EE"/>
              <w:bottom w:val="single" w:sz="8" w:color="0000EE"/>
            </w:tcBorders>
          </w:tcPr>
          <w:p>
            <w:pPr>
              <w:jc w:val="right"/>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F-6</w:t>
              </w:r>
            </w:hyperlink>
          </w:p>
        </w:tc>
        <w:tc>
          <w:tcPr>
            <w:tcW w:w="20" w:type="dxa"/>
            <w:vAlign w:val="bottom"/>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31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Notes to Consolidated Financial Statements</w:t>
              </w:r>
            </w:hyperlink>
          </w:p>
        </w:tc>
        <w:tc>
          <w:tcPr>
            <w:tcW w:w="6900" w:type="dxa"/>
            <w:vAlign w:val="bottom"/>
            <w:gridSpan w:val="8"/>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0000EE"/>
            </w:tcBorders>
          </w:tcPr>
          <w:p>
            <w:pPr>
              <w:jc w:val="right"/>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F-7</w:t>
              </w:r>
            </w:hyperlink>
          </w:p>
        </w:tc>
        <w:tc>
          <w:tcPr>
            <w:tcW w:w="20" w:type="dxa"/>
            <w:vAlign w:val="bottom"/>
          </w:tcPr>
          <w:p>
            <w:pPr>
              <w:spacing w:after="0"/>
              <w:rPr>
                <w:sz w:val="21"/>
                <w:szCs w:val="21"/>
                <w:color w:val="auto"/>
              </w:rPr>
            </w:pPr>
          </w:p>
        </w:tc>
      </w:tr>
      <w:tr>
        <w:trPr>
          <w:trHeight w:val="588"/>
        </w:trPr>
        <w:tc>
          <w:tcPr>
            <w:tcW w:w="11060" w:type="dxa"/>
            <w:vAlign w:val="bottom"/>
            <w:gridSpan w:val="15"/>
          </w:tcPr>
          <w:p>
            <w:pPr>
              <w:ind w:left="640"/>
              <w:spacing w:after="0"/>
              <w:rPr>
                <w:sz w:val="20"/>
                <w:szCs w:val="20"/>
                <w:color w:val="auto"/>
              </w:rPr>
            </w:pPr>
            <w:r>
              <w:rPr>
                <w:rFonts w:ascii="Arial" w:cs="Arial" w:eastAsia="Arial" w:hAnsi="Arial"/>
                <w:sz w:val="18"/>
                <w:szCs w:val="18"/>
                <w:color w:val="auto"/>
              </w:rPr>
              <w:t>(2) Financial Statement Schedules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7"/>
        </w:trPr>
        <w:tc>
          <w:tcPr>
            <w:tcW w:w="1000" w:type="dxa"/>
            <w:vAlign w:val="bottom"/>
          </w:tcPr>
          <w:p>
            <w:pPr>
              <w:spacing w:after="0"/>
              <w:rPr>
                <w:sz w:val="24"/>
                <w:szCs w:val="24"/>
                <w:color w:val="auto"/>
              </w:rPr>
            </w:pPr>
          </w:p>
        </w:tc>
        <w:tc>
          <w:tcPr>
            <w:tcW w:w="10060" w:type="dxa"/>
            <w:vAlign w:val="bottom"/>
            <w:gridSpan w:val="14"/>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Schedule II — Valuation and Qualifying Accounts</w:t>
              </w:r>
            </w:hyperlink>
          </w:p>
        </w:tc>
        <w:tc>
          <w:tcPr>
            <w:tcW w:w="360" w:type="dxa"/>
            <w:vAlign w:val="bottom"/>
            <w:gridSpan w:val="3"/>
          </w:tcPr>
          <w:p>
            <w:pPr>
              <w:jc w:val="right"/>
              <w:ind w:right="20"/>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F-54</w:t>
              </w:r>
            </w:hyperlink>
          </w:p>
        </w:tc>
      </w:tr>
      <w:tr>
        <w:trPr>
          <w:trHeight w:val="20"/>
        </w:trPr>
        <w:tc>
          <w:tcPr>
            <w:tcW w:w="1000" w:type="dxa"/>
            <w:vAlign w:val="bottom"/>
          </w:tcPr>
          <w:p>
            <w:pPr>
              <w:spacing w:after="0" w:line="20" w:lineRule="exact"/>
              <w:rPr>
                <w:sz w:val="1"/>
                <w:szCs w:val="1"/>
                <w:color w:val="auto"/>
              </w:rPr>
            </w:pPr>
          </w:p>
        </w:tc>
        <w:tc>
          <w:tcPr>
            <w:tcW w:w="3640" w:type="dxa"/>
            <w:vAlign w:val="bottom"/>
            <w:gridSpan w:val="7"/>
            <w:shd w:val="clear" w:color="auto" w:fill="0000EE"/>
          </w:tcPr>
          <w:p>
            <w:pPr>
              <w:spacing w:after="0" w:line="20" w:lineRule="exact"/>
              <w:rPr>
                <w:sz w:val="1"/>
                <w:szCs w:val="1"/>
                <w:color w:val="auto"/>
              </w:rPr>
            </w:pPr>
          </w:p>
        </w:tc>
        <w:tc>
          <w:tcPr>
            <w:tcW w:w="6420" w:type="dxa"/>
            <w:vAlign w:val="bottom"/>
            <w:gridSpan w:val="7"/>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1060" w:type="dxa"/>
            <w:vAlign w:val="bottom"/>
            <w:gridSpan w:val="15"/>
          </w:tcPr>
          <w:p>
            <w:pPr>
              <w:ind w:left="640"/>
              <w:spacing w:after="0"/>
              <w:rPr>
                <w:sz w:val="20"/>
                <w:szCs w:val="20"/>
                <w:color w:val="auto"/>
              </w:rPr>
            </w:pPr>
            <w:r>
              <w:rPr>
                <w:rFonts w:ascii="Arial" w:cs="Arial" w:eastAsia="Arial" w:hAnsi="Arial"/>
                <w:sz w:val="18"/>
                <w:szCs w:val="18"/>
                <w:color w:val="auto"/>
              </w:rPr>
              <w:t>(3) Exhibits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2"/>
        </w:trPr>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Description</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000" w:type="dxa"/>
            <w:vAlign w:val="bottom"/>
          </w:tcPr>
          <w:p>
            <w:pPr>
              <w:jc w:val="center"/>
              <w:ind w:left="312"/>
              <w:spacing w:after="0"/>
              <w:rPr>
                <w:sz w:val="20"/>
                <w:szCs w:val="20"/>
                <w:color w:val="auto"/>
              </w:rPr>
            </w:pPr>
            <w:r>
              <w:rPr>
                <w:rFonts w:ascii="Arial" w:cs="Arial" w:eastAsia="Arial" w:hAnsi="Arial"/>
                <w:sz w:val="18"/>
                <w:szCs w:val="18"/>
                <w:color w:val="auto"/>
                <w:w w:val="99"/>
              </w:rPr>
              <w:t>2.1*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100" w:type="dxa"/>
            <w:vAlign w:val="bottom"/>
            <w:gridSpan w:val="10"/>
          </w:tcPr>
          <w:p>
            <w:pPr>
              <w:ind w:left="20"/>
              <w:spacing w:after="0"/>
              <w:rPr>
                <w:sz w:val="20"/>
                <w:szCs w:val="20"/>
                <w:color w:val="auto"/>
              </w:rPr>
            </w:pPr>
            <w:r>
              <w:rPr>
                <w:rFonts w:ascii="Arial" w:cs="Arial" w:eastAsia="Arial" w:hAnsi="Arial"/>
                <w:sz w:val="18"/>
                <w:szCs w:val="18"/>
                <w:color w:val="auto"/>
                <w:w w:val="93"/>
              </w:rPr>
              <w:t>Agreement and Plan of Merger between EchoStar Corporation, EchoStar Satellite Services L.L.C., Broadband Acquisition</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100" w:type="dxa"/>
            <w:vAlign w:val="bottom"/>
            <w:gridSpan w:val="10"/>
          </w:tcPr>
          <w:p>
            <w:pPr>
              <w:ind w:left="20"/>
              <w:spacing w:after="0"/>
              <w:rPr>
                <w:sz w:val="20"/>
                <w:szCs w:val="20"/>
                <w:color w:val="auto"/>
              </w:rPr>
            </w:pPr>
            <w:r>
              <w:rPr>
                <w:rFonts w:ascii="Arial" w:cs="Arial" w:eastAsia="Arial" w:hAnsi="Arial"/>
                <w:sz w:val="18"/>
                <w:szCs w:val="18"/>
                <w:color w:val="auto"/>
                <w:w w:val="91"/>
              </w:rPr>
              <w:t>Corporation and Hughes Communications, Inc. dated as of February 13, 2011 (incorporated by reference to Exhibit 2.1 to the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00" w:type="dxa"/>
            <w:vAlign w:val="bottom"/>
            <w:gridSpan w:val="10"/>
          </w:tcPr>
          <w:p>
            <w:pPr>
              <w:ind w:left="20"/>
              <w:spacing w:after="0"/>
              <w:rPr>
                <w:sz w:val="20"/>
                <w:szCs w:val="20"/>
                <w:color w:val="auto"/>
              </w:rPr>
            </w:pPr>
            <w:r>
              <w:rPr>
                <w:rFonts w:ascii="Arial" w:cs="Arial" w:eastAsia="Arial" w:hAnsi="Arial"/>
                <w:sz w:val="18"/>
                <w:szCs w:val="18"/>
                <w:color w:val="auto"/>
                <w:w w:val="93"/>
              </w:rPr>
              <w:t>Current Report on Form 8-K of Hughes Communications, Inc., filed February 15, 2011, Commission File No. 1-33040).****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80"/>
        </w:trPr>
        <w:tc>
          <w:tcPr>
            <w:tcW w:w="1000" w:type="dxa"/>
            <w:vAlign w:val="bottom"/>
          </w:tcPr>
          <w:p>
            <w:pPr>
              <w:jc w:val="center"/>
              <w:ind w:left="312"/>
              <w:spacing w:after="0"/>
              <w:rPr>
                <w:sz w:val="20"/>
                <w:szCs w:val="20"/>
                <w:color w:val="auto"/>
              </w:rPr>
            </w:pPr>
            <w:r>
              <w:rPr>
                <w:rFonts w:ascii="Arial" w:cs="Arial" w:eastAsia="Arial" w:hAnsi="Arial"/>
                <w:sz w:val="18"/>
                <w:szCs w:val="18"/>
                <w:color w:val="auto"/>
                <w:w w:val="96"/>
              </w:rPr>
              <w:t>3.1(a)*</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100" w:type="dxa"/>
            <w:vAlign w:val="bottom"/>
            <w:gridSpan w:val="10"/>
          </w:tcPr>
          <w:p>
            <w:pPr>
              <w:ind w:left="20"/>
              <w:spacing w:after="0"/>
              <w:rPr>
                <w:sz w:val="20"/>
                <w:szCs w:val="20"/>
                <w:color w:val="auto"/>
              </w:rPr>
            </w:pPr>
            <w:r>
              <w:rPr>
                <w:rFonts w:ascii="Arial" w:cs="Arial" w:eastAsia="Arial" w:hAnsi="Arial"/>
                <w:sz w:val="18"/>
                <w:szCs w:val="18"/>
                <w:color w:val="auto"/>
                <w:w w:val="92"/>
              </w:rPr>
              <w:t>Articles of Incorporation of EH Holding Corporation (currently known as Hughes Satellite Systems Corporation), dated as of</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60" w:type="dxa"/>
            <w:vAlign w:val="bottom"/>
            <w:gridSpan w:val="13"/>
          </w:tcPr>
          <w:p>
            <w:pPr>
              <w:ind w:left="20"/>
              <w:spacing w:after="0"/>
              <w:rPr>
                <w:sz w:val="20"/>
                <w:szCs w:val="20"/>
                <w:color w:val="auto"/>
              </w:rPr>
            </w:pPr>
            <w:r>
              <w:rPr>
                <w:rFonts w:ascii="Arial" w:cs="Arial" w:eastAsia="Arial" w:hAnsi="Arial"/>
                <w:sz w:val="18"/>
                <w:szCs w:val="18"/>
                <w:color w:val="auto"/>
                <w:w w:val="92"/>
              </w:rPr>
              <w:t>March 16, 2011 (incorporated by reference to Exhibit 3.1(a) to the Company’s Registration Statement on Form S-4, Registration</w:t>
            </w:r>
          </w:p>
        </w:tc>
      </w:tr>
      <w:tr>
        <w:trPr>
          <w:trHeight w:val="230"/>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00" w:type="dxa"/>
            <w:vAlign w:val="bottom"/>
            <w:gridSpan w:val="10"/>
          </w:tcPr>
          <w:p>
            <w:pPr>
              <w:ind w:left="20"/>
              <w:spacing w:after="0"/>
              <w:rPr>
                <w:sz w:val="20"/>
                <w:szCs w:val="20"/>
                <w:color w:val="auto"/>
              </w:rPr>
            </w:pPr>
            <w:r>
              <w:rPr>
                <w:rFonts w:ascii="Arial" w:cs="Arial" w:eastAsia="Arial" w:hAnsi="Arial"/>
                <w:sz w:val="18"/>
                <w:szCs w:val="18"/>
                <w:color w:val="auto"/>
              </w:rPr>
              <w:t>No. 333-179121).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80"/>
        </w:trPr>
        <w:tc>
          <w:tcPr>
            <w:tcW w:w="1000" w:type="dxa"/>
            <w:vAlign w:val="bottom"/>
          </w:tcPr>
          <w:p>
            <w:pPr>
              <w:jc w:val="center"/>
              <w:ind w:left="312"/>
              <w:spacing w:after="0"/>
              <w:rPr>
                <w:sz w:val="20"/>
                <w:szCs w:val="20"/>
                <w:color w:val="auto"/>
              </w:rPr>
            </w:pPr>
            <w:r>
              <w:rPr>
                <w:rFonts w:ascii="Arial" w:cs="Arial" w:eastAsia="Arial" w:hAnsi="Arial"/>
                <w:sz w:val="18"/>
                <w:szCs w:val="18"/>
                <w:color w:val="auto"/>
                <w:w w:val="96"/>
              </w:rPr>
              <w:t>3.1(b)*</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100" w:type="dxa"/>
            <w:vAlign w:val="bottom"/>
            <w:gridSpan w:val="10"/>
          </w:tcPr>
          <w:p>
            <w:pPr>
              <w:ind w:left="20"/>
              <w:spacing w:after="0"/>
              <w:rPr>
                <w:sz w:val="20"/>
                <w:szCs w:val="20"/>
                <w:color w:val="auto"/>
              </w:rPr>
            </w:pPr>
            <w:r>
              <w:rPr>
                <w:rFonts w:ascii="Arial" w:cs="Arial" w:eastAsia="Arial" w:hAnsi="Arial"/>
                <w:sz w:val="18"/>
                <w:szCs w:val="18"/>
                <w:color w:val="auto"/>
                <w:w w:val="93"/>
              </w:rPr>
              <w:t>Articles of Amendment of EH Holding Corporation (currently known as Hughes Satellite Systems Corporation), dated as of</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60" w:type="dxa"/>
            <w:vAlign w:val="bottom"/>
            <w:gridSpan w:val="13"/>
          </w:tcPr>
          <w:p>
            <w:pPr>
              <w:ind w:left="20"/>
              <w:spacing w:after="0"/>
              <w:rPr>
                <w:sz w:val="20"/>
                <w:szCs w:val="20"/>
                <w:color w:val="auto"/>
              </w:rPr>
            </w:pPr>
            <w:r>
              <w:rPr>
                <w:rFonts w:ascii="Arial" w:cs="Arial" w:eastAsia="Arial" w:hAnsi="Arial"/>
                <w:sz w:val="18"/>
                <w:szCs w:val="18"/>
                <w:color w:val="auto"/>
                <w:w w:val="91"/>
              </w:rPr>
              <w:t>October 26, 2011 (incorporated by reference to Exhibit 3.1(b) to the Company’s Registration Statement on Form S-4, Registration</w:t>
            </w:r>
          </w:p>
        </w:tc>
      </w:tr>
      <w:tr>
        <w:trPr>
          <w:trHeight w:val="230"/>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00" w:type="dxa"/>
            <w:vAlign w:val="bottom"/>
            <w:gridSpan w:val="10"/>
          </w:tcPr>
          <w:p>
            <w:pPr>
              <w:ind w:left="20"/>
              <w:spacing w:after="0"/>
              <w:rPr>
                <w:sz w:val="20"/>
                <w:szCs w:val="20"/>
                <w:color w:val="auto"/>
              </w:rPr>
            </w:pPr>
            <w:r>
              <w:rPr>
                <w:rFonts w:ascii="Arial" w:cs="Arial" w:eastAsia="Arial" w:hAnsi="Arial"/>
                <w:sz w:val="18"/>
                <w:szCs w:val="18"/>
                <w:color w:val="auto"/>
              </w:rPr>
              <w:t>No. 333-179121).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80"/>
        </w:trPr>
        <w:tc>
          <w:tcPr>
            <w:tcW w:w="1000" w:type="dxa"/>
            <w:vAlign w:val="bottom"/>
          </w:tcPr>
          <w:p>
            <w:pPr>
              <w:jc w:val="center"/>
              <w:ind w:left="312"/>
              <w:spacing w:after="0"/>
              <w:rPr>
                <w:sz w:val="20"/>
                <w:szCs w:val="20"/>
                <w:color w:val="auto"/>
              </w:rPr>
            </w:pPr>
            <w:r>
              <w:rPr>
                <w:rFonts w:ascii="Arial" w:cs="Arial" w:eastAsia="Arial" w:hAnsi="Arial"/>
                <w:sz w:val="18"/>
                <w:szCs w:val="18"/>
                <w:color w:val="auto"/>
                <w:w w:val="98"/>
              </w:rPr>
              <w:t>3.1(c)*</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60" w:type="dxa"/>
            <w:vAlign w:val="bottom"/>
            <w:gridSpan w:val="13"/>
          </w:tcPr>
          <w:p>
            <w:pPr>
              <w:ind w:left="20"/>
              <w:spacing w:after="0"/>
              <w:rPr>
                <w:sz w:val="20"/>
                <w:szCs w:val="20"/>
                <w:color w:val="auto"/>
              </w:rPr>
            </w:pPr>
            <w:r>
              <w:rPr>
                <w:rFonts w:ascii="Arial" w:cs="Arial" w:eastAsia="Arial" w:hAnsi="Arial"/>
                <w:sz w:val="18"/>
                <w:szCs w:val="18"/>
                <w:color w:val="auto"/>
                <w:w w:val="93"/>
              </w:rPr>
              <w:t>Articles of Amendment of Hughes Satellite Systems Corporation, dated as of December 30, 2013 (incorporated by reference to</w:t>
            </w:r>
          </w:p>
        </w:tc>
      </w:t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100" w:type="dxa"/>
            <w:vAlign w:val="bottom"/>
            <w:gridSpan w:val="10"/>
          </w:tcPr>
          <w:p>
            <w:pPr>
              <w:ind w:left="20"/>
              <w:spacing w:after="0"/>
              <w:rPr>
                <w:sz w:val="20"/>
                <w:szCs w:val="20"/>
                <w:color w:val="auto"/>
              </w:rPr>
            </w:pPr>
            <w:r>
              <w:rPr>
                <w:rFonts w:ascii="Arial" w:cs="Arial" w:eastAsia="Arial" w:hAnsi="Arial"/>
                <w:sz w:val="18"/>
                <w:szCs w:val="18"/>
                <w:color w:val="auto"/>
                <w:w w:val="91"/>
              </w:rPr>
              <w:t>Exhibit 3.1(c) to the Annual Report on Form 10-K of Hughes Satellite Systems Corporation for the year ended December 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00" w:type="dxa"/>
            <w:vAlign w:val="bottom"/>
            <w:gridSpan w:val="10"/>
          </w:tcPr>
          <w:p>
            <w:pPr>
              <w:ind w:left="20"/>
              <w:spacing w:after="0"/>
              <w:rPr>
                <w:sz w:val="20"/>
                <w:szCs w:val="20"/>
                <w:color w:val="auto"/>
              </w:rPr>
            </w:pPr>
            <w:r>
              <w:rPr>
                <w:rFonts w:ascii="Arial" w:cs="Arial" w:eastAsia="Arial" w:hAnsi="Arial"/>
                <w:sz w:val="18"/>
                <w:szCs w:val="18"/>
                <w:color w:val="auto"/>
              </w:rPr>
              <w:t>2013, filed February 21, 2014, Commission File No. 333-179121.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80"/>
        </w:trPr>
        <w:tc>
          <w:tcPr>
            <w:tcW w:w="1000" w:type="dxa"/>
            <w:vAlign w:val="bottom"/>
          </w:tcPr>
          <w:p>
            <w:pPr>
              <w:jc w:val="center"/>
              <w:ind w:left="312"/>
              <w:spacing w:after="0"/>
              <w:rPr>
                <w:sz w:val="20"/>
                <w:szCs w:val="20"/>
                <w:color w:val="auto"/>
              </w:rPr>
            </w:pPr>
            <w:r>
              <w:rPr>
                <w:rFonts w:ascii="Arial" w:cs="Arial" w:eastAsia="Arial" w:hAnsi="Arial"/>
                <w:sz w:val="18"/>
                <w:szCs w:val="18"/>
                <w:color w:val="auto"/>
                <w:w w:val="96"/>
              </w:rPr>
              <w:t>3.1(d)*</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100" w:type="dxa"/>
            <w:vAlign w:val="bottom"/>
            <w:gridSpan w:val="10"/>
          </w:tcPr>
          <w:p>
            <w:pPr>
              <w:ind w:left="20"/>
              <w:spacing w:after="0"/>
              <w:rPr>
                <w:sz w:val="20"/>
                <w:szCs w:val="20"/>
                <w:color w:val="auto"/>
              </w:rPr>
            </w:pPr>
            <w:r>
              <w:rPr>
                <w:rFonts w:ascii="Arial" w:cs="Arial" w:eastAsia="Arial" w:hAnsi="Arial"/>
                <w:sz w:val="18"/>
                <w:szCs w:val="18"/>
                <w:color w:val="auto"/>
                <w:w w:val="91"/>
              </w:rPr>
              <w:t>Articles of Amendment of Hughes Satellite Systems Corporation, dated as of January 21, 2014 (incorporated by reference to</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100" w:type="dxa"/>
            <w:vAlign w:val="bottom"/>
            <w:gridSpan w:val="10"/>
          </w:tcPr>
          <w:p>
            <w:pPr>
              <w:ind w:left="20"/>
              <w:spacing w:after="0"/>
              <w:rPr>
                <w:sz w:val="20"/>
                <w:szCs w:val="20"/>
                <w:color w:val="auto"/>
              </w:rPr>
            </w:pPr>
            <w:r>
              <w:rPr>
                <w:rFonts w:ascii="Arial" w:cs="Arial" w:eastAsia="Arial" w:hAnsi="Arial"/>
                <w:sz w:val="18"/>
                <w:szCs w:val="18"/>
                <w:color w:val="auto"/>
                <w:w w:val="91"/>
              </w:rPr>
              <w:t>Exhibit 3.1(d) to the Annual Report on Form 10-K of Hughes Satellite Systems Corporation for the year ended December 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00" w:type="dxa"/>
            <w:vAlign w:val="bottom"/>
            <w:gridSpan w:val="10"/>
          </w:tcPr>
          <w:p>
            <w:pPr>
              <w:ind w:left="20"/>
              <w:spacing w:after="0"/>
              <w:rPr>
                <w:sz w:val="20"/>
                <w:szCs w:val="20"/>
                <w:color w:val="auto"/>
              </w:rPr>
            </w:pPr>
            <w:r>
              <w:rPr>
                <w:rFonts w:ascii="Arial" w:cs="Arial" w:eastAsia="Arial" w:hAnsi="Arial"/>
                <w:sz w:val="18"/>
                <w:szCs w:val="18"/>
                <w:color w:val="auto"/>
              </w:rPr>
              <w:t>2013, filed February 21, 2014, Commission File No. 333-179121).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80"/>
        </w:trPr>
        <w:tc>
          <w:tcPr>
            <w:tcW w:w="1000" w:type="dxa"/>
            <w:vAlign w:val="bottom"/>
          </w:tcPr>
          <w:p>
            <w:pPr>
              <w:jc w:val="center"/>
              <w:ind w:left="312"/>
              <w:spacing w:after="0"/>
              <w:rPr>
                <w:sz w:val="20"/>
                <w:szCs w:val="20"/>
                <w:color w:val="auto"/>
              </w:rPr>
            </w:pPr>
            <w:r>
              <w:rPr>
                <w:rFonts w:ascii="Arial" w:cs="Arial" w:eastAsia="Arial" w:hAnsi="Arial"/>
                <w:sz w:val="18"/>
                <w:szCs w:val="18"/>
                <w:color w:val="auto"/>
                <w:w w:val="96"/>
              </w:rPr>
              <w:t>3.1(e)*</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100" w:type="dxa"/>
            <w:vAlign w:val="bottom"/>
            <w:gridSpan w:val="10"/>
          </w:tcPr>
          <w:p>
            <w:pPr>
              <w:ind w:left="20"/>
              <w:spacing w:after="0"/>
              <w:rPr>
                <w:sz w:val="20"/>
                <w:szCs w:val="20"/>
                <w:color w:val="auto"/>
              </w:rPr>
            </w:pPr>
            <w:r>
              <w:rPr>
                <w:rFonts w:ascii="Arial" w:cs="Arial" w:eastAsia="Arial" w:hAnsi="Arial"/>
                <w:sz w:val="18"/>
                <w:szCs w:val="18"/>
                <w:color w:val="auto"/>
                <w:w w:val="90"/>
              </w:rPr>
              <w:t>Articles of Amendment of Hughes Satellite Systems Corporation, dated as of February 28, 2014 (incorporated by reference to</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60" w:type="dxa"/>
            <w:vAlign w:val="bottom"/>
            <w:gridSpan w:val="13"/>
          </w:tcPr>
          <w:p>
            <w:pPr>
              <w:ind w:left="20"/>
              <w:spacing w:after="0"/>
              <w:rPr>
                <w:sz w:val="20"/>
                <w:szCs w:val="20"/>
                <w:color w:val="auto"/>
              </w:rPr>
            </w:pPr>
            <w:r>
              <w:rPr>
                <w:rFonts w:ascii="Arial" w:cs="Arial" w:eastAsia="Arial" w:hAnsi="Arial"/>
                <w:sz w:val="18"/>
                <w:szCs w:val="18"/>
                <w:color w:val="auto"/>
                <w:w w:val="94"/>
              </w:rPr>
              <w:t>Exhibit 3.1(a) to the Quarterly Report on Form 10-Q of Hughes Satellite Systems Corporation for the quarter ended March 31,</w:t>
            </w:r>
          </w:p>
        </w:tc>
      </w:tr>
      <w:tr>
        <w:trPr>
          <w:trHeight w:val="230"/>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00" w:type="dxa"/>
            <w:vAlign w:val="bottom"/>
            <w:gridSpan w:val="10"/>
          </w:tcPr>
          <w:p>
            <w:pPr>
              <w:ind w:left="20"/>
              <w:spacing w:after="0"/>
              <w:rPr>
                <w:sz w:val="20"/>
                <w:szCs w:val="20"/>
                <w:color w:val="auto"/>
              </w:rPr>
            </w:pPr>
            <w:r>
              <w:rPr>
                <w:rFonts w:ascii="Arial" w:cs="Arial" w:eastAsia="Arial" w:hAnsi="Arial"/>
                <w:sz w:val="18"/>
                <w:szCs w:val="18"/>
                <w:color w:val="auto"/>
              </w:rPr>
              <w:t>2014, filed May 9, 2014, Commission File No. 333-179121).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460" w:type="dxa"/>
            <w:vAlign w:val="bottom"/>
          </w:tcPr>
          <w:p>
            <w:pPr>
              <w:ind w:left="438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380" w:type="dxa"/>
            <w:vAlign w:val="bottom"/>
            <w:tcBorders>
              <w:top w:val="single" w:sz="8" w:color="auto"/>
            </w:tcBorders>
          </w:tcPr>
          <w:p>
            <w:pPr>
              <w:jc w:val="right"/>
              <w:ind w:right="432"/>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19"/>
                <w:szCs w:val="19"/>
                <w:color w:val="auto"/>
              </w:rPr>
            </w:pPr>
          </w:p>
        </w:tc>
        <w:tc>
          <w:tcPr>
            <w:tcW w:w="9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8"/>
              </w:rPr>
              <w:t>Bylaws of EH Holding Corporation (incorporated by reference to Exhibit 3.2 to the Company’s Registration Statement on</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Form S-4, Registration No. 333-179121).</w:t>
            </w:r>
          </w:p>
        </w:tc>
      </w:tr>
      <w:tr>
        <w:trPr>
          <w:trHeight w:val="580"/>
        </w:trPr>
        <w:tc>
          <w:tcPr>
            <w:tcW w:w="1380" w:type="dxa"/>
            <w:vAlign w:val="bottom"/>
          </w:tcPr>
          <w:p>
            <w:pPr>
              <w:jc w:val="right"/>
              <w:ind w:right="432"/>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6"/>
              </w:rPr>
              <w:t>Certificate of Designation Establishing the Voting Powers, Designations, Preferences, Limitations, Restrictions and Relative</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Rights of the Hughes Retail Preferred Tracking Stock, dated February 28, 2014 (incorporated by reference to Exhibit 3.1(b) to the</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Quarterly Report on Form 10-Q of Hughes Satellite Systems Corporation for quarter ended March 31, 2014, filed May 9, 2014,</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Commission File No. 333-179121).</w:t>
            </w:r>
          </w:p>
        </w:tc>
      </w:tr>
      <w:tr>
        <w:trPr>
          <w:trHeight w:val="580"/>
        </w:trPr>
        <w:tc>
          <w:tcPr>
            <w:tcW w:w="1380" w:type="dxa"/>
            <w:vAlign w:val="bottom"/>
          </w:tcPr>
          <w:p>
            <w:pPr>
              <w:jc w:val="right"/>
              <w:ind w:right="432"/>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6"/>
              </w:rPr>
              <w:t>Indenture relating to the EH Holding Corporation (currently known as Hughes Satellite Systems Corporation) 6 1/2% Senior</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Secured Notes due 2019, dated as of June 1, 2011, by and among EH Holding Corporation, the guarantors listed on the signature</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0"/>
              </w:rPr>
              <w:t>page thereto, and Wells Fargo Bank, National Association, as collateral agent and trustee (incorporated by reference to Exhibit 4.1</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to EchoStar Corporation’s Current Report on Form 8-K filed June 2, 2011, Commission File No. 001-33807).</w:t>
            </w:r>
          </w:p>
        </w:tc>
      </w:tr>
      <w:tr>
        <w:trPr>
          <w:trHeight w:val="580"/>
        </w:trPr>
        <w:tc>
          <w:tcPr>
            <w:tcW w:w="1380" w:type="dxa"/>
            <w:vAlign w:val="bottom"/>
          </w:tcPr>
          <w:p>
            <w:pPr>
              <w:jc w:val="right"/>
              <w:ind w:right="432"/>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6"/>
              </w:rPr>
              <w:t>Indenture relating to the EH Holding Corporation (currently known as Hughes Satellite Systems Corporation) 7 5/8% Senior</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6"/>
              </w:rPr>
              <w:t>Unsecured Notes due 2021, dated as of June 1, 2011, by and among EH Holding Corporation, the guarantors listed on the</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6"/>
              </w:rPr>
              <w:t>signature page thereto, and Wells Fargo Bank, National Association, as trustee (incorporated by reference to Exhibit 4.2 to</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EchoStar Corporation’s Current Report on Form 8-K, filed June 2, 2011, Commission File No. 001-33807).</w:t>
            </w:r>
          </w:p>
        </w:tc>
      </w:tr>
      <w:tr>
        <w:trPr>
          <w:trHeight w:val="580"/>
        </w:trPr>
        <w:tc>
          <w:tcPr>
            <w:tcW w:w="1380" w:type="dxa"/>
            <w:vAlign w:val="bottom"/>
          </w:tcPr>
          <w:p>
            <w:pPr>
              <w:jc w:val="right"/>
              <w:ind w:right="432"/>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Supplemental Indenture relating to the 6 1/2% Senior Secured Notes due 2019 of EH Holding Corporation (currently known as</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0"/>
              </w:rPr>
              <w:t>Hughes Satellite Systems Corporation), dated as of June 8, 2011, by and among EH Holding Corporation, the guarantors listed on</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0"/>
              </w:rPr>
              <w:t>the signature page thereto, and Wells Fargo Bank, National Association, as collateral agent and trustee (incorporated by reference</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6"/>
              </w:rPr>
              <w:t>to Exhibit 4.2 to EchoStar Corporation’s Current Report on Form 8-K, filed June 9, 2011, Commission File No. 001-33807).</w:t>
            </w:r>
          </w:p>
        </w:tc>
      </w:tr>
      <w:tr>
        <w:trPr>
          <w:trHeight w:val="580"/>
        </w:trPr>
        <w:tc>
          <w:tcPr>
            <w:tcW w:w="1380" w:type="dxa"/>
            <w:vAlign w:val="bottom"/>
          </w:tcPr>
          <w:p>
            <w:pPr>
              <w:jc w:val="right"/>
              <w:ind w:right="432"/>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Supplemental Indenture relating to the 7 5/8% Senior Unsecured Notes due 2021 of EH Holding Corporation (currently known as</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0"/>
              </w:rPr>
              <w:t>Hughes Satellite Systems Corporation), dated as of June 8, 2011, by and among EH Holding Corporation, the guarantors listed on</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the signature page thereto, and Wells Fargo Bank, National Association, as trustee (incorporated by reference to Exhibit 4.3 to</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EchoStar Corporation’s Current Report on Form 8-K, filed June 9, 2011, Commission File No. 001-33807).</w:t>
            </w:r>
          </w:p>
        </w:tc>
      </w:tr>
      <w:tr>
        <w:trPr>
          <w:trHeight w:val="580"/>
        </w:trPr>
        <w:tc>
          <w:tcPr>
            <w:tcW w:w="1380" w:type="dxa"/>
            <w:vAlign w:val="bottom"/>
          </w:tcPr>
          <w:p>
            <w:pPr>
              <w:jc w:val="right"/>
              <w:ind w:right="432"/>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Registration Rights Agreement, dated as of June 1, 2011, among EH Holding Corporation (currently known as Hughes Satellite</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Systems Corporation), the guarantors listed on the signature page thereto and Deutsche Bank Securities Inc. (incorporated by</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reference to Exhibit 4.3 to EchoStar Corporation’s Current Report on Form 8-K, filed June 2, 2011, Commission File No. 001-</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33807).</w:t>
            </w:r>
          </w:p>
        </w:tc>
      </w:tr>
      <w:tr>
        <w:trPr>
          <w:trHeight w:val="580"/>
        </w:trPr>
        <w:tc>
          <w:tcPr>
            <w:tcW w:w="1380" w:type="dxa"/>
            <w:vAlign w:val="bottom"/>
          </w:tcPr>
          <w:p>
            <w:pPr>
              <w:jc w:val="right"/>
              <w:ind w:right="432"/>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Security Agreement, dated as of June 8, 2011, among EH Holding Corporation (currently known as Hughes Satellite Systems</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0"/>
              </w:rPr>
              <w:t>Corporation), the guarantors listed on the signature pages thereto, and Wells Fargo Bank, National Association, as collateral agent</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(incorporated by reference to Exhibit 4.1 to EchoStar Corporation’s Current Report on Form 8-K, filed June 9, 2011, Commission</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File No. 001-33807).</w:t>
            </w:r>
          </w:p>
        </w:tc>
      </w:tr>
      <w:tr>
        <w:trPr>
          <w:trHeight w:val="580"/>
        </w:trPr>
        <w:tc>
          <w:tcPr>
            <w:tcW w:w="1380" w:type="dxa"/>
            <w:vAlign w:val="bottom"/>
          </w:tcPr>
          <w:p>
            <w:pPr>
              <w:jc w:val="right"/>
              <w:ind w:right="432"/>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0"/>
              </w:rPr>
              <w:t>Second Supplemental Indenture, dated as of March 28, 2014, by and among Hughes Satellite Systems Corporation, the guarantors</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and the supplemental guarantors listed on the signature pages thereto, and Wells Fargo Bank, National Association, as collateral</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agent and trustee (incorporated by reference to Exhibit 4.1 to EchoStar Corporation’s Quarterly Report on Form 10-Q for the</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quarter ended March 31, 2014, filed May 9, 2014, Commission File No. 001-33807).</w:t>
            </w:r>
          </w:p>
        </w:tc>
      </w:tr>
      <w:tr>
        <w:trPr>
          <w:trHeight w:val="580"/>
        </w:trPr>
        <w:tc>
          <w:tcPr>
            <w:tcW w:w="1380" w:type="dxa"/>
            <w:vAlign w:val="bottom"/>
          </w:tcPr>
          <w:p>
            <w:pPr>
              <w:jc w:val="right"/>
              <w:ind w:right="432"/>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0"/>
              </w:rPr>
              <w:t>Second Supplemental Indenture, dated as of March 28, 2014, by and among Hughes Satellite Systems Corporation, the guarantors</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and the supplemental guarantors listed on the signature pages thereto, and Wells Fargo Bank, National Association, as trustee</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8"/>
              </w:rPr>
              <w:t>(incorporated by reference to Exhibit 4.2 to EchoStar Corporation’s Quarterly Report on Form 10-Q for the quarter ended</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March 31, 2014, filed May 9, 2014, Commission File No. 001-33807).</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460" w:type="dxa"/>
            <w:vAlign w:val="bottom"/>
          </w:tcPr>
          <w:p>
            <w:pPr>
              <w:ind w:left="438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4.9*</w:t>
            </w:r>
          </w:p>
        </w:tc>
        <w:tc>
          <w:tcPr>
            <w:tcW w:w="580" w:type="dxa"/>
            <w:vAlign w:val="bottom"/>
          </w:tcPr>
          <w:p>
            <w:pPr>
              <w:spacing w:after="0"/>
              <w:rPr>
                <w:sz w:val="19"/>
                <w:szCs w:val="19"/>
                <w:color w:val="auto"/>
              </w:rPr>
            </w:pPr>
          </w:p>
        </w:tc>
        <w:tc>
          <w:tcPr>
            <w:tcW w:w="9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Joinder Agreement, dated as of March 28, 2014, to the Security Agreement dated as of June 8, 2011, by and among EchoStar XI</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Holding L.L.C., EchoStar XIV Holding L.L.C., and Wells Fargo Bank, National Association, as collateral agent (incorporated by</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reference to Exhibit 4.3 to EchoStar Corporation’s Quarterly Report on Form 10-Q for the quarter ended March 31, 2014, filed</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May 9, 2014, Commission File No. 001-33807).</w:t>
            </w:r>
          </w:p>
        </w:tc>
      </w:tr>
      <w:tr>
        <w:trPr>
          <w:trHeight w:val="594"/>
        </w:trPr>
        <w:tc>
          <w:tcPr>
            <w:tcW w:w="1380" w:type="dxa"/>
            <w:vAlign w:val="bottom"/>
          </w:tcPr>
          <w:p>
            <w:pPr>
              <w:jc w:val="center"/>
              <w:spacing w:after="0"/>
              <w:rPr>
                <w:sz w:val="20"/>
                <w:szCs w:val="20"/>
                <w:color w:val="auto"/>
              </w:rPr>
            </w:pPr>
            <w:r>
              <w:rPr>
                <w:rFonts w:ascii="Arial" w:cs="Arial" w:eastAsia="Arial" w:hAnsi="Arial"/>
                <w:sz w:val="18"/>
                <w:szCs w:val="18"/>
                <w:color w:val="auto"/>
                <w:w w:val="95"/>
              </w:rPr>
              <w:t>4.10*</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Form of Note for 6 1/2% Senior Secured Notes due 2019 (included as part of Exhibit 4.1).</w:t>
            </w:r>
          </w:p>
        </w:tc>
      </w:tr>
      <w:tr>
        <w:trPr>
          <w:trHeight w:val="594"/>
        </w:trPr>
        <w:tc>
          <w:tcPr>
            <w:tcW w:w="1380" w:type="dxa"/>
            <w:vAlign w:val="bottom"/>
          </w:tcPr>
          <w:p>
            <w:pPr>
              <w:jc w:val="center"/>
              <w:spacing w:after="0"/>
              <w:rPr>
                <w:sz w:val="20"/>
                <w:szCs w:val="20"/>
                <w:color w:val="auto"/>
              </w:rPr>
            </w:pPr>
            <w:r>
              <w:rPr>
                <w:rFonts w:ascii="Arial" w:cs="Arial" w:eastAsia="Arial" w:hAnsi="Arial"/>
                <w:sz w:val="18"/>
                <w:szCs w:val="18"/>
                <w:color w:val="auto"/>
                <w:w w:val="95"/>
              </w:rPr>
              <w:t>4.11*</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Form of Note for 7 5/8% Senior Unsecured Notes due 2021 (included as part of Exhibit 4.2).</w:t>
            </w:r>
          </w:p>
        </w:tc>
      </w:tr>
      <w:tr>
        <w:trPr>
          <w:trHeight w:val="580"/>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Form of Tax Sharing Agreement between EchoStar Corporation and DISH Network Corporation (incorporated by reference to</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7"/>
              </w:rPr>
              <w:t>Exhibit 10.2 to Amendment No. 1 of EchoStar Corporation’s Form 10, filed December 12, 2007, Commission File No. 001-</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33807).</w:t>
            </w:r>
          </w:p>
        </w:tc>
      </w:tr>
      <w:tr>
        <w:trPr>
          <w:trHeight w:val="580"/>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Form of Employee Matters Agreement between EchoStar Corporation and DISH Network Corporation (incorporated by reference</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to Exhibit 10.3 to Amendment No. 1 of EchoStar Corporation’s Form 10, filed December 12, 2007, Commission File No. 001-</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33807).**</w:t>
            </w:r>
          </w:p>
        </w:tc>
      </w:tr>
      <w:tr>
        <w:trPr>
          <w:trHeight w:val="580"/>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7"/>
              </w:rPr>
              <w:t>Form of Intellectual Property Matters Agreement between EchoStar Corporation, EchoStar Acquisition L.L.C., Echosphere</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L.L.C., DISH DBS Corporation, EIC Spain SL, EchoStar Technologies L.L.C. and DISH Network Corporation (incorporated by</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reference to Exhibit 10.4 to Amendment No. 1 of EchoStar Corporation’s Form 10 filed December 12, 2007, Commission File</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No. 001-33807).</w:t>
            </w:r>
          </w:p>
        </w:tc>
      </w:tr>
      <w:tr>
        <w:trPr>
          <w:trHeight w:val="580"/>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10.4*</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8"/>
              </w:rPr>
              <w:t>Satellite Service Agreement, dated as of March 21, 2003, between SES Americom, Inc., DISH Network L.L.C. and DISH</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9"/>
              </w:rPr>
              <w:t>Network Corporation (incorporated by reference to Exhibit 10.1 to the Quarterly Report on Form 10-Q of DISH Network</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Corporation for the quarter ended March 31, 2003, filed May 6, 2003, Commission File No.000-26176).***</w:t>
            </w:r>
          </w:p>
        </w:tc>
      </w:tr>
      <w:tr>
        <w:trPr>
          <w:trHeight w:val="580"/>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10.5*</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Amendment No. 1 to Satellite Service Agreement dated July 10, 2003 between SES Americom Inc., DISH Network L.L.C. and</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DISH Network Corporation (incorporated by reference to Exhibit 10.1 to the Quarterly Report on Form 10-Q of DISH Network</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9"/>
              </w:rPr>
              <w:t>Corporation for the quarter ended September 30, 2003, filed November 10, 2003, Commission File No. 000-26176). ***</w:t>
            </w:r>
          </w:p>
        </w:tc>
      </w:tr>
      <w:tr>
        <w:trPr>
          <w:trHeight w:val="580"/>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Amendment No. 3 to Satellite Service Agreement, dated February 19, 2004, between SES Americom, Inc., DISH Network L.L.C.</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8"/>
              </w:rPr>
              <w:t>and DISH Network Corporation (incorporated by reference to Exhibit 10.3 to the Quarterly Report on Form 10-Q of DISH</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Network Corporation for the quarter ended March 31, 2004, filed May 6, 2004, Commission File No. 000-26176).***</w:t>
            </w:r>
          </w:p>
        </w:tc>
      </w:tr>
      <w:tr>
        <w:trPr>
          <w:trHeight w:val="580"/>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10.7*</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Amendment No. 4 to Satellite Service Agreement, dated October 21, 2004, between SES Americom, Inc., DISH Network L.L.C.</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9"/>
              </w:rPr>
              <w:t>and DISH Network Corporation (incorporated by reference to Exhibit 10.23 to the Annual Report on Form 10-K of DISH</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9"/>
              </w:rPr>
              <w:t>Network Corporation for the year ended December 31, 2004, filed March 16, 2005, Commission File No. 000-26176).***</w:t>
            </w:r>
          </w:p>
        </w:tc>
      </w:tr>
      <w:tr>
        <w:trPr>
          <w:trHeight w:val="580"/>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10.8*</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6"/>
              </w:rPr>
              <w:t>Amendment No. 5 to Satellite Service Agreement, dated November 19, 2004, between SES Americom, Inc., DISH Network</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L.L.C. and DISH Network Corporation (incorporated by reference to Exhibit 10.25 to the Annual Report on Form 10-K of DISH</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9"/>
              </w:rPr>
              <w:t>Network Corporation for the year ended December 31, 2004, filed March 16, 2005, Commission File No. 000-26176).***</w:t>
            </w:r>
          </w:p>
        </w:tc>
      </w:tr>
      <w:tr>
        <w:trPr>
          <w:trHeight w:val="580"/>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10.9*</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6"/>
              </w:rPr>
              <w:t>Amendment No. 6 to Satellite Service Agreement, dated December 20, 2004, between SES Americom, Inc., DISH Network</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L.L.C. and DISH Network Corporation (incorporated by reference to Exhibit 10.26 to the Annual Report on Form 10-K of DISH</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9"/>
              </w:rPr>
              <w:t>Network Corporation for the year ended December 31, 2004, filed March 16, 2005 Commission File No. 000-26176).***</w:t>
            </w:r>
          </w:p>
        </w:tc>
      </w:tr>
      <w:tr>
        <w:trPr>
          <w:trHeight w:val="580"/>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10.10*</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Form of EchoStar Corporation 2008 Class B CEO Stock Option Plan (incorporated by reference to Exhibit 10.25 to Amendment</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No. 1 of EchoStar Corporation’s Form 10 filed December 12, 2007, Commission File No. 001-33807).**</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460" w:type="dxa"/>
            <w:vAlign w:val="bottom"/>
          </w:tcPr>
          <w:p>
            <w:pPr>
              <w:ind w:left="4380"/>
              <w:spacing w:after="0"/>
              <w:rPr>
                <w:sz w:val="20"/>
                <w:szCs w:val="20"/>
                <w:color w:val="auto"/>
              </w:rPr>
            </w:pPr>
            <w:r>
              <w:rPr>
                <w:rFonts w:ascii="Arial" w:cs="Arial" w:eastAsia="Arial" w:hAnsi="Arial"/>
                <w:sz w:val="14"/>
                <w:szCs w:val="14"/>
                <w:b w:val="1"/>
                <w:bCs w:val="1"/>
                <w:color w:val="auto"/>
              </w:rPr>
              <w:t>Description</w:t>
            </w:r>
          </w:p>
        </w:tc>
      </w:tr>
      <w:tr>
        <w:trPr>
          <w:trHeight w:val="552"/>
        </w:trPr>
        <w:tc>
          <w:tcPr>
            <w:tcW w:w="1380" w:type="dxa"/>
            <w:vAlign w:val="bottom"/>
            <w:tcBorders>
              <w:top w:val="single" w:sz="8" w:color="auto"/>
            </w:tcBorders>
          </w:tcPr>
          <w:p>
            <w:pPr>
              <w:jc w:val="right"/>
              <w:ind w:right="351"/>
              <w:spacing w:after="0"/>
              <w:rPr>
                <w:sz w:val="20"/>
                <w:szCs w:val="20"/>
                <w:color w:val="auto"/>
              </w:rPr>
            </w:pPr>
            <w:r>
              <w:rPr>
                <w:rFonts w:ascii="Arial" w:cs="Arial" w:eastAsia="Arial" w:hAnsi="Arial"/>
                <w:sz w:val="18"/>
                <w:szCs w:val="18"/>
                <w:color w:val="auto"/>
              </w:rPr>
              <w:t>10.11*</w:t>
            </w:r>
          </w:p>
        </w:tc>
        <w:tc>
          <w:tcPr>
            <w:tcW w:w="580" w:type="dxa"/>
            <w:vAlign w:val="bottom"/>
          </w:tcPr>
          <w:p>
            <w:pPr>
              <w:spacing w:after="0"/>
              <w:rPr>
                <w:sz w:val="24"/>
                <w:szCs w:val="24"/>
                <w:color w:val="auto"/>
              </w:rPr>
            </w:pPr>
          </w:p>
        </w:tc>
        <w:tc>
          <w:tcPr>
            <w:tcW w:w="9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Form of Satellite Capacity Agreement between EchoStar Corporation and DISH Network L.L.C. (incorporated by reference from</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6"/>
              </w:rPr>
              <w:t>Exhibit 10.28 to Amendment No. 2 to EchoStar Corporation’s Form 10, filed December 26, 2007, Commission File No. 001-</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33807).</w:t>
            </w:r>
          </w:p>
        </w:tc>
      </w:tr>
      <w:tr>
        <w:trPr>
          <w:trHeight w:val="580"/>
        </w:trPr>
        <w:tc>
          <w:tcPr>
            <w:tcW w:w="1380" w:type="dxa"/>
            <w:vAlign w:val="bottom"/>
          </w:tcPr>
          <w:p>
            <w:pPr>
              <w:jc w:val="right"/>
              <w:ind w:right="351"/>
              <w:spacing w:after="0"/>
              <w:rPr>
                <w:sz w:val="20"/>
                <w:szCs w:val="20"/>
                <w:color w:val="auto"/>
              </w:rPr>
            </w:pPr>
            <w:r>
              <w:rPr>
                <w:rFonts w:ascii="Arial" w:cs="Arial" w:eastAsia="Arial" w:hAnsi="Arial"/>
                <w:sz w:val="18"/>
                <w:szCs w:val="18"/>
                <w:color w:val="auto"/>
              </w:rPr>
              <w:t>10.12*</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9"/>
              </w:rPr>
              <w:t>QuetzSat-1 Satellite Service Agreement, dated November 24, 2008, between SES Latin America S.A. and EchoStar 77</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Corporation, a direct wholly-owned subsidiary of EchoStar Corporation (incorporated by reference to Exhibit 10.24 to EchoStar</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7"/>
              </w:rPr>
              <w:t>Corporation’s Annual Report on Form 10-K for the year ended December 31, 2009, filed March 1, 2010, Commission File</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No. 001-33807).***</w:t>
            </w:r>
          </w:p>
        </w:tc>
      </w:tr>
      <w:tr>
        <w:trPr>
          <w:trHeight w:val="580"/>
        </w:trPr>
        <w:tc>
          <w:tcPr>
            <w:tcW w:w="1380" w:type="dxa"/>
            <w:vAlign w:val="bottom"/>
          </w:tcPr>
          <w:p>
            <w:pPr>
              <w:jc w:val="right"/>
              <w:ind w:right="351"/>
              <w:spacing w:after="0"/>
              <w:rPr>
                <w:sz w:val="20"/>
                <w:szCs w:val="20"/>
                <w:color w:val="auto"/>
              </w:rPr>
            </w:pPr>
            <w:r>
              <w:rPr>
                <w:rFonts w:ascii="Arial" w:cs="Arial" w:eastAsia="Arial" w:hAnsi="Arial"/>
                <w:sz w:val="18"/>
                <w:szCs w:val="18"/>
                <w:color w:val="auto"/>
              </w:rPr>
              <w:t>10.13*</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QuetzSat-1 Satellite Service Agreement, dated November 24, 2008, between EchoStar 77 Corporation, a direct wholly-owned</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subsidiary of EchoStar Corporation, and DISH Network L.L.C. (incorporated by reference to Exhibit 10.25 to EchoStar</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Corporation’s Annual Report on Form 10-K of EchoStar Corporation for the year ended December 31, 2009, filed March 1, 2010,</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Commission File No. 001-33807).***</w:t>
            </w:r>
          </w:p>
        </w:tc>
      </w:tr>
      <w:tr>
        <w:trPr>
          <w:trHeight w:val="580"/>
        </w:trPr>
        <w:tc>
          <w:tcPr>
            <w:tcW w:w="1380" w:type="dxa"/>
            <w:vAlign w:val="bottom"/>
          </w:tcPr>
          <w:p>
            <w:pPr>
              <w:jc w:val="right"/>
              <w:ind w:right="351"/>
              <w:spacing w:after="0"/>
              <w:rPr>
                <w:sz w:val="20"/>
                <w:szCs w:val="20"/>
                <w:color w:val="auto"/>
              </w:rPr>
            </w:pPr>
            <w:r>
              <w:rPr>
                <w:rFonts w:ascii="Arial" w:cs="Arial" w:eastAsia="Arial" w:hAnsi="Arial"/>
                <w:sz w:val="18"/>
                <w:szCs w:val="18"/>
                <w:color w:val="auto"/>
              </w:rPr>
              <w:t>10.14*</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Amended and Restated EchoStar Corporation 2008 Employee Stock Purchase Plan (incorporated by reference to EchoStar</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Corporation’s Definitive Proxy Statement on Form 14 filed March 31, 2009, Commission File No. 001-33807).**</w:t>
            </w:r>
          </w:p>
        </w:tc>
      </w:tr>
      <w:tr>
        <w:trPr>
          <w:trHeight w:val="580"/>
        </w:trPr>
        <w:tc>
          <w:tcPr>
            <w:tcW w:w="1380" w:type="dxa"/>
            <w:vAlign w:val="bottom"/>
          </w:tcPr>
          <w:p>
            <w:pPr>
              <w:jc w:val="right"/>
              <w:ind w:right="351"/>
              <w:spacing w:after="0"/>
              <w:rPr>
                <w:sz w:val="20"/>
                <w:szCs w:val="20"/>
                <w:color w:val="auto"/>
              </w:rPr>
            </w:pPr>
            <w:r>
              <w:rPr>
                <w:rFonts w:ascii="Arial" w:cs="Arial" w:eastAsia="Arial" w:hAnsi="Arial"/>
                <w:sz w:val="18"/>
                <w:szCs w:val="18"/>
                <w:color w:val="auto"/>
              </w:rPr>
              <w:t>10.15*</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Amended and Restated EchoStar Corporation 2008 Stock Incentive Plan (the “2008 Stock Incentive Plan”) (incorporated by</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reference to EchoStar Corporation’s Definitive Proxy Statement on Form 14, filed September 18, 2014, Commission File No. 001-</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33807).**</w:t>
            </w:r>
          </w:p>
        </w:tc>
      </w:tr>
      <w:tr>
        <w:trPr>
          <w:trHeight w:val="580"/>
        </w:trPr>
        <w:tc>
          <w:tcPr>
            <w:tcW w:w="1380" w:type="dxa"/>
            <w:vAlign w:val="bottom"/>
          </w:tcPr>
          <w:p>
            <w:pPr>
              <w:jc w:val="right"/>
              <w:ind w:right="351"/>
              <w:spacing w:after="0"/>
              <w:rPr>
                <w:sz w:val="20"/>
                <w:szCs w:val="20"/>
                <w:color w:val="auto"/>
              </w:rPr>
            </w:pPr>
            <w:r>
              <w:rPr>
                <w:rFonts w:ascii="Arial" w:cs="Arial" w:eastAsia="Arial" w:hAnsi="Arial"/>
                <w:sz w:val="18"/>
                <w:szCs w:val="18"/>
                <w:color w:val="auto"/>
              </w:rPr>
              <w:t>10.16*</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NIMIQ 5 Whole RF Channel Service Agreement, dated September 15, 2009, between Telesat Canada and EchoStar Corporation</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(incorporated by reference to Exhibit 10.30 to EchoStar Corporation’s Annual Report on Form 10-K for the year ended</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December 31, 2009, filed March 1, 2010, Commission File No. 001-33807).***</w:t>
            </w:r>
          </w:p>
        </w:tc>
      </w:tr>
      <w:tr>
        <w:trPr>
          <w:trHeight w:val="580"/>
        </w:trPr>
        <w:tc>
          <w:tcPr>
            <w:tcW w:w="1380" w:type="dxa"/>
            <w:vAlign w:val="bottom"/>
          </w:tcPr>
          <w:p>
            <w:pPr>
              <w:jc w:val="right"/>
              <w:ind w:right="351"/>
              <w:spacing w:after="0"/>
              <w:rPr>
                <w:sz w:val="20"/>
                <w:szCs w:val="20"/>
                <w:color w:val="auto"/>
              </w:rPr>
            </w:pPr>
            <w:r>
              <w:rPr>
                <w:rFonts w:ascii="Arial" w:cs="Arial" w:eastAsia="Arial" w:hAnsi="Arial"/>
                <w:sz w:val="18"/>
                <w:szCs w:val="18"/>
                <w:color w:val="auto"/>
              </w:rPr>
              <w:t>10.17*</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NIMIQ 5 Whole RF Channel Service Agreement, dated September 15, 2009, between EchoStar Corporation and DISH Network</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L.L.C. (incorporated by reference to Exhibit 10.31 to EchoStar Corporation’s Annual Report on Form 10-K for the year ended</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December 31, 2009, Commission File No. 001-33807).***</w:t>
            </w:r>
          </w:p>
        </w:tc>
      </w:tr>
      <w:tr>
        <w:trPr>
          <w:trHeight w:val="580"/>
        </w:trPr>
        <w:tc>
          <w:tcPr>
            <w:tcW w:w="1380" w:type="dxa"/>
            <w:vAlign w:val="bottom"/>
          </w:tcPr>
          <w:p>
            <w:pPr>
              <w:jc w:val="right"/>
              <w:ind w:right="351"/>
              <w:spacing w:after="0"/>
              <w:rPr>
                <w:sz w:val="20"/>
                <w:szCs w:val="20"/>
                <w:color w:val="auto"/>
              </w:rPr>
            </w:pPr>
            <w:r>
              <w:rPr>
                <w:rFonts w:ascii="Arial" w:cs="Arial" w:eastAsia="Arial" w:hAnsi="Arial"/>
                <w:sz w:val="18"/>
                <w:szCs w:val="18"/>
                <w:color w:val="auto"/>
              </w:rPr>
              <w:t>10.18*</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Form A Amendment to form of Satellite Capacity Agreement between EchoStar Corporation and DISH Network L.L.C.</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(incorporated by reference to Exhibit 10.34 to EchoStar Corporation’s Annual Report on Form 10-K for the year ended</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December 31, 2009, filed March 1, 2010, Commission File No. 001-33807).</w:t>
            </w:r>
          </w:p>
        </w:tc>
      </w:tr>
      <w:tr>
        <w:trPr>
          <w:trHeight w:val="580"/>
        </w:trPr>
        <w:tc>
          <w:tcPr>
            <w:tcW w:w="1380" w:type="dxa"/>
            <w:vAlign w:val="bottom"/>
          </w:tcPr>
          <w:p>
            <w:pPr>
              <w:jc w:val="right"/>
              <w:ind w:right="351"/>
              <w:spacing w:after="0"/>
              <w:rPr>
                <w:sz w:val="20"/>
                <w:szCs w:val="20"/>
                <w:color w:val="auto"/>
              </w:rPr>
            </w:pPr>
            <w:r>
              <w:rPr>
                <w:rFonts w:ascii="Arial" w:cs="Arial" w:eastAsia="Arial" w:hAnsi="Arial"/>
                <w:sz w:val="18"/>
                <w:szCs w:val="18"/>
                <w:color w:val="auto"/>
              </w:rPr>
              <w:t>10.19*</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Form B Amendment to Form of Satellite Capacity Agreement between EchoStar Satellite Services L.L.C. and DISH Network</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L.L.C. (incorporated by reference to Exhibit 10.35 to EchoStar Corporation’s Annual Report on Form 10-K for the year ended</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December 31, 2009, filed March 1, 2010, Commission File No. 001-33807).</w:t>
            </w:r>
          </w:p>
        </w:tc>
      </w:tr>
      <w:tr>
        <w:trPr>
          <w:trHeight w:val="580"/>
        </w:trPr>
        <w:tc>
          <w:tcPr>
            <w:tcW w:w="1380" w:type="dxa"/>
            <w:vAlign w:val="bottom"/>
          </w:tcPr>
          <w:p>
            <w:pPr>
              <w:jc w:val="right"/>
              <w:ind w:right="351"/>
              <w:spacing w:after="0"/>
              <w:rPr>
                <w:sz w:val="20"/>
                <w:szCs w:val="20"/>
                <w:color w:val="auto"/>
              </w:rPr>
            </w:pPr>
            <w:r>
              <w:rPr>
                <w:rFonts w:ascii="Arial" w:cs="Arial" w:eastAsia="Arial" w:hAnsi="Arial"/>
                <w:sz w:val="18"/>
                <w:szCs w:val="18"/>
                <w:color w:val="auto"/>
              </w:rPr>
              <w:t>10.20*</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EchoStar XVI Satellite Transponder Service Agreement between EchoStar Satellite Operating Corporation and DISH Network</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L.L.C., effective December 21, 2009 (incorporated by reference to Exhibit 10.36 to EchoStar Corporation’s Annual Report on</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Form 10-K for the year ended December 31, 2009, filed March 1, 2010, Commission File No. 001-33807).***</w:t>
            </w:r>
          </w:p>
        </w:tc>
      </w:tr>
      <w:tr>
        <w:trPr>
          <w:trHeight w:val="580"/>
        </w:trPr>
        <w:tc>
          <w:tcPr>
            <w:tcW w:w="1380" w:type="dxa"/>
            <w:vAlign w:val="bottom"/>
          </w:tcPr>
          <w:p>
            <w:pPr>
              <w:jc w:val="right"/>
              <w:ind w:right="351"/>
              <w:spacing w:after="0"/>
              <w:rPr>
                <w:sz w:val="20"/>
                <w:szCs w:val="20"/>
                <w:color w:val="auto"/>
              </w:rPr>
            </w:pPr>
            <w:r>
              <w:rPr>
                <w:rFonts w:ascii="Arial" w:cs="Arial" w:eastAsia="Arial" w:hAnsi="Arial"/>
                <w:sz w:val="18"/>
                <w:szCs w:val="18"/>
                <w:color w:val="auto"/>
              </w:rPr>
              <w:t>10.21*</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Form of Indemnification Agreement (incorporated by reference to Exhibit 10.1 to the Current Report on Form 8-K of Hughes</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Communications, Inc., filed June 22, 2006, (Commission File No. 000-51784)). **</w:t>
            </w:r>
          </w:p>
        </w:tc>
      </w:tr>
      <w:tr>
        <w:trPr>
          <w:trHeight w:val="580"/>
        </w:trPr>
        <w:tc>
          <w:tcPr>
            <w:tcW w:w="1380" w:type="dxa"/>
            <w:vAlign w:val="bottom"/>
          </w:tcPr>
          <w:p>
            <w:pPr>
              <w:jc w:val="right"/>
              <w:ind w:right="351"/>
              <w:spacing w:after="0"/>
              <w:rPr>
                <w:sz w:val="20"/>
                <w:szCs w:val="20"/>
                <w:color w:val="auto"/>
              </w:rPr>
            </w:pPr>
            <w:r>
              <w:rPr>
                <w:rFonts w:ascii="Arial" w:cs="Arial" w:eastAsia="Arial" w:hAnsi="Arial"/>
                <w:sz w:val="18"/>
                <w:szCs w:val="18"/>
                <w:color w:val="auto"/>
              </w:rPr>
              <w:t>10.22*</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Contract between Hughes Network Systems, LLC and Space Systems/Loral, Inc. for the Hughes Jupiter Satellite Program dated</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June 8, 2009 (incorporated by reference to Exhibit 10.1 to the Quarterly Report on Form 10-Q of Hughes Communications, Inc.,</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for the quarter ended June 30, 2009, filed August 7, 2009 (File No. 001-33040)).***</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460" w:type="dxa"/>
            <w:vAlign w:val="bottom"/>
          </w:tcPr>
          <w:p>
            <w:pPr>
              <w:ind w:left="4380"/>
              <w:spacing w:after="0"/>
              <w:rPr>
                <w:sz w:val="20"/>
                <w:szCs w:val="20"/>
                <w:color w:val="auto"/>
              </w:rPr>
            </w:pPr>
            <w:r>
              <w:rPr>
                <w:rFonts w:ascii="Arial" w:cs="Arial" w:eastAsia="Arial" w:hAnsi="Arial"/>
                <w:sz w:val="14"/>
                <w:szCs w:val="14"/>
                <w:b w:val="1"/>
                <w:bCs w:val="1"/>
                <w:color w:val="auto"/>
              </w:rPr>
              <w:t>Description</w:t>
            </w:r>
          </w:p>
        </w:tc>
      </w:tr>
      <w:tr>
        <w:trPr>
          <w:trHeight w:val="552"/>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10. 23*</w:t>
            </w:r>
          </w:p>
        </w:tc>
        <w:tc>
          <w:tcPr>
            <w:tcW w:w="580" w:type="dxa"/>
            <w:vAlign w:val="bottom"/>
          </w:tcPr>
          <w:p>
            <w:pPr>
              <w:spacing w:after="0"/>
              <w:rPr>
                <w:sz w:val="24"/>
                <w:szCs w:val="24"/>
                <w:color w:val="auto"/>
              </w:rPr>
            </w:pPr>
          </w:p>
        </w:tc>
        <w:tc>
          <w:tcPr>
            <w:tcW w:w="9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Launch Services Agreement by and between Hughes Network Systems, LLC and Arianespace dated April 30, 2010 (incorporated</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7"/>
              </w:rPr>
              <w:t>by reference to Exhibit 10.1 to the Quarterly Report on Form 10-Q of Hughes Communications, Inc., for the quarter ended</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June 30, 2010, filed August 4, 2010 (File No. 333-138009)).***</w:t>
            </w:r>
          </w:p>
        </w:tc>
      </w:tr>
      <w:tr>
        <w:trPr>
          <w:trHeight w:val="526"/>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10.24*</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9"/>
              </w:rPr>
              <w:t>Employment Agreement, dated as of April 23, 2005 by and between Hughes Network Systems, LLC and Pradman Kaul</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(incorporated by reference to Exhibit 10.3 to the Registration Statement on Form S-1 of Hughes Communications, Inc., filed</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December 5, 2005 (File No. 333-130136)).**</w:t>
            </w:r>
          </w:p>
        </w:tc>
      </w:tr>
      <w:tr>
        <w:trPr>
          <w:trHeight w:val="526"/>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10.25*</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Amendment to Employment Agreement, dated as of December 23, 2010 by and between Hughes Communications, Inc. and</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Pradman Kaul (incorporated by reference to Exhibit 10.29 to the Annual Report on Form 10-K of Hughes Communications, Inc.,</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filed March 7, 2011 (File No. 001-33040)).**</w:t>
            </w:r>
          </w:p>
        </w:tc>
      </w:tr>
      <w:tr>
        <w:trPr>
          <w:trHeight w:val="580"/>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10.26*</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6"/>
              </w:rPr>
              <w:t>First Amendment to EchoStar XVI Satellite Transponder Service Agreement, dated December 21, 2012 between EchoStar</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8"/>
              </w:rPr>
              <w:t>Satellite Operating Corporation and DISH Network L.L.C. (incorporated by reference to Exhibit 10.37 to Hughes Satellite</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7"/>
              </w:rPr>
              <w:t>Systems Corporation’s Annual Report on Form 10-K, for the year ended December 31, 2012, filed February 20, 2013, File</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No. 333-179121).***</w:t>
            </w:r>
          </w:p>
        </w:tc>
      </w:tr>
      <w:tr>
        <w:trPr>
          <w:trHeight w:val="580"/>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10.27*</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8"/>
              </w:rPr>
              <w:t>Transaction Agreement, dated as of February 20, 2014, by and among EchoStar Corporation, Hughes Satellite Systems</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Corporation, Alpha Company LLC, DISH Network, L.L.C., DISH Operating L.L.C. and EchoStar XI Holding L.L.C.</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6"/>
              </w:rPr>
              <w:t>(incorporated by reference to Exhibit 10.1 to EchoStar Corporation’s Quarterly Report on Form 10-Q, for the quarter ended</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March 31, 2014, filed May 9, 2014, Commission File No. 001-33807).***</w:t>
            </w:r>
          </w:p>
        </w:tc>
      </w:tr>
      <w:tr>
        <w:trPr>
          <w:trHeight w:val="580"/>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10.28*</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Investor Rights Agreement, dated as of February 20, 2014, by and among EchoStar Corporation, Hughes Satellite Systems</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8"/>
              </w:rPr>
              <w:t>Corporation, DISH Operating L.L.C. and DISH Network L.L.C. (incorporated by reference to Exhibit 10.2 to the Quarterly</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Report on Form 10-Q of EchoStar Corporation, filed May 9, 2014, Commission File No. 001-33807).***</w:t>
            </w:r>
          </w:p>
        </w:tc>
      </w:tr>
      <w:tr>
        <w:trPr>
          <w:trHeight w:val="580"/>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10.29*</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Form of Restricted Stock Unit Agreement for 2008 Stock Incentive Plan — Executive or Director (incorporated by reference to</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9"/>
              </w:rPr>
              <w:t>Exhibit 10.1 to EchoStar Corporation’s Quarterly Report on Form 10-Q for the quarter ended September 30, 2015, filed</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November 6, 2015, Commission File No. 001-33807).**</w:t>
            </w:r>
          </w:p>
        </w:tc>
      </w:tr>
      <w:tr>
        <w:trPr>
          <w:trHeight w:val="580"/>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10.30*</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Form of Stock Option Agreement for 2008 Stock Incentive Plan (1999) (incorporated by reference to Exhibit 10.31 to Hughes</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Satellite System Corporation’s Annual Report on Form 10-K for the year ended December 31, 2015, filed February 24, 2016,</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Commission File No. 333-179121). **</w:t>
            </w:r>
          </w:p>
        </w:tc>
      </w:tr>
      <w:tr>
        <w:trPr>
          <w:trHeight w:val="580"/>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10.31*</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Form of Stock Option Agreement for 2008 Stock Incentive Plan — Employee (2008) (incorporated by reference to Exhibit 10.32</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to Hughes Satellite System Corporation’s Annual Report on Form 10-K for the year ended December 31, 2015, filed February 24,</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2016, Commission File No. 333-179121). **</w:t>
            </w:r>
          </w:p>
        </w:tc>
      </w:tr>
      <w:tr>
        <w:trPr>
          <w:trHeight w:val="580"/>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10.32*</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Form of Stock Option Agreement for 2008 Stock Incentive Plan — Executive (2008) (incorporated by reference to Exhibit 10.33</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to Hughes Satellite System Corporation’s Annual Report on Form 10-K for the year ended December 31, 2015, filed February 24,</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2016, Commission File No. 333-179121). **</w:t>
            </w:r>
          </w:p>
        </w:tc>
      </w:tr>
      <w:tr>
        <w:trPr>
          <w:trHeight w:val="580"/>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10.33*</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Form of Stock Option Agreement for 2008 Stock Incentive Plan — Employee (2014) (incorporated by reference to Exhibit 10.34</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to Hughes Satellite System Corporation’s Annual Report on Form 10-K for the year ended December 31, 2015, filed February 24,</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2016, Commission File No. 333-179121). **</w:t>
            </w:r>
          </w:p>
        </w:tc>
      </w:tr>
      <w:tr>
        <w:trPr>
          <w:trHeight w:val="580"/>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10.34*</w:t>
            </w:r>
          </w:p>
        </w:tc>
        <w:tc>
          <w:tcPr>
            <w:tcW w:w="58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Form of Stock Option Agreement for 2008 Stock Incentive Plan — Executive (2014) (incorporated by reference to Exhibit 10.35</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to Hughes Satellite System Corporation’s Annual Report on Form 10-K for the year ended December 31, 2015, filed February 24,</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2016, Commission File No. 333-179121). **</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00" w:type="dxa"/>
            <w:vAlign w:val="bottom"/>
          </w:tcPr>
          <w:p>
            <w:pPr>
              <w:spacing w:after="0"/>
              <w:rPr>
                <w:sz w:val="16"/>
                <w:szCs w:val="16"/>
                <w:color w:val="auto"/>
              </w:rPr>
            </w:pPr>
          </w:p>
        </w:tc>
        <w:tc>
          <w:tcPr>
            <w:tcW w:w="8560" w:type="dxa"/>
            <w:vAlign w:val="bottom"/>
          </w:tcPr>
          <w:p>
            <w:pPr>
              <w:ind w:left="348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10.35*</w:t>
            </w:r>
          </w:p>
        </w:tc>
        <w:tc>
          <w:tcPr>
            <w:tcW w:w="580" w:type="dxa"/>
            <w:vAlign w:val="bottom"/>
          </w:tcPr>
          <w:p>
            <w:pPr>
              <w:spacing w:after="0"/>
              <w:rPr>
                <w:sz w:val="19"/>
                <w:szCs w:val="19"/>
                <w:color w:val="auto"/>
              </w:rPr>
            </w:pPr>
          </w:p>
        </w:tc>
        <w:tc>
          <w:tcPr>
            <w:tcW w:w="94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8"/>
              </w:rPr>
              <w:t>Form of Restricted Stock Unit Agreement for 2008 Stock Incentive Plan — Executive or Director (2011) (incorporated by</w:t>
            </w:r>
          </w:p>
        </w:tc>
      </w:tr>
      <w:tr>
        <w:trPr>
          <w:trHeight w:val="216"/>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8"/>
                <w:szCs w:val="18"/>
                <w:color w:val="auto"/>
                <w:w w:val="93"/>
              </w:rPr>
              <w:t>reference to Exhibit 10.36 to Hughes Satellite System Corporation’s Annual Report on Form 10-K for the year ended December</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gridSpan w:val="2"/>
          </w:tcPr>
          <w:p>
            <w:pPr>
              <w:ind w:left="20"/>
              <w:spacing w:after="0"/>
              <w:rPr>
                <w:sz w:val="20"/>
                <w:szCs w:val="20"/>
                <w:color w:val="auto"/>
              </w:rPr>
            </w:pPr>
            <w:r>
              <w:rPr>
                <w:rFonts w:ascii="Arial" w:cs="Arial" w:eastAsia="Arial" w:hAnsi="Arial"/>
                <w:sz w:val="18"/>
                <w:szCs w:val="18"/>
                <w:color w:val="auto"/>
              </w:rPr>
              <w:t>31, 2015, filed February 24, 2016, Commission File No. 333-179121).**</w:t>
            </w:r>
          </w:p>
        </w:tc>
      </w:tr>
      <w:tr>
        <w:trPr>
          <w:trHeight w:val="594"/>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31.1 (H)</w:t>
            </w: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856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w:t>
            </w:r>
          </w:p>
        </w:tc>
      </w:tr>
      <w:tr>
        <w:trPr>
          <w:trHeight w:val="594"/>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31.2 (H)</w:t>
            </w: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85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w:t>
            </w:r>
          </w:p>
        </w:tc>
      </w:tr>
      <w:tr>
        <w:trPr>
          <w:trHeight w:val="594"/>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32.1 (H)</w:t>
            </w: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8560" w:type="dxa"/>
            <w:vAlign w:val="bottom"/>
          </w:tcPr>
          <w:p>
            <w:pPr>
              <w:ind w:left="20"/>
              <w:spacing w:after="0"/>
              <w:rPr>
                <w:sz w:val="20"/>
                <w:szCs w:val="20"/>
                <w:color w:val="auto"/>
              </w:rPr>
            </w:pPr>
            <w:r>
              <w:rPr>
                <w:rFonts w:ascii="Arial" w:cs="Arial" w:eastAsia="Arial" w:hAnsi="Arial"/>
                <w:sz w:val="18"/>
                <w:szCs w:val="18"/>
                <w:color w:val="auto"/>
              </w:rPr>
              <w:t>Certifications of Chief Executive Officer and Chief Financial Officer.</w:t>
            </w:r>
          </w:p>
        </w:tc>
      </w:tr>
      <w:tr>
        <w:trPr>
          <w:trHeight w:val="594"/>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99.1 (H)</w:t>
            </w:r>
          </w:p>
        </w:tc>
        <w:tc>
          <w:tcPr>
            <w:tcW w:w="9460" w:type="dxa"/>
            <w:vAlign w:val="bottom"/>
            <w:gridSpan w:val="2"/>
          </w:tcPr>
          <w:p>
            <w:pPr>
              <w:ind w:left="20"/>
              <w:spacing w:after="0"/>
              <w:rPr>
                <w:sz w:val="20"/>
                <w:szCs w:val="20"/>
                <w:color w:val="auto"/>
              </w:rPr>
            </w:pPr>
            <w:r>
              <w:rPr>
                <w:rFonts w:ascii="Arial" w:cs="Arial" w:eastAsia="Arial" w:hAnsi="Arial"/>
                <w:sz w:val="18"/>
                <w:szCs w:val="18"/>
                <w:color w:val="auto"/>
              </w:rPr>
              <w:t>Unaudited Condensed Attributed Financial Information and Notes for Hughes Retail Group.</w:t>
            </w:r>
          </w:p>
        </w:tc>
      </w:tr>
      <w:tr>
        <w:trPr>
          <w:trHeight w:val="594"/>
        </w:trPr>
        <w:tc>
          <w:tcPr>
            <w:tcW w:w="196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101.SCH</w:t>
            </w:r>
          </w:p>
        </w:tc>
        <w:tc>
          <w:tcPr>
            <w:tcW w:w="946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w:t>
            </w:r>
          </w:p>
        </w:tc>
      </w:tr>
      <w:tr>
        <w:trPr>
          <w:trHeight w:val="594"/>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w w:val="97"/>
              </w:rPr>
              <w:t>101.CAL</w:t>
            </w:r>
          </w:p>
        </w:tc>
        <w:tc>
          <w:tcPr>
            <w:tcW w:w="946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w:t>
            </w:r>
          </w:p>
        </w:tc>
      </w:tr>
      <w:tr>
        <w:trPr>
          <w:trHeight w:val="594"/>
        </w:trPr>
        <w:tc>
          <w:tcPr>
            <w:tcW w:w="196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101.DEF</w:t>
            </w:r>
          </w:p>
        </w:tc>
        <w:tc>
          <w:tcPr>
            <w:tcW w:w="946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w:t>
            </w:r>
          </w:p>
        </w:tc>
      </w:tr>
      <w:tr>
        <w:trPr>
          <w:trHeight w:val="594"/>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w w:val="98"/>
              </w:rPr>
              <w:t>101.LAB</w:t>
            </w:r>
          </w:p>
        </w:tc>
        <w:tc>
          <w:tcPr>
            <w:tcW w:w="946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 Linkbase.</w:t>
            </w:r>
          </w:p>
        </w:tc>
      </w:tr>
      <w:tr>
        <w:trPr>
          <w:trHeight w:val="594"/>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101.PRE</w:t>
            </w:r>
          </w:p>
        </w:tc>
        <w:tc>
          <w:tcPr>
            <w:tcW w:w="946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70"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 w:lineRule="exact"/>
        <w:rPr>
          <w:sz w:val="20"/>
          <w:szCs w:val="20"/>
          <w:color w:val="auto"/>
        </w:rPr>
      </w:pPr>
    </w:p>
    <w:p>
      <w:pPr>
        <w:ind w:left="420" w:hanging="412"/>
        <w:spacing w:after="0"/>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line="1" w:lineRule="exact"/>
        <w:rPr>
          <w:sz w:val="20"/>
          <w:szCs w:val="20"/>
          <w:color w:val="auto"/>
        </w:rPr>
      </w:pPr>
    </w:p>
    <w:p>
      <w:pPr>
        <w:ind w:left="420" w:hanging="412"/>
        <w:spacing w:after="0"/>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Certain portions of the exhibit have been omitted and separately filed with the Securities and Exchange Commission with a request for confidential treatment.</w:t>
      </w:r>
    </w:p>
    <w:p>
      <w:pPr>
        <w:spacing w:after="0" w:line="1" w:lineRule="exact"/>
        <w:rPr>
          <w:rFonts w:ascii="Arial" w:cs="Arial" w:eastAsia="Arial" w:hAnsi="Arial"/>
          <w:sz w:val="14"/>
          <w:szCs w:val="14"/>
          <w:color w:val="auto"/>
        </w:rPr>
      </w:pPr>
    </w:p>
    <w:p>
      <w:pPr>
        <w:ind w:left="420" w:right="440" w:hanging="412"/>
        <w:spacing w:after="0" w:line="255" w:lineRule="auto"/>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Schedules and exhibits have been omitted pursuant to Item 601(b)(2) of Regulation S-K. We agree to furnish supplementally to the Securities and Exchange Commission a copy of any omitted schedule or exhibit upon request, subject to our right to request confidential treatment of any requested schedule or exhibit.</w:t>
      </w:r>
    </w:p>
    <w:p>
      <w:pPr>
        <w:spacing w:after="0" w:line="13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HUGHES SATELLITE SYSTEMS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8"/>
          <w:szCs w:val="18"/>
          <w:i w:val="1"/>
          <w:iCs w:val="1"/>
          <w:color w:val="auto"/>
        </w:rPr>
        <w:t>David J. Rayner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David J. Rayner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Executive Vice President,</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Operating Officer, and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Treasurer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24, 2017</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6"/>
                <w:szCs w:val="16"/>
                <w:color w:val="auto"/>
              </w:rPr>
            </w:pPr>
          </w:p>
        </w:tc>
        <w:tc>
          <w:tcPr>
            <w:tcW w:w="6600" w:type="dxa"/>
            <w:vAlign w:val="bottom"/>
            <w:tcBorders>
              <w:bottom w:val="single" w:sz="8" w:color="auto"/>
            </w:tcBorders>
          </w:tcPr>
          <w:p>
            <w:pPr>
              <w:ind w:left="316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8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513"/>
        </w:trPr>
        <w:tc>
          <w:tcPr>
            <w:tcW w:w="264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c>
          <w:tcPr>
            <w:tcW w:w="24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President and 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24, 2017</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72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Michael T. Dugan</w:t>
            </w:r>
          </w:p>
        </w:tc>
        <w:tc>
          <w:tcPr>
            <w:tcW w:w="240" w:type="dxa"/>
            <w:vAlign w:val="bottom"/>
          </w:tcPr>
          <w:p>
            <w:pPr>
              <w:spacing w:after="0"/>
              <w:rPr>
                <w:sz w:val="20"/>
                <w:szCs w:val="20"/>
                <w:color w:val="auto"/>
              </w:rPr>
            </w:pPr>
          </w:p>
        </w:tc>
        <w:tc>
          <w:tcPr>
            <w:tcW w:w="672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64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David J. Rayner</w:t>
            </w:r>
          </w:p>
        </w:tc>
        <w:tc>
          <w:tcPr>
            <w:tcW w:w="24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Chief Financial Officer,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24, 2017</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720" w:type="dxa"/>
            <w:vAlign w:val="bottom"/>
            <w:gridSpan w:val="2"/>
            <w:vMerge w:val="restart"/>
          </w:tcPr>
          <w:p>
            <w:pPr>
              <w:ind w:left="20"/>
              <w:spacing w:after="0"/>
              <w:rPr>
                <w:sz w:val="20"/>
                <w:szCs w:val="20"/>
                <w:color w:val="auto"/>
              </w:rPr>
            </w:pPr>
            <w:r>
              <w:rPr>
                <w:rFonts w:ascii="Arial" w:cs="Arial" w:eastAsia="Arial" w:hAnsi="Arial"/>
                <w:sz w:val="18"/>
                <w:szCs w:val="18"/>
                <w:color w:val="auto"/>
              </w:rPr>
              <w:t>Chief Operating Officer and Treasurer</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David J. Rayner</w:t>
            </w:r>
          </w:p>
        </w:tc>
        <w:tc>
          <w:tcPr>
            <w:tcW w:w="240" w:type="dxa"/>
            <w:vAlign w:val="bottom"/>
          </w:tcPr>
          <w:p>
            <w:pPr>
              <w:spacing w:after="0"/>
              <w:rPr>
                <w:sz w:val="20"/>
                <w:szCs w:val="20"/>
                <w:color w:val="auto"/>
              </w:rPr>
            </w:pPr>
          </w:p>
        </w:tc>
        <w:tc>
          <w:tcPr>
            <w:tcW w:w="672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64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Charles W. Ergen</w:t>
            </w:r>
          </w:p>
        </w:tc>
        <w:tc>
          <w:tcPr>
            <w:tcW w:w="24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Chairman</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24, 2017</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Charles W. Ergen</w:t>
            </w:r>
          </w:p>
        </w:tc>
        <w:tc>
          <w:tcPr>
            <w:tcW w:w="24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64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Dean A. Manson</w:t>
            </w:r>
          </w:p>
        </w:tc>
        <w:tc>
          <w:tcPr>
            <w:tcW w:w="24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General Counsel, Secretary and 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24, 2017</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Dean A. Manson</w:t>
            </w:r>
          </w:p>
        </w:tc>
        <w:tc>
          <w:tcPr>
            <w:tcW w:w="24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640" w:type="dxa"/>
            <w:vAlign w:val="bottom"/>
          </w:tcPr>
          <w:p>
            <w:pPr>
              <w:spacing w:after="0"/>
              <w:rPr>
                <w:sz w:val="24"/>
                <w:szCs w:val="24"/>
                <w:color w:val="auto"/>
              </w:rPr>
            </w:pPr>
          </w:p>
        </w:tc>
        <w:tc>
          <w:tcPr>
            <w:tcW w:w="6840" w:type="dxa"/>
            <w:vAlign w:val="bottom"/>
            <w:gridSpan w:val="2"/>
          </w:tcPr>
          <w:p>
            <w:pPr>
              <w:jc w:val="right"/>
              <w:ind w:right="359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2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6"/>
        </w:trPr>
        <w:tc>
          <w:tcPr>
            <w:tcW w:w="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7340" w:type="dxa"/>
            <w:vAlign w:val="bottom"/>
            <w:gridSpan w:val="6"/>
          </w:tcPr>
          <w:p>
            <w:pPr>
              <w:jc w:val="center"/>
              <w:ind w:right="2260"/>
              <w:spacing w:after="0"/>
              <w:rPr>
                <w:sz w:val="20"/>
                <w:szCs w:val="20"/>
                <w:color w:val="auto"/>
              </w:rPr>
            </w:pPr>
            <w:r>
              <w:rPr>
                <w:rFonts w:ascii="Arial" w:cs="Arial" w:eastAsia="Arial" w:hAnsi="Arial"/>
                <w:sz w:val="18"/>
                <w:szCs w:val="18"/>
                <w:b w:val="1"/>
                <w:bCs w:val="1"/>
                <w:color w:val="auto"/>
              </w:rPr>
              <w:t>INDEX TO CONSOLIDATED FINANCIAL STATEMENTS</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0520" w:type="dxa"/>
            <w:vAlign w:val="bottom"/>
            <w:gridSpan w:val="9"/>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31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Index to Consolidated Financial Statements</w:t>
              </w:r>
            </w:hyperlink>
          </w:p>
        </w:tc>
        <w:tc>
          <w:tcPr>
            <w:tcW w:w="7340" w:type="dxa"/>
            <w:vAlign w:val="bottom"/>
            <w:gridSpan w:val="6"/>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F-1</w:t>
              </w:r>
            </w:hyperlink>
          </w:p>
        </w:tc>
        <w:tc>
          <w:tcPr>
            <w:tcW w:w="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42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Report of Independent Registered Public Accounting Firm</w:t>
              </w:r>
            </w:hyperlink>
          </w:p>
        </w:tc>
        <w:tc>
          <w:tcPr>
            <w:tcW w:w="6260" w:type="dxa"/>
            <w:vAlign w:val="bottom"/>
            <w:gridSpan w:val="5"/>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F-2</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0480" w:type="dxa"/>
            <w:vAlign w:val="bottom"/>
            <w:gridSpan w:val="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Balance Sheets as of December 31, 2016 and 2015</w:t>
              </w:r>
            </w:hyperlink>
          </w:p>
        </w:tc>
        <w:tc>
          <w:tcPr>
            <w:tcW w:w="900" w:type="dxa"/>
            <w:vAlign w:val="bottom"/>
            <w:gridSpan w:val="3"/>
          </w:tcPr>
          <w:p>
            <w:pPr>
              <w:ind w:left="620"/>
              <w:spacing w:after="0"/>
              <w:rPr>
                <w:rFonts w:ascii="Arial" w:cs="Arial" w:eastAsia="Arial" w:hAnsi="Arial"/>
                <w:sz w:val="18"/>
                <w:szCs w:val="18"/>
                <w:color w:val="0000EE"/>
                <w:w w:val="96"/>
              </w:rPr>
            </w:pPr>
            <w:hyperlink w:anchor="page49">
              <w:r>
                <w:rPr>
                  <w:rFonts w:ascii="Arial" w:cs="Arial" w:eastAsia="Arial" w:hAnsi="Arial"/>
                  <w:sz w:val="18"/>
                  <w:szCs w:val="18"/>
                  <w:color w:val="0000EE"/>
                  <w:w w:val="96"/>
                </w:rPr>
                <w:t>F-3</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Consolidated Statements of Operations and Comprehensive Income (Loss) for the years ended December 31, 2016, 2015 and 2014</w:t>
              </w:r>
            </w:hyperlink>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F-4</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84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Consolidated Statements of Changes in Shareholders’ Equity for the years ended December 31, 2016, 2015 and 2014</w:t>
              </w:r>
            </w:hyperlink>
          </w:p>
        </w:tc>
        <w:tc>
          <w:tcPr>
            <w:tcW w:w="2040" w:type="dxa"/>
            <w:vAlign w:val="bottom"/>
            <w:gridSpan w:val="2"/>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F-5</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0480" w:type="dxa"/>
            <w:vAlign w:val="bottom"/>
            <w:gridSpan w:val="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Statements of Cash Flows for the years ended December 31, 2016, 2015 and 2014</w:t>
              </w:r>
            </w:hyperlink>
          </w:p>
        </w:tc>
        <w:tc>
          <w:tcPr>
            <w:tcW w:w="900" w:type="dxa"/>
            <w:vAlign w:val="bottom"/>
            <w:gridSpan w:val="3"/>
          </w:tcPr>
          <w:p>
            <w:pPr>
              <w:ind w:left="620"/>
              <w:spacing w:after="0"/>
              <w:rPr>
                <w:rFonts w:ascii="Arial" w:cs="Arial" w:eastAsia="Arial" w:hAnsi="Arial"/>
                <w:sz w:val="18"/>
                <w:szCs w:val="18"/>
                <w:color w:val="0000EE"/>
                <w:w w:val="96"/>
              </w:rPr>
            </w:pPr>
            <w:hyperlink w:anchor="page52">
              <w:r>
                <w:rPr>
                  <w:rFonts w:ascii="Arial" w:cs="Arial" w:eastAsia="Arial" w:hAnsi="Arial"/>
                  <w:sz w:val="18"/>
                  <w:szCs w:val="18"/>
                  <w:color w:val="0000EE"/>
                  <w:w w:val="96"/>
                </w:rPr>
                <w:t>F-6</w:t>
              </w:r>
            </w:hyperlink>
          </w:p>
        </w:tc>
      </w:tr>
      <w:tr>
        <w:trPr>
          <w:trHeight w:val="250"/>
        </w:trPr>
        <w:tc>
          <w:tcPr>
            <w:tcW w:w="40" w:type="dxa"/>
            <w:vAlign w:val="bottom"/>
          </w:tcPr>
          <w:p>
            <w:pPr>
              <w:spacing w:after="0"/>
              <w:rPr>
                <w:sz w:val="21"/>
                <w:szCs w:val="21"/>
                <w:color w:val="auto"/>
              </w:rPr>
            </w:pPr>
          </w:p>
        </w:tc>
        <w:tc>
          <w:tcPr>
            <w:tcW w:w="6900" w:type="dxa"/>
            <w:vAlign w:val="bottom"/>
            <w:tcBorders>
              <w:top w:val="single" w:sz="8" w:color="0000EE"/>
            </w:tcBorders>
            <w:gridSpan w:val="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Notes to Consolidated Financial Statements</w:t>
              </w:r>
            </w:hyperlink>
          </w:p>
        </w:tc>
        <w:tc>
          <w:tcPr>
            <w:tcW w:w="3580" w:type="dxa"/>
            <w:vAlign w:val="bottom"/>
            <w:gridSpan w:val="3"/>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Borders>
              <w:top w:val="single" w:sz="8" w:color="0000EE"/>
            </w:tcBorders>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F-7</w:t>
              </w:r>
            </w:hyperlink>
          </w:p>
        </w:tc>
        <w:tc>
          <w:tcPr>
            <w:tcW w:w="20" w:type="dxa"/>
            <w:vAlign w:val="bottom"/>
          </w:tcPr>
          <w:p>
            <w:pPr>
              <w:spacing w:after="0"/>
              <w:rPr>
                <w:sz w:val="21"/>
                <w:szCs w:val="21"/>
                <w:color w:val="auto"/>
              </w:rPr>
            </w:pPr>
          </w:p>
        </w:tc>
      </w:tr>
      <w:tr>
        <w:trPr>
          <w:trHeight w:val="723"/>
        </w:trPr>
        <w:tc>
          <w:tcPr>
            <w:tcW w:w="4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40" w:type="dxa"/>
            <w:vAlign w:val="bottom"/>
            <w:gridSpan w:val="4"/>
          </w:tcPr>
          <w:p>
            <w:pPr>
              <w:jc w:val="center"/>
              <w:ind w:right="3780"/>
              <w:spacing w:after="0"/>
              <w:rPr>
                <w:sz w:val="20"/>
                <w:szCs w:val="20"/>
                <w:color w:val="auto"/>
              </w:rPr>
            </w:pPr>
            <w:r>
              <w:rPr>
                <w:rFonts w:ascii="Arial" w:cs="Arial" w:eastAsia="Arial" w:hAnsi="Arial"/>
                <w:sz w:val="18"/>
                <w:szCs w:val="18"/>
                <w:color w:val="auto"/>
                <w:w w:val="96"/>
              </w:rPr>
              <w:t>F-1</w:t>
            </w:r>
          </w:p>
        </w:tc>
        <w:tc>
          <w:tcPr>
            <w:tcW w:w="6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Hughes Satellite Systems Corporation:</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Hughes Satellite Systems Corporation and subsidiaries as of December 31, 2016 and 2015, and the related consolidated statements of operations and comprehensive income (loss), changes in shareholders’ equity, and cash flows for each of the years in the three-year period ended December 31, 2016. In connection with our audits of the consolidated financial statements, we also have audited the financial statement schedule II listed in Item 15. These consolidated financial statements and the financial statement schedule are the responsibility of the Company’s management. Our responsibility is to express an opinion on these consolidated financial statements and the financial statement schedule based on our audits.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Hughes Satellite Systems Corporation and subsidiaries as of December 31, 2016 and 2015, and the results of their operations and their cash flows for each of the years in the three-year period ended December 31, 2016, in conformity with U.S. generally accepted accounting principles. Also in our opinion, the related financial statement schedule, when considered in relation to the basic consolidated financial statements taken as a whole, present fairly, in all material respects, the information set forth therein.</w:t>
      </w:r>
    </w:p>
    <w:p>
      <w:pPr>
        <w:spacing w:after="0" w:line="200" w:lineRule="exact"/>
        <w:rPr>
          <w:sz w:val="20"/>
          <w:szCs w:val="20"/>
          <w:color w:val="auto"/>
        </w:rPr>
      </w:pPr>
    </w:p>
    <w:p>
      <w:pPr>
        <w:spacing w:after="0" w:line="36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(In thousands, except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783"/>
              <w:spacing w:after="0"/>
              <w:rPr>
                <w:sz w:val="20"/>
                <w:szCs w:val="20"/>
                <w:color w:val="auto"/>
              </w:rPr>
            </w:pPr>
            <w:r>
              <w:rPr>
                <w:rFonts w:ascii="Arial" w:cs="Arial" w:eastAsia="Arial" w:hAnsi="Arial"/>
                <w:sz w:val="15"/>
                <w:szCs w:val="15"/>
                <w:b w:val="1"/>
                <w:bCs w:val="1"/>
                <w:color w:val="auto"/>
              </w:rPr>
              <w:t>As of December 31,</w:t>
            </w:r>
          </w:p>
        </w:tc>
        <w:tc>
          <w:tcPr>
            <w:tcW w:w="0" w:type="dxa"/>
            <w:vAlign w:val="bottom"/>
          </w:tcPr>
          <w:p>
            <w:pPr>
              <w:spacing w:after="0"/>
              <w:rPr>
                <w:sz w:val="1"/>
                <w:szCs w:val="1"/>
                <w:color w:val="auto"/>
              </w:rPr>
            </w:pPr>
          </w:p>
        </w:tc>
      </w:tr>
      <w:tr>
        <w:trPr>
          <w:trHeight w:val="264"/>
        </w:trPr>
        <w:tc>
          <w:tcPr>
            <w:tcW w:w="8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2015</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3860"/>
              <w:spacing w:after="0"/>
              <w:rPr>
                <w:sz w:val="20"/>
                <w:szCs w:val="20"/>
                <w:color w:val="auto"/>
              </w:rPr>
            </w:pPr>
            <w:r>
              <w:rPr>
                <w:rFonts w:ascii="Arial" w:cs="Arial" w:eastAsia="Arial" w:hAnsi="Arial"/>
                <w:sz w:val="15"/>
                <w:szCs w:val="15"/>
                <w:b w:val="1"/>
                <w:bCs w:val="1"/>
                <w:color w:val="auto"/>
              </w:rPr>
              <w:t>Assets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82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40"/>
              <w:spacing w:after="0"/>
              <w:rPr>
                <w:sz w:val="20"/>
                <w:szCs w:val="20"/>
                <w:color w:val="auto"/>
              </w:rPr>
            </w:pPr>
            <w:r>
              <w:rPr>
                <w:rFonts w:ascii="Arial" w:cs="Arial" w:eastAsia="Arial" w:hAnsi="Arial"/>
                <w:sz w:val="15"/>
                <w:szCs w:val="15"/>
                <w:b w:val="1"/>
                <w:bCs w:val="1"/>
                <w:color w:val="auto"/>
              </w:rPr>
              <w:t>Current Assets: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and cash equivalents</w:t>
            </w:r>
          </w:p>
        </w:tc>
        <w:tc>
          <w:tcPr>
            <w:tcW w:w="340" w:type="dxa"/>
            <w:vAlign w:val="bottom"/>
            <w:vMerge w:val="restart"/>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2,070,964</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382,990</w:t>
            </w:r>
          </w:p>
        </w:tc>
        <w:tc>
          <w:tcPr>
            <w:tcW w:w="0" w:type="dxa"/>
            <w:vAlign w:val="bottom"/>
          </w:tcPr>
          <w:p>
            <w:pPr>
              <w:spacing w:after="0"/>
              <w:rPr>
                <w:sz w:val="1"/>
                <w:szCs w:val="1"/>
                <w:color w:val="auto"/>
              </w:rPr>
            </w:pPr>
          </w:p>
        </w:tc>
      </w:tr>
      <w:tr>
        <w:trPr>
          <w:trHeight w:val="62"/>
        </w:trPr>
        <w:tc>
          <w:tcPr>
            <w:tcW w:w="826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180"/>
              <w:spacing w:after="0"/>
              <w:rPr>
                <w:sz w:val="20"/>
                <w:szCs w:val="20"/>
                <w:color w:val="auto"/>
              </w:rPr>
            </w:pPr>
            <w:r>
              <w:rPr>
                <w:rFonts w:ascii="Arial" w:cs="Arial" w:eastAsia="Arial" w:hAnsi="Arial"/>
                <w:sz w:val="15"/>
                <w:szCs w:val="15"/>
                <w:color w:val="auto"/>
              </w:rPr>
              <w:t>Marketable investment securities, at fair value</w:t>
            </w:r>
          </w:p>
        </w:tc>
        <w:tc>
          <w:tcPr>
            <w:tcW w:w="340" w:type="dxa"/>
            <w:vAlign w:val="bottom"/>
          </w:tcPr>
          <w:p>
            <w:pPr>
              <w:spacing w:after="0"/>
              <w:rPr>
                <w:sz w:val="18"/>
                <w:szCs w:val="18"/>
                <w:color w:val="auto"/>
              </w:rPr>
            </w:pP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187,923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restart"/>
          </w:tcPr>
          <w:p>
            <w:pPr>
              <w:jc w:val="right"/>
              <w:ind w:right="23"/>
              <w:spacing w:after="0"/>
              <w:rPr>
                <w:sz w:val="20"/>
                <w:szCs w:val="20"/>
                <w:color w:val="auto"/>
              </w:rPr>
            </w:pPr>
            <w:r>
              <w:rPr>
                <w:rFonts w:ascii="Arial" w:cs="Arial" w:eastAsia="Arial" w:hAnsi="Arial"/>
                <w:sz w:val="15"/>
                <w:szCs w:val="15"/>
                <w:color w:val="auto"/>
              </w:rPr>
              <w:t>253,343</w:t>
            </w:r>
          </w:p>
        </w:tc>
        <w:tc>
          <w:tcPr>
            <w:tcW w:w="0" w:type="dxa"/>
            <w:vAlign w:val="bottom"/>
          </w:tcPr>
          <w:p>
            <w:pPr>
              <w:spacing w:after="0"/>
              <w:rPr>
                <w:sz w:val="1"/>
                <w:szCs w:val="1"/>
                <w:color w:val="auto"/>
              </w:rPr>
            </w:pPr>
          </w:p>
        </w:tc>
      </w:tr>
      <w:tr>
        <w:trPr>
          <w:trHeight w:val="58"/>
        </w:trPr>
        <w:tc>
          <w:tcPr>
            <w:tcW w:w="8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Trade accounts receivable, net of allowance for doubtful accounts of $12,752 and $11,447, respectively</w:t>
            </w: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182,512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139,510</w:t>
            </w:r>
          </w:p>
        </w:tc>
        <w:tc>
          <w:tcPr>
            <w:tcW w:w="0" w:type="dxa"/>
            <w:vAlign w:val="bottom"/>
          </w:tcPr>
          <w:p>
            <w:pPr>
              <w:spacing w:after="0"/>
              <w:rPr>
                <w:sz w:val="1"/>
                <w:szCs w:val="1"/>
                <w:color w:val="auto"/>
              </w:rPr>
            </w:pPr>
          </w:p>
        </w:tc>
      </w:tr>
      <w:tr>
        <w:trPr>
          <w:trHeight w:val="62"/>
        </w:trPr>
        <w:tc>
          <w:tcPr>
            <w:tcW w:w="82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180"/>
              <w:spacing w:after="0"/>
              <w:rPr>
                <w:sz w:val="20"/>
                <w:szCs w:val="20"/>
                <w:color w:val="auto"/>
              </w:rPr>
            </w:pPr>
            <w:r>
              <w:rPr>
                <w:rFonts w:ascii="Arial" w:cs="Arial" w:eastAsia="Arial" w:hAnsi="Arial"/>
                <w:sz w:val="15"/>
                <w:szCs w:val="15"/>
                <w:color w:val="auto"/>
              </w:rPr>
              <w:t>Trade accounts receivable - DISH Network, net of allowance for doubtful accounts of zero</w:t>
            </w:r>
          </w:p>
        </w:tc>
        <w:tc>
          <w:tcPr>
            <w:tcW w:w="340" w:type="dxa"/>
            <w:vAlign w:val="bottom"/>
          </w:tcPr>
          <w:p>
            <w:pPr>
              <w:spacing w:after="0"/>
              <w:rPr>
                <w:sz w:val="18"/>
                <w:szCs w:val="18"/>
                <w:color w:val="auto"/>
              </w:rPr>
            </w:pP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19,323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restart"/>
          </w:tcPr>
          <w:p>
            <w:pPr>
              <w:jc w:val="right"/>
              <w:ind w:right="23"/>
              <w:spacing w:after="0"/>
              <w:rPr>
                <w:sz w:val="20"/>
                <w:szCs w:val="20"/>
                <w:color w:val="auto"/>
              </w:rPr>
            </w:pPr>
            <w:r>
              <w:rPr>
                <w:rFonts w:ascii="Arial" w:cs="Arial" w:eastAsia="Arial" w:hAnsi="Arial"/>
                <w:sz w:val="15"/>
                <w:szCs w:val="15"/>
                <w:color w:val="auto"/>
              </w:rPr>
              <w:t>21,258</w:t>
            </w:r>
          </w:p>
        </w:tc>
        <w:tc>
          <w:tcPr>
            <w:tcW w:w="0" w:type="dxa"/>
            <w:vAlign w:val="bottom"/>
          </w:tcPr>
          <w:p>
            <w:pPr>
              <w:spacing w:after="0"/>
              <w:rPr>
                <w:sz w:val="1"/>
                <w:szCs w:val="1"/>
                <w:color w:val="auto"/>
              </w:rPr>
            </w:pPr>
          </w:p>
        </w:tc>
      </w:tr>
      <w:tr>
        <w:trPr>
          <w:trHeight w:val="58"/>
        </w:trPr>
        <w:tc>
          <w:tcPr>
            <w:tcW w:w="8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Inventory</w:t>
            </w: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62,638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48,797</w:t>
            </w:r>
          </w:p>
        </w:tc>
        <w:tc>
          <w:tcPr>
            <w:tcW w:w="0" w:type="dxa"/>
            <w:vAlign w:val="bottom"/>
          </w:tcPr>
          <w:p>
            <w:pPr>
              <w:spacing w:after="0"/>
              <w:rPr>
                <w:sz w:val="1"/>
                <w:szCs w:val="1"/>
                <w:color w:val="auto"/>
              </w:rPr>
            </w:pPr>
          </w:p>
        </w:tc>
      </w:tr>
      <w:tr>
        <w:trPr>
          <w:trHeight w:val="62"/>
        </w:trPr>
        <w:tc>
          <w:tcPr>
            <w:tcW w:w="82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180"/>
              <w:spacing w:after="0"/>
              <w:rPr>
                <w:sz w:val="20"/>
                <w:szCs w:val="20"/>
                <w:color w:val="auto"/>
              </w:rPr>
            </w:pPr>
            <w:r>
              <w:rPr>
                <w:rFonts w:ascii="Arial" w:cs="Arial" w:eastAsia="Arial" w:hAnsi="Arial"/>
                <w:sz w:val="15"/>
                <w:szCs w:val="15"/>
                <w:color w:val="auto"/>
              </w:rPr>
              <w:t>Prepaids and deposits</w:t>
            </w:r>
          </w:p>
        </w:tc>
        <w:tc>
          <w:tcPr>
            <w:tcW w:w="340" w:type="dxa"/>
            <w:vAlign w:val="bottom"/>
          </w:tcPr>
          <w:p>
            <w:pPr>
              <w:spacing w:after="0"/>
              <w:rPr>
                <w:sz w:val="18"/>
                <w:szCs w:val="18"/>
                <w:color w:val="auto"/>
              </w:rPr>
            </w:pP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34,505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restart"/>
          </w:tcPr>
          <w:p>
            <w:pPr>
              <w:jc w:val="right"/>
              <w:ind w:right="23"/>
              <w:spacing w:after="0"/>
              <w:rPr>
                <w:sz w:val="20"/>
                <w:szCs w:val="20"/>
                <w:color w:val="auto"/>
              </w:rPr>
            </w:pPr>
            <w:r>
              <w:rPr>
                <w:rFonts w:ascii="Arial" w:cs="Arial" w:eastAsia="Arial" w:hAnsi="Arial"/>
                <w:sz w:val="15"/>
                <w:szCs w:val="15"/>
                <w:color w:val="auto"/>
              </w:rPr>
              <w:t>38,222</w:t>
            </w:r>
          </w:p>
        </w:tc>
        <w:tc>
          <w:tcPr>
            <w:tcW w:w="0" w:type="dxa"/>
            <w:vAlign w:val="bottom"/>
          </w:tcPr>
          <w:p>
            <w:pPr>
              <w:spacing w:after="0"/>
              <w:rPr>
                <w:sz w:val="1"/>
                <w:szCs w:val="1"/>
                <w:color w:val="auto"/>
              </w:rPr>
            </w:pPr>
          </w:p>
        </w:tc>
      </w:tr>
      <w:tr>
        <w:trPr>
          <w:trHeight w:val="58"/>
        </w:trPr>
        <w:tc>
          <w:tcPr>
            <w:tcW w:w="8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Advances to affiliates, net</w:t>
            </w: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110,452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47,387</w:t>
            </w:r>
          </w:p>
        </w:tc>
        <w:tc>
          <w:tcPr>
            <w:tcW w:w="0" w:type="dxa"/>
            <w:vAlign w:val="bottom"/>
          </w:tcPr>
          <w:p>
            <w:pPr>
              <w:spacing w:after="0"/>
              <w:rPr>
                <w:sz w:val="1"/>
                <w:szCs w:val="1"/>
                <w:color w:val="auto"/>
              </w:rPr>
            </w:pPr>
          </w:p>
        </w:tc>
      </w:tr>
      <w:tr>
        <w:trPr>
          <w:trHeight w:val="62"/>
        </w:trPr>
        <w:tc>
          <w:tcPr>
            <w:tcW w:w="82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180"/>
              <w:spacing w:after="0"/>
              <w:rPr>
                <w:sz w:val="20"/>
                <w:szCs w:val="20"/>
                <w:color w:val="auto"/>
              </w:rPr>
            </w:pPr>
            <w:r>
              <w:rPr>
                <w:rFonts w:ascii="Arial" w:cs="Arial" w:eastAsia="Arial" w:hAnsi="Arial"/>
                <w:sz w:val="15"/>
                <w:szCs w:val="15"/>
                <w:color w:val="auto"/>
              </w:rPr>
              <w:t>Other current assets</w:t>
            </w:r>
          </w:p>
        </w:tc>
        <w:tc>
          <w:tcPr>
            <w:tcW w:w="340" w:type="dxa"/>
            <w:vAlign w:val="bottom"/>
          </w:tcPr>
          <w:p>
            <w:pPr>
              <w:spacing w:after="0"/>
              <w:rPr>
                <w:sz w:val="18"/>
                <w:szCs w:val="18"/>
                <w:color w:val="auto"/>
              </w:rPr>
            </w:pP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11,809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restart"/>
          </w:tcPr>
          <w:p>
            <w:pPr>
              <w:jc w:val="right"/>
              <w:ind w:right="23"/>
              <w:spacing w:after="0"/>
              <w:rPr>
                <w:sz w:val="20"/>
                <w:szCs w:val="20"/>
                <w:color w:val="auto"/>
              </w:rPr>
            </w:pPr>
            <w:r>
              <w:rPr>
                <w:rFonts w:ascii="Arial" w:cs="Arial" w:eastAsia="Arial" w:hAnsi="Arial"/>
                <w:sz w:val="15"/>
                <w:szCs w:val="15"/>
                <w:color w:val="auto"/>
              </w:rPr>
              <w:t>13,273</w:t>
            </w:r>
          </w:p>
        </w:tc>
        <w:tc>
          <w:tcPr>
            <w:tcW w:w="0" w:type="dxa"/>
            <w:vAlign w:val="bottom"/>
          </w:tcPr>
          <w:p>
            <w:pPr>
              <w:spacing w:after="0"/>
              <w:rPr>
                <w:sz w:val="1"/>
                <w:szCs w:val="1"/>
                <w:color w:val="auto"/>
              </w:rPr>
            </w:pPr>
          </w:p>
        </w:tc>
      </w:tr>
      <w:tr>
        <w:trPr>
          <w:trHeight w:val="58"/>
        </w:trPr>
        <w:tc>
          <w:tcPr>
            <w:tcW w:w="82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Total current assets</w:t>
            </w: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2,680,126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944,780</w:t>
            </w:r>
          </w:p>
        </w:tc>
        <w:tc>
          <w:tcPr>
            <w:tcW w:w="0" w:type="dxa"/>
            <w:vAlign w:val="bottom"/>
          </w:tcPr>
          <w:p>
            <w:pPr>
              <w:spacing w:after="0"/>
              <w:rPr>
                <w:sz w:val="1"/>
                <w:szCs w:val="1"/>
                <w:color w:val="auto"/>
              </w:rPr>
            </w:pPr>
          </w:p>
        </w:tc>
      </w:tr>
      <w:tr>
        <w:trPr>
          <w:trHeight w:val="62"/>
        </w:trPr>
        <w:tc>
          <w:tcPr>
            <w:tcW w:w="826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8260" w:type="dxa"/>
            <w:vAlign w:val="bottom"/>
          </w:tcPr>
          <w:p>
            <w:pPr>
              <w:ind w:left="40"/>
              <w:spacing w:after="0"/>
              <w:rPr>
                <w:sz w:val="20"/>
                <w:szCs w:val="20"/>
                <w:color w:val="auto"/>
              </w:rPr>
            </w:pPr>
            <w:r>
              <w:rPr>
                <w:rFonts w:ascii="Arial" w:cs="Arial" w:eastAsia="Arial" w:hAnsi="Arial"/>
                <w:sz w:val="15"/>
                <w:szCs w:val="15"/>
                <w:b w:val="1"/>
                <w:bCs w:val="1"/>
                <w:color w:val="auto"/>
              </w:rPr>
              <w:t>Noncurrent Assets: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8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Restricted cash and cash equivalents</w:t>
            </w: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11,820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20,140</w:t>
            </w:r>
          </w:p>
        </w:tc>
        <w:tc>
          <w:tcPr>
            <w:tcW w:w="0" w:type="dxa"/>
            <w:vAlign w:val="bottom"/>
          </w:tcPr>
          <w:p>
            <w:pPr>
              <w:spacing w:after="0"/>
              <w:rPr>
                <w:sz w:val="1"/>
                <w:szCs w:val="1"/>
                <w:color w:val="auto"/>
              </w:rPr>
            </w:pPr>
          </w:p>
        </w:tc>
      </w:tr>
      <w:tr>
        <w:trPr>
          <w:trHeight w:val="62"/>
        </w:trPr>
        <w:tc>
          <w:tcPr>
            <w:tcW w:w="82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180"/>
              <w:spacing w:after="0"/>
              <w:rPr>
                <w:sz w:val="20"/>
                <w:szCs w:val="20"/>
                <w:color w:val="auto"/>
              </w:rPr>
            </w:pPr>
            <w:r>
              <w:rPr>
                <w:rFonts w:ascii="Arial" w:cs="Arial" w:eastAsia="Arial" w:hAnsi="Arial"/>
                <w:sz w:val="15"/>
                <w:szCs w:val="15"/>
                <w:color w:val="auto"/>
              </w:rPr>
              <w:t>Property and equipment, net of accumulated depreciation of $2,503,187 and $2,138,642, respectively</w:t>
            </w:r>
          </w:p>
        </w:tc>
        <w:tc>
          <w:tcPr>
            <w:tcW w:w="340" w:type="dxa"/>
            <w:vAlign w:val="bottom"/>
          </w:tcPr>
          <w:p>
            <w:pPr>
              <w:spacing w:after="0"/>
              <w:rPr>
                <w:sz w:val="18"/>
                <w:szCs w:val="18"/>
                <w:color w:val="auto"/>
              </w:rPr>
            </w:pP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2,294,726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restart"/>
          </w:tcPr>
          <w:p>
            <w:pPr>
              <w:jc w:val="right"/>
              <w:ind w:right="23"/>
              <w:spacing w:after="0"/>
              <w:rPr>
                <w:sz w:val="20"/>
                <w:szCs w:val="20"/>
                <w:color w:val="auto"/>
              </w:rPr>
            </w:pPr>
            <w:r>
              <w:rPr>
                <w:rFonts w:ascii="Arial" w:cs="Arial" w:eastAsia="Arial" w:hAnsi="Arial"/>
                <w:sz w:val="15"/>
                <w:szCs w:val="15"/>
                <w:color w:val="auto"/>
              </w:rPr>
              <w:t>2,265,402</w:t>
            </w:r>
          </w:p>
        </w:tc>
        <w:tc>
          <w:tcPr>
            <w:tcW w:w="0" w:type="dxa"/>
            <w:vAlign w:val="bottom"/>
          </w:tcPr>
          <w:p>
            <w:pPr>
              <w:spacing w:after="0"/>
              <w:rPr>
                <w:sz w:val="1"/>
                <w:szCs w:val="1"/>
                <w:color w:val="auto"/>
              </w:rPr>
            </w:pPr>
          </w:p>
        </w:tc>
      </w:tr>
      <w:tr>
        <w:trPr>
          <w:trHeight w:val="58"/>
        </w:trPr>
        <w:tc>
          <w:tcPr>
            <w:tcW w:w="8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Regulatory authorizations</w:t>
            </w: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471,658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471,658</w:t>
            </w:r>
          </w:p>
        </w:tc>
        <w:tc>
          <w:tcPr>
            <w:tcW w:w="0" w:type="dxa"/>
            <w:vAlign w:val="bottom"/>
          </w:tcPr>
          <w:p>
            <w:pPr>
              <w:spacing w:after="0"/>
              <w:rPr>
                <w:sz w:val="1"/>
                <w:szCs w:val="1"/>
                <w:color w:val="auto"/>
              </w:rPr>
            </w:pPr>
          </w:p>
        </w:tc>
      </w:tr>
      <w:tr>
        <w:trPr>
          <w:trHeight w:val="62"/>
        </w:trPr>
        <w:tc>
          <w:tcPr>
            <w:tcW w:w="82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180"/>
              <w:spacing w:after="0"/>
              <w:rPr>
                <w:sz w:val="20"/>
                <w:szCs w:val="20"/>
                <w:color w:val="auto"/>
              </w:rPr>
            </w:pPr>
            <w:r>
              <w:rPr>
                <w:rFonts w:ascii="Arial" w:cs="Arial" w:eastAsia="Arial" w:hAnsi="Arial"/>
                <w:sz w:val="15"/>
                <w:szCs w:val="15"/>
                <w:color w:val="auto"/>
              </w:rPr>
              <w:t>Goodwill</w:t>
            </w:r>
          </w:p>
        </w:tc>
        <w:tc>
          <w:tcPr>
            <w:tcW w:w="340" w:type="dxa"/>
            <w:vAlign w:val="bottom"/>
          </w:tcPr>
          <w:p>
            <w:pPr>
              <w:spacing w:after="0"/>
              <w:rPr>
                <w:sz w:val="18"/>
                <w:szCs w:val="18"/>
                <w:color w:val="auto"/>
              </w:rPr>
            </w:pP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504,173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restart"/>
          </w:tcPr>
          <w:p>
            <w:pPr>
              <w:jc w:val="right"/>
              <w:ind w:right="23"/>
              <w:spacing w:after="0"/>
              <w:rPr>
                <w:sz w:val="20"/>
                <w:szCs w:val="20"/>
                <w:color w:val="auto"/>
              </w:rPr>
            </w:pPr>
            <w:r>
              <w:rPr>
                <w:rFonts w:ascii="Arial" w:cs="Arial" w:eastAsia="Arial" w:hAnsi="Arial"/>
                <w:sz w:val="15"/>
                <w:szCs w:val="15"/>
                <w:color w:val="auto"/>
              </w:rPr>
              <w:t>504,173</w:t>
            </w:r>
          </w:p>
        </w:tc>
        <w:tc>
          <w:tcPr>
            <w:tcW w:w="0" w:type="dxa"/>
            <w:vAlign w:val="bottom"/>
          </w:tcPr>
          <w:p>
            <w:pPr>
              <w:spacing w:after="0"/>
              <w:rPr>
                <w:sz w:val="1"/>
                <w:szCs w:val="1"/>
                <w:color w:val="auto"/>
              </w:rPr>
            </w:pPr>
          </w:p>
        </w:tc>
      </w:tr>
      <w:tr>
        <w:trPr>
          <w:trHeight w:val="58"/>
        </w:trPr>
        <w:tc>
          <w:tcPr>
            <w:tcW w:w="8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intangible assets, net</w:t>
            </w: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80,734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115,420</w:t>
            </w:r>
          </w:p>
        </w:tc>
        <w:tc>
          <w:tcPr>
            <w:tcW w:w="0" w:type="dxa"/>
            <w:vAlign w:val="bottom"/>
          </w:tcPr>
          <w:p>
            <w:pPr>
              <w:spacing w:after="0"/>
              <w:rPr>
                <w:sz w:val="1"/>
                <w:szCs w:val="1"/>
                <w:color w:val="auto"/>
              </w:rPr>
            </w:pPr>
          </w:p>
        </w:tc>
      </w:tr>
      <w:tr>
        <w:trPr>
          <w:trHeight w:val="62"/>
        </w:trPr>
        <w:tc>
          <w:tcPr>
            <w:tcW w:w="82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180"/>
              <w:spacing w:after="0"/>
              <w:rPr>
                <w:sz w:val="20"/>
                <w:szCs w:val="20"/>
                <w:color w:val="auto"/>
              </w:rPr>
            </w:pPr>
            <w:r>
              <w:rPr>
                <w:rFonts w:ascii="Arial" w:cs="Arial" w:eastAsia="Arial" w:hAnsi="Arial"/>
                <w:sz w:val="15"/>
                <w:szCs w:val="15"/>
                <w:color w:val="auto"/>
              </w:rPr>
              <w:t>Investments in unconsolidated entities</w:t>
            </w:r>
          </w:p>
        </w:tc>
        <w:tc>
          <w:tcPr>
            <w:tcW w:w="340" w:type="dxa"/>
            <w:vAlign w:val="bottom"/>
          </w:tcPr>
          <w:p>
            <w:pPr>
              <w:spacing w:after="0"/>
              <w:rPr>
                <w:sz w:val="18"/>
                <w:szCs w:val="18"/>
                <w:color w:val="auto"/>
              </w:rPr>
            </w:pP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42,560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restart"/>
          </w:tcPr>
          <w:p>
            <w:pPr>
              <w:jc w:val="right"/>
              <w:ind w:right="23"/>
              <w:spacing w:after="0"/>
              <w:rPr>
                <w:sz w:val="20"/>
                <w:szCs w:val="20"/>
                <w:color w:val="auto"/>
              </w:rPr>
            </w:pPr>
            <w:r>
              <w:rPr>
                <w:rFonts w:ascii="Arial" w:cs="Arial" w:eastAsia="Arial" w:hAnsi="Arial"/>
                <w:sz w:val="15"/>
                <w:szCs w:val="15"/>
                <w:color w:val="auto"/>
              </w:rPr>
              <w:t>41,481</w:t>
            </w:r>
          </w:p>
        </w:tc>
        <w:tc>
          <w:tcPr>
            <w:tcW w:w="0" w:type="dxa"/>
            <w:vAlign w:val="bottom"/>
          </w:tcPr>
          <w:p>
            <w:pPr>
              <w:spacing w:after="0"/>
              <w:rPr>
                <w:sz w:val="1"/>
                <w:szCs w:val="1"/>
                <w:color w:val="auto"/>
              </w:rPr>
            </w:pPr>
          </w:p>
        </w:tc>
      </w:tr>
      <w:tr>
        <w:trPr>
          <w:trHeight w:val="58"/>
        </w:trPr>
        <w:tc>
          <w:tcPr>
            <w:tcW w:w="8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noncurrent assets, net</w:t>
            </w: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295,737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208,225</w:t>
            </w:r>
          </w:p>
        </w:tc>
        <w:tc>
          <w:tcPr>
            <w:tcW w:w="0" w:type="dxa"/>
            <w:vAlign w:val="bottom"/>
          </w:tcPr>
          <w:p>
            <w:pPr>
              <w:spacing w:after="0"/>
              <w:rPr>
                <w:sz w:val="1"/>
                <w:szCs w:val="1"/>
                <w:color w:val="auto"/>
              </w:rPr>
            </w:pPr>
          </w:p>
        </w:tc>
      </w:tr>
      <w:tr>
        <w:trPr>
          <w:trHeight w:val="62"/>
        </w:trPr>
        <w:tc>
          <w:tcPr>
            <w:tcW w:w="826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8260" w:type="dxa"/>
            <w:vAlign w:val="bottom"/>
          </w:tcPr>
          <w:p>
            <w:pPr>
              <w:ind w:left="40"/>
              <w:spacing w:after="0"/>
              <w:rPr>
                <w:sz w:val="20"/>
                <w:szCs w:val="20"/>
                <w:color w:val="auto"/>
              </w:rPr>
            </w:pPr>
            <w:r>
              <w:rPr>
                <w:rFonts w:ascii="Arial" w:cs="Arial" w:eastAsia="Arial" w:hAnsi="Arial"/>
                <w:sz w:val="15"/>
                <w:szCs w:val="15"/>
                <w:color w:val="auto"/>
              </w:rPr>
              <w:t>Total noncurrent assets</w:t>
            </w:r>
          </w:p>
        </w:tc>
        <w:tc>
          <w:tcPr>
            <w:tcW w:w="340" w:type="dxa"/>
            <w:vAlign w:val="bottom"/>
          </w:tcPr>
          <w:p>
            <w:pPr>
              <w:spacing w:after="0"/>
              <w:rPr>
                <w:sz w:val="16"/>
                <w:szCs w:val="16"/>
                <w:color w:val="auto"/>
              </w:rPr>
            </w:pP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3,701,408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3"/>
              <w:spacing w:after="0"/>
              <w:rPr>
                <w:sz w:val="20"/>
                <w:szCs w:val="20"/>
                <w:color w:val="auto"/>
              </w:rPr>
            </w:pPr>
            <w:r>
              <w:rPr>
                <w:rFonts w:ascii="Arial" w:cs="Arial" w:eastAsia="Arial" w:hAnsi="Arial"/>
                <w:sz w:val="15"/>
                <w:szCs w:val="15"/>
                <w:color w:val="auto"/>
              </w:rPr>
              <w:t>3,626,499</w:t>
            </w:r>
          </w:p>
        </w:tc>
        <w:tc>
          <w:tcPr>
            <w:tcW w:w="0" w:type="dxa"/>
            <w:vAlign w:val="bottom"/>
          </w:tcPr>
          <w:p>
            <w:pPr>
              <w:spacing w:after="0"/>
              <w:rPr>
                <w:sz w:val="1"/>
                <w:szCs w:val="1"/>
                <w:color w:val="auto"/>
              </w:rPr>
            </w:pPr>
          </w:p>
        </w:tc>
      </w:tr>
      <w:tr>
        <w:trPr>
          <w:trHeight w:val="58"/>
        </w:trPr>
        <w:tc>
          <w:tcPr>
            <w:tcW w:w="82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2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5"/>
                <w:szCs w:val="15"/>
                <w:color w:val="auto"/>
              </w:rPr>
              <w:t>Total assets</w:t>
            </w: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6,381,534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4,571,279</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2880"/>
              <w:spacing w:after="0"/>
              <w:rPr>
                <w:sz w:val="20"/>
                <w:szCs w:val="20"/>
                <w:color w:val="auto"/>
              </w:rPr>
            </w:pPr>
            <w:r>
              <w:rPr>
                <w:rFonts w:ascii="Arial" w:cs="Arial" w:eastAsia="Arial" w:hAnsi="Arial"/>
                <w:sz w:val="15"/>
                <w:szCs w:val="15"/>
                <w:b w:val="1"/>
                <w:bCs w:val="1"/>
                <w:color w:val="auto"/>
              </w:rPr>
              <w:t>Liabilities and Shareholders’ Equity</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2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8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Current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2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180"/>
              <w:spacing w:after="0"/>
              <w:rPr>
                <w:sz w:val="20"/>
                <w:szCs w:val="20"/>
                <w:color w:val="auto"/>
              </w:rPr>
            </w:pPr>
            <w:r>
              <w:rPr>
                <w:rFonts w:ascii="Arial" w:cs="Arial" w:eastAsia="Arial" w:hAnsi="Arial"/>
                <w:sz w:val="15"/>
                <w:szCs w:val="15"/>
                <w:color w:val="auto"/>
              </w:rPr>
              <w:t>Trade accounts payable</w:t>
            </w:r>
          </w:p>
        </w:tc>
        <w:tc>
          <w:tcPr>
            <w:tcW w:w="340" w:type="dxa"/>
            <w:vAlign w:val="bottom"/>
            <w:vMerge w:val="restart"/>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106,416</w:t>
            </w:r>
          </w:p>
        </w:tc>
        <w:tc>
          <w:tcPr>
            <w:tcW w:w="100" w:type="dxa"/>
            <w:vAlign w:val="bottom"/>
          </w:tcPr>
          <w:p>
            <w:pPr>
              <w:spacing w:after="0"/>
              <w:rPr>
                <w:sz w:val="18"/>
                <w:szCs w:val="18"/>
                <w:color w:val="auto"/>
              </w:rPr>
            </w:pPr>
          </w:p>
        </w:tc>
        <w:tc>
          <w:tcPr>
            <w:tcW w:w="340" w:type="dxa"/>
            <w:vAlign w:val="bottom"/>
            <w:vMerge w:val="restart"/>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vMerge w:val="restart"/>
          </w:tcPr>
          <w:p>
            <w:pPr>
              <w:jc w:val="right"/>
              <w:ind w:right="23"/>
              <w:spacing w:after="0"/>
              <w:rPr>
                <w:sz w:val="20"/>
                <w:szCs w:val="20"/>
                <w:color w:val="auto"/>
              </w:rPr>
            </w:pPr>
            <w:r>
              <w:rPr>
                <w:rFonts w:ascii="Arial" w:cs="Arial" w:eastAsia="Arial" w:hAnsi="Arial"/>
                <w:sz w:val="15"/>
                <w:szCs w:val="15"/>
                <w:color w:val="auto"/>
              </w:rPr>
              <w:t>97,667</w:t>
            </w:r>
          </w:p>
        </w:tc>
        <w:tc>
          <w:tcPr>
            <w:tcW w:w="0" w:type="dxa"/>
            <w:vAlign w:val="bottom"/>
          </w:tcPr>
          <w:p>
            <w:pPr>
              <w:spacing w:after="0"/>
              <w:rPr>
                <w:sz w:val="1"/>
                <w:szCs w:val="1"/>
                <w:color w:val="auto"/>
              </w:rPr>
            </w:pPr>
          </w:p>
        </w:tc>
      </w:tr>
      <w:tr>
        <w:trPr>
          <w:trHeight w:val="58"/>
        </w:trPr>
        <w:tc>
          <w:tcPr>
            <w:tcW w:w="82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Current portion of long-term debt and capital lease obligations</w:t>
            </w: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32,984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30,284</w:t>
            </w:r>
          </w:p>
        </w:tc>
        <w:tc>
          <w:tcPr>
            <w:tcW w:w="0" w:type="dxa"/>
            <w:vAlign w:val="bottom"/>
          </w:tcPr>
          <w:p>
            <w:pPr>
              <w:spacing w:after="0"/>
              <w:rPr>
                <w:sz w:val="1"/>
                <w:szCs w:val="1"/>
                <w:color w:val="auto"/>
              </w:rPr>
            </w:pPr>
          </w:p>
        </w:tc>
      </w:tr>
      <w:tr>
        <w:trPr>
          <w:trHeight w:val="62"/>
        </w:trPr>
        <w:tc>
          <w:tcPr>
            <w:tcW w:w="82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180"/>
              <w:spacing w:after="0"/>
              <w:rPr>
                <w:sz w:val="20"/>
                <w:szCs w:val="20"/>
                <w:color w:val="auto"/>
              </w:rPr>
            </w:pPr>
            <w:r>
              <w:rPr>
                <w:rFonts w:ascii="Arial" w:cs="Arial" w:eastAsia="Arial" w:hAnsi="Arial"/>
                <w:sz w:val="15"/>
                <w:szCs w:val="15"/>
                <w:color w:val="auto"/>
              </w:rPr>
              <w:t>Advances from affiliates, net</w:t>
            </w:r>
          </w:p>
        </w:tc>
        <w:tc>
          <w:tcPr>
            <w:tcW w:w="340" w:type="dxa"/>
            <w:vAlign w:val="bottom"/>
          </w:tcPr>
          <w:p>
            <w:pPr>
              <w:spacing w:after="0"/>
              <w:rPr>
                <w:sz w:val="18"/>
                <w:szCs w:val="18"/>
                <w:color w:val="auto"/>
              </w:rPr>
            </w:pP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598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restart"/>
          </w:tcPr>
          <w:p>
            <w:pPr>
              <w:jc w:val="right"/>
              <w:ind w:right="23"/>
              <w:spacing w:after="0"/>
              <w:rPr>
                <w:sz w:val="20"/>
                <w:szCs w:val="20"/>
                <w:color w:val="auto"/>
              </w:rPr>
            </w:pPr>
            <w:r>
              <w:rPr>
                <w:rFonts w:ascii="Arial" w:cs="Arial" w:eastAsia="Arial" w:hAnsi="Arial"/>
                <w:sz w:val="15"/>
                <w:szCs w:val="15"/>
                <w:color w:val="auto"/>
              </w:rPr>
              <w:t>3,773</w:t>
            </w:r>
          </w:p>
        </w:tc>
        <w:tc>
          <w:tcPr>
            <w:tcW w:w="0" w:type="dxa"/>
            <w:vAlign w:val="bottom"/>
          </w:tcPr>
          <w:p>
            <w:pPr>
              <w:spacing w:after="0"/>
              <w:rPr>
                <w:sz w:val="1"/>
                <w:szCs w:val="1"/>
                <w:color w:val="auto"/>
              </w:rPr>
            </w:pPr>
          </w:p>
        </w:tc>
      </w:tr>
      <w:tr>
        <w:trPr>
          <w:trHeight w:val="58"/>
        </w:trPr>
        <w:tc>
          <w:tcPr>
            <w:tcW w:w="8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Deferred revenue and prepayments</w:t>
            </w: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59,989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57,493</w:t>
            </w:r>
          </w:p>
        </w:tc>
        <w:tc>
          <w:tcPr>
            <w:tcW w:w="0" w:type="dxa"/>
            <w:vAlign w:val="bottom"/>
          </w:tcPr>
          <w:p>
            <w:pPr>
              <w:spacing w:after="0"/>
              <w:rPr>
                <w:sz w:val="1"/>
                <w:szCs w:val="1"/>
                <w:color w:val="auto"/>
              </w:rPr>
            </w:pPr>
          </w:p>
        </w:tc>
      </w:tr>
      <w:tr>
        <w:trPr>
          <w:trHeight w:val="62"/>
        </w:trPr>
        <w:tc>
          <w:tcPr>
            <w:tcW w:w="82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180"/>
              <w:spacing w:after="0"/>
              <w:rPr>
                <w:sz w:val="20"/>
                <w:szCs w:val="20"/>
                <w:color w:val="auto"/>
              </w:rPr>
            </w:pPr>
            <w:r>
              <w:rPr>
                <w:rFonts w:ascii="Arial" w:cs="Arial" w:eastAsia="Arial" w:hAnsi="Arial"/>
                <w:sz w:val="15"/>
                <w:szCs w:val="15"/>
                <w:color w:val="auto"/>
              </w:rPr>
              <w:t>Accrued interest</w:t>
            </w:r>
          </w:p>
        </w:tc>
        <w:tc>
          <w:tcPr>
            <w:tcW w:w="340" w:type="dxa"/>
            <w:vAlign w:val="bottom"/>
          </w:tcPr>
          <w:p>
            <w:pPr>
              <w:spacing w:after="0"/>
              <w:rPr>
                <w:sz w:val="18"/>
                <w:szCs w:val="18"/>
                <w:color w:val="auto"/>
              </w:rPr>
            </w:pP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46,255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restart"/>
          </w:tcPr>
          <w:p>
            <w:pPr>
              <w:jc w:val="right"/>
              <w:ind w:right="23"/>
              <w:spacing w:after="0"/>
              <w:rPr>
                <w:sz w:val="20"/>
                <w:szCs w:val="20"/>
                <w:color w:val="auto"/>
              </w:rPr>
            </w:pPr>
            <w:r>
              <w:rPr>
                <w:rFonts w:ascii="Arial" w:cs="Arial" w:eastAsia="Arial" w:hAnsi="Arial"/>
                <w:sz w:val="15"/>
                <w:szCs w:val="15"/>
                <w:color w:val="auto"/>
              </w:rPr>
              <w:t>8,310</w:t>
            </w:r>
          </w:p>
        </w:tc>
        <w:tc>
          <w:tcPr>
            <w:tcW w:w="0" w:type="dxa"/>
            <w:vAlign w:val="bottom"/>
          </w:tcPr>
          <w:p>
            <w:pPr>
              <w:spacing w:after="0"/>
              <w:rPr>
                <w:sz w:val="1"/>
                <w:szCs w:val="1"/>
                <w:color w:val="auto"/>
              </w:rPr>
            </w:pPr>
          </w:p>
        </w:tc>
      </w:tr>
      <w:tr>
        <w:trPr>
          <w:trHeight w:val="58"/>
        </w:trPr>
        <w:tc>
          <w:tcPr>
            <w:tcW w:w="8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Accrued compensation</w:t>
            </w: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33,457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31,932</w:t>
            </w:r>
          </w:p>
        </w:tc>
        <w:tc>
          <w:tcPr>
            <w:tcW w:w="0" w:type="dxa"/>
            <w:vAlign w:val="bottom"/>
          </w:tcPr>
          <w:p>
            <w:pPr>
              <w:spacing w:after="0"/>
              <w:rPr>
                <w:sz w:val="1"/>
                <w:szCs w:val="1"/>
                <w:color w:val="auto"/>
              </w:rPr>
            </w:pPr>
          </w:p>
        </w:tc>
      </w:tr>
      <w:tr>
        <w:trPr>
          <w:trHeight w:val="62"/>
        </w:trPr>
        <w:tc>
          <w:tcPr>
            <w:tcW w:w="82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180"/>
              <w:spacing w:after="0"/>
              <w:rPr>
                <w:sz w:val="20"/>
                <w:szCs w:val="20"/>
                <w:color w:val="auto"/>
              </w:rPr>
            </w:pPr>
            <w:r>
              <w:rPr>
                <w:rFonts w:ascii="Arial" w:cs="Arial" w:eastAsia="Arial" w:hAnsi="Arial"/>
                <w:sz w:val="15"/>
                <w:szCs w:val="15"/>
                <w:color w:val="auto"/>
              </w:rPr>
              <w:t>Accrued expenses and other</w:t>
            </w:r>
          </w:p>
        </w:tc>
        <w:tc>
          <w:tcPr>
            <w:tcW w:w="340" w:type="dxa"/>
            <w:vAlign w:val="bottom"/>
          </w:tcPr>
          <w:p>
            <w:pPr>
              <w:spacing w:after="0"/>
              <w:rPr>
                <w:sz w:val="18"/>
                <w:szCs w:val="18"/>
                <w:color w:val="auto"/>
              </w:rPr>
            </w:pP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80,612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restart"/>
          </w:tcPr>
          <w:p>
            <w:pPr>
              <w:jc w:val="right"/>
              <w:ind w:right="23"/>
              <w:spacing w:after="0"/>
              <w:rPr>
                <w:sz w:val="20"/>
                <w:szCs w:val="20"/>
                <w:color w:val="auto"/>
              </w:rPr>
            </w:pPr>
            <w:r>
              <w:rPr>
                <w:rFonts w:ascii="Arial" w:cs="Arial" w:eastAsia="Arial" w:hAnsi="Arial"/>
                <w:sz w:val="15"/>
                <w:szCs w:val="15"/>
                <w:color w:val="auto"/>
              </w:rPr>
              <w:t>83,501</w:t>
            </w:r>
          </w:p>
        </w:tc>
        <w:tc>
          <w:tcPr>
            <w:tcW w:w="0" w:type="dxa"/>
            <w:vAlign w:val="bottom"/>
          </w:tcPr>
          <w:p>
            <w:pPr>
              <w:spacing w:after="0"/>
              <w:rPr>
                <w:sz w:val="1"/>
                <w:szCs w:val="1"/>
                <w:color w:val="auto"/>
              </w:rPr>
            </w:pPr>
          </w:p>
        </w:tc>
      </w:tr>
      <w:tr>
        <w:trPr>
          <w:trHeight w:val="58"/>
        </w:trPr>
        <w:tc>
          <w:tcPr>
            <w:tcW w:w="82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Total current liabilities</w:t>
            </w: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360,311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312,960</w:t>
            </w:r>
          </w:p>
        </w:tc>
        <w:tc>
          <w:tcPr>
            <w:tcW w:w="0" w:type="dxa"/>
            <w:vAlign w:val="bottom"/>
          </w:tcPr>
          <w:p>
            <w:pPr>
              <w:spacing w:after="0"/>
              <w:rPr>
                <w:sz w:val="1"/>
                <w:szCs w:val="1"/>
                <w:color w:val="auto"/>
              </w:rPr>
            </w:pPr>
          </w:p>
        </w:tc>
      </w:tr>
      <w:tr>
        <w:trPr>
          <w:trHeight w:val="62"/>
        </w:trPr>
        <w:tc>
          <w:tcPr>
            <w:tcW w:w="826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8260" w:type="dxa"/>
            <w:vAlign w:val="bottom"/>
          </w:tcPr>
          <w:p>
            <w:pPr>
              <w:ind w:left="40"/>
              <w:spacing w:after="0"/>
              <w:rPr>
                <w:sz w:val="20"/>
                <w:szCs w:val="20"/>
                <w:color w:val="auto"/>
              </w:rPr>
            </w:pPr>
            <w:r>
              <w:rPr>
                <w:rFonts w:ascii="Arial" w:cs="Arial" w:eastAsia="Arial" w:hAnsi="Arial"/>
                <w:sz w:val="15"/>
                <w:szCs w:val="15"/>
                <w:b w:val="1"/>
                <w:bCs w:val="1"/>
                <w:color w:val="auto"/>
              </w:rPr>
              <w:t>Noncurrent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8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Long-term debt and capital lease obligations, net of unamortized debt issuance costs</w:t>
            </w: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3,622,463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2,154,988</w:t>
            </w:r>
          </w:p>
        </w:tc>
        <w:tc>
          <w:tcPr>
            <w:tcW w:w="0" w:type="dxa"/>
            <w:vAlign w:val="bottom"/>
          </w:tcPr>
          <w:p>
            <w:pPr>
              <w:spacing w:after="0"/>
              <w:rPr>
                <w:sz w:val="1"/>
                <w:szCs w:val="1"/>
                <w:color w:val="auto"/>
              </w:rPr>
            </w:pPr>
          </w:p>
        </w:tc>
      </w:tr>
      <w:tr>
        <w:trPr>
          <w:trHeight w:val="62"/>
        </w:trPr>
        <w:tc>
          <w:tcPr>
            <w:tcW w:w="82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180"/>
              <w:spacing w:after="0"/>
              <w:rPr>
                <w:sz w:val="20"/>
                <w:szCs w:val="20"/>
                <w:color w:val="auto"/>
              </w:rPr>
            </w:pPr>
            <w:r>
              <w:rPr>
                <w:rFonts w:ascii="Arial" w:cs="Arial" w:eastAsia="Arial" w:hAnsi="Arial"/>
                <w:sz w:val="15"/>
                <w:szCs w:val="15"/>
                <w:color w:val="auto"/>
              </w:rPr>
              <w:t>Deferred tax liabilities, net</w:t>
            </w:r>
          </w:p>
        </w:tc>
        <w:tc>
          <w:tcPr>
            <w:tcW w:w="340" w:type="dxa"/>
            <w:vAlign w:val="bottom"/>
          </w:tcPr>
          <w:p>
            <w:pPr>
              <w:spacing w:after="0"/>
              <w:rPr>
                <w:sz w:val="18"/>
                <w:szCs w:val="18"/>
                <w:color w:val="auto"/>
              </w:rPr>
            </w:pP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528,462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restart"/>
          </w:tcPr>
          <w:p>
            <w:pPr>
              <w:jc w:val="right"/>
              <w:ind w:right="23"/>
              <w:spacing w:after="0"/>
              <w:rPr>
                <w:sz w:val="20"/>
                <w:szCs w:val="20"/>
                <w:color w:val="auto"/>
              </w:rPr>
            </w:pPr>
            <w:r>
              <w:rPr>
                <w:rFonts w:ascii="Arial" w:cs="Arial" w:eastAsia="Arial" w:hAnsi="Arial"/>
                <w:sz w:val="15"/>
                <w:szCs w:val="15"/>
                <w:color w:val="auto"/>
              </w:rPr>
              <w:t>452,350</w:t>
            </w:r>
          </w:p>
        </w:tc>
        <w:tc>
          <w:tcPr>
            <w:tcW w:w="0" w:type="dxa"/>
            <w:vAlign w:val="bottom"/>
          </w:tcPr>
          <w:p>
            <w:pPr>
              <w:spacing w:after="0"/>
              <w:rPr>
                <w:sz w:val="1"/>
                <w:szCs w:val="1"/>
                <w:color w:val="auto"/>
              </w:rPr>
            </w:pPr>
          </w:p>
        </w:tc>
      </w:tr>
      <w:tr>
        <w:trPr>
          <w:trHeight w:val="58"/>
        </w:trPr>
        <w:tc>
          <w:tcPr>
            <w:tcW w:w="8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Advances from affiliates</w:t>
            </w: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31,968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25,283</w:t>
            </w:r>
          </w:p>
        </w:tc>
        <w:tc>
          <w:tcPr>
            <w:tcW w:w="0" w:type="dxa"/>
            <w:vAlign w:val="bottom"/>
          </w:tcPr>
          <w:p>
            <w:pPr>
              <w:spacing w:after="0"/>
              <w:rPr>
                <w:sz w:val="1"/>
                <w:szCs w:val="1"/>
                <w:color w:val="auto"/>
              </w:rPr>
            </w:pPr>
          </w:p>
        </w:tc>
      </w:tr>
      <w:tr>
        <w:trPr>
          <w:trHeight w:val="62"/>
        </w:trPr>
        <w:tc>
          <w:tcPr>
            <w:tcW w:w="82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180"/>
              <w:spacing w:after="0"/>
              <w:rPr>
                <w:sz w:val="20"/>
                <w:szCs w:val="20"/>
                <w:color w:val="auto"/>
              </w:rPr>
            </w:pPr>
            <w:r>
              <w:rPr>
                <w:rFonts w:ascii="Arial" w:cs="Arial" w:eastAsia="Arial" w:hAnsi="Arial"/>
                <w:sz w:val="15"/>
                <w:szCs w:val="15"/>
                <w:color w:val="auto"/>
              </w:rPr>
              <w:t>Other noncurrent liabilities</w:t>
            </w:r>
          </w:p>
        </w:tc>
        <w:tc>
          <w:tcPr>
            <w:tcW w:w="340" w:type="dxa"/>
            <w:vAlign w:val="bottom"/>
          </w:tcPr>
          <w:p>
            <w:pPr>
              <w:spacing w:after="0"/>
              <w:rPr>
                <w:sz w:val="18"/>
                <w:szCs w:val="18"/>
                <w:color w:val="auto"/>
              </w:rPr>
            </w:pP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83,307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restart"/>
          </w:tcPr>
          <w:p>
            <w:pPr>
              <w:jc w:val="right"/>
              <w:ind w:right="23"/>
              <w:spacing w:after="0"/>
              <w:rPr>
                <w:sz w:val="20"/>
                <w:szCs w:val="20"/>
                <w:color w:val="auto"/>
              </w:rPr>
            </w:pPr>
            <w:r>
              <w:rPr>
                <w:rFonts w:ascii="Arial" w:cs="Arial" w:eastAsia="Arial" w:hAnsi="Arial"/>
                <w:sz w:val="15"/>
                <w:szCs w:val="15"/>
                <w:color w:val="auto"/>
              </w:rPr>
              <w:t>84,058</w:t>
            </w:r>
          </w:p>
        </w:tc>
        <w:tc>
          <w:tcPr>
            <w:tcW w:w="0" w:type="dxa"/>
            <w:vAlign w:val="bottom"/>
          </w:tcPr>
          <w:p>
            <w:pPr>
              <w:spacing w:after="0"/>
              <w:rPr>
                <w:sz w:val="1"/>
                <w:szCs w:val="1"/>
                <w:color w:val="auto"/>
              </w:rPr>
            </w:pPr>
          </w:p>
        </w:tc>
      </w:tr>
      <w:tr>
        <w:trPr>
          <w:trHeight w:val="58"/>
        </w:trPr>
        <w:tc>
          <w:tcPr>
            <w:tcW w:w="82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Total noncurrent liabilities</w:t>
            </w: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4,266,200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2,716,679</w:t>
            </w:r>
          </w:p>
        </w:tc>
        <w:tc>
          <w:tcPr>
            <w:tcW w:w="0" w:type="dxa"/>
            <w:vAlign w:val="bottom"/>
          </w:tcPr>
          <w:p>
            <w:pPr>
              <w:spacing w:after="0"/>
              <w:rPr>
                <w:sz w:val="1"/>
                <w:szCs w:val="1"/>
                <w:color w:val="auto"/>
              </w:rPr>
            </w:pPr>
          </w:p>
        </w:tc>
      </w:tr>
      <w:tr>
        <w:trPr>
          <w:trHeight w:val="62"/>
        </w:trPr>
        <w:tc>
          <w:tcPr>
            <w:tcW w:w="826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8260" w:type="dxa"/>
            <w:vAlign w:val="bottom"/>
          </w:tcPr>
          <w:p>
            <w:pPr>
              <w:ind w:left="380"/>
              <w:spacing w:after="0"/>
              <w:rPr>
                <w:sz w:val="20"/>
                <w:szCs w:val="20"/>
                <w:color w:val="auto"/>
              </w:rPr>
            </w:pPr>
            <w:r>
              <w:rPr>
                <w:rFonts w:ascii="Arial" w:cs="Arial" w:eastAsia="Arial" w:hAnsi="Arial"/>
                <w:sz w:val="15"/>
                <w:szCs w:val="15"/>
                <w:color w:val="auto"/>
              </w:rPr>
              <w:t>Total liabilities</w:t>
            </w:r>
          </w:p>
        </w:tc>
        <w:tc>
          <w:tcPr>
            <w:tcW w:w="340" w:type="dxa"/>
            <w:vAlign w:val="bottom"/>
          </w:tcPr>
          <w:p>
            <w:pPr>
              <w:spacing w:after="0"/>
              <w:rPr>
                <w:sz w:val="16"/>
                <w:szCs w:val="16"/>
                <w:color w:val="auto"/>
              </w:rPr>
            </w:pP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4,626,511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3"/>
              <w:spacing w:after="0"/>
              <w:rPr>
                <w:sz w:val="20"/>
                <w:szCs w:val="20"/>
                <w:color w:val="auto"/>
              </w:rPr>
            </w:pPr>
            <w:r>
              <w:rPr>
                <w:rFonts w:ascii="Arial" w:cs="Arial" w:eastAsia="Arial" w:hAnsi="Arial"/>
                <w:sz w:val="15"/>
                <w:szCs w:val="15"/>
                <w:color w:val="auto"/>
              </w:rPr>
              <w:t>3,029,639</w:t>
            </w:r>
          </w:p>
        </w:tc>
        <w:tc>
          <w:tcPr>
            <w:tcW w:w="0" w:type="dxa"/>
            <w:vAlign w:val="bottom"/>
          </w:tcPr>
          <w:p>
            <w:pPr>
              <w:spacing w:after="0"/>
              <w:rPr>
                <w:sz w:val="1"/>
                <w:szCs w:val="1"/>
                <w:color w:val="auto"/>
              </w:rPr>
            </w:pPr>
          </w:p>
        </w:tc>
      </w:tr>
      <w:tr>
        <w:trPr>
          <w:trHeight w:val="58"/>
        </w:trPr>
        <w:tc>
          <w:tcPr>
            <w:tcW w:w="82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Commitments and Contingencies (Note 13)</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82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40"/>
              <w:spacing w:after="0"/>
              <w:rPr>
                <w:sz w:val="20"/>
                <w:szCs w:val="20"/>
                <w:color w:val="auto"/>
              </w:rPr>
            </w:pPr>
            <w:r>
              <w:rPr>
                <w:rFonts w:ascii="Arial" w:cs="Arial" w:eastAsia="Arial" w:hAnsi="Arial"/>
                <w:sz w:val="15"/>
                <w:szCs w:val="15"/>
                <w:b w:val="1"/>
                <w:bCs w:val="1"/>
                <w:color w:val="auto"/>
              </w:rPr>
              <w:t>Shareholders’ Equity: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Preferred Stock, $0.001 par value; 1,000,000 shares authorized:</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2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260" w:type="dxa"/>
            <w:vAlign w:val="bottom"/>
          </w:tcPr>
          <w:p>
            <w:pPr>
              <w:ind w:left="380"/>
              <w:spacing w:after="0"/>
              <w:rPr>
                <w:sz w:val="20"/>
                <w:szCs w:val="20"/>
                <w:color w:val="auto"/>
              </w:rPr>
            </w:pPr>
            <w:r>
              <w:rPr>
                <w:rFonts w:ascii="Arial" w:cs="Arial" w:eastAsia="Arial" w:hAnsi="Arial"/>
                <w:sz w:val="15"/>
                <w:szCs w:val="15"/>
                <w:color w:val="auto"/>
                <w:w w:val="95"/>
              </w:rPr>
              <w:t>Hughes Retail Preferred Tracking Stock, $0.001 par value; 300 shares authorized, 81.128 shares issued and outstanding at</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260" w:type="dxa"/>
            <w:vAlign w:val="bottom"/>
          </w:tcPr>
          <w:p>
            <w:pPr>
              <w:ind w:left="540"/>
              <w:spacing w:after="0"/>
              <w:rPr>
                <w:sz w:val="20"/>
                <w:szCs w:val="20"/>
                <w:color w:val="auto"/>
              </w:rPr>
            </w:pPr>
            <w:r>
              <w:rPr>
                <w:rFonts w:ascii="Arial" w:cs="Arial" w:eastAsia="Arial" w:hAnsi="Arial"/>
                <w:sz w:val="15"/>
                <w:szCs w:val="15"/>
                <w:color w:val="auto"/>
              </w:rPr>
              <w:t>each of December 31, 2016 and 2015</w:t>
            </w:r>
          </w:p>
        </w:tc>
        <w:tc>
          <w:tcPr>
            <w:tcW w:w="3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826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2"/>
              </w:rPr>
              <w:t>Common stock, $0.01 par value; 1,000,000 shares authorized, 1,000 shares issued and outstanding at each of December 31, 2016</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and 2015</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8260" w:type="dxa"/>
            <w:vAlign w:val="bottom"/>
          </w:tcPr>
          <w:p>
            <w:pPr>
              <w:ind w:left="180"/>
              <w:spacing w:after="0"/>
              <w:rPr>
                <w:sz w:val="20"/>
                <w:szCs w:val="20"/>
                <w:color w:val="auto"/>
              </w:rPr>
            </w:pPr>
            <w:r>
              <w:rPr>
                <w:rFonts w:ascii="Arial" w:cs="Arial" w:eastAsia="Arial" w:hAnsi="Arial"/>
                <w:sz w:val="15"/>
                <w:szCs w:val="15"/>
                <w:color w:val="auto"/>
              </w:rPr>
              <w:t>Additional paid-in capital</w:t>
            </w:r>
          </w:p>
        </w:tc>
        <w:tc>
          <w:tcPr>
            <w:tcW w:w="340" w:type="dxa"/>
            <w:vAlign w:val="bottom"/>
          </w:tcPr>
          <w:p>
            <w:pPr>
              <w:spacing w:after="0"/>
              <w:rPr>
                <w:sz w:val="18"/>
                <w:szCs w:val="18"/>
                <w:color w:val="auto"/>
              </w:rPr>
            </w:pP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1,516,199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restart"/>
          </w:tcPr>
          <w:p>
            <w:pPr>
              <w:jc w:val="right"/>
              <w:ind w:right="23"/>
              <w:spacing w:after="0"/>
              <w:rPr>
                <w:sz w:val="20"/>
                <w:szCs w:val="20"/>
                <w:color w:val="auto"/>
              </w:rPr>
            </w:pPr>
            <w:r>
              <w:rPr>
                <w:rFonts w:ascii="Arial" w:cs="Arial" w:eastAsia="Arial" w:hAnsi="Arial"/>
                <w:sz w:val="15"/>
                <w:szCs w:val="15"/>
                <w:color w:val="auto"/>
              </w:rPr>
              <w:t>1,417,748</w:t>
            </w:r>
          </w:p>
        </w:tc>
        <w:tc>
          <w:tcPr>
            <w:tcW w:w="0" w:type="dxa"/>
            <w:vAlign w:val="bottom"/>
          </w:tcPr>
          <w:p>
            <w:pPr>
              <w:spacing w:after="0"/>
              <w:rPr>
                <w:sz w:val="1"/>
                <w:szCs w:val="1"/>
                <w:color w:val="auto"/>
              </w:rPr>
            </w:pPr>
          </w:p>
        </w:tc>
      </w:tr>
      <w:tr>
        <w:trPr>
          <w:trHeight w:val="58"/>
        </w:trPr>
        <w:tc>
          <w:tcPr>
            <w:tcW w:w="8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Accumulated other comprehensive loss</w:t>
            </w: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(60,719)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(54,116)</w:t>
            </w:r>
          </w:p>
        </w:tc>
        <w:tc>
          <w:tcPr>
            <w:tcW w:w="0" w:type="dxa"/>
            <w:vAlign w:val="bottom"/>
          </w:tcPr>
          <w:p>
            <w:pPr>
              <w:spacing w:after="0"/>
              <w:rPr>
                <w:sz w:val="1"/>
                <w:szCs w:val="1"/>
                <w:color w:val="auto"/>
              </w:rPr>
            </w:pPr>
          </w:p>
        </w:tc>
      </w:tr>
      <w:tr>
        <w:trPr>
          <w:trHeight w:val="62"/>
        </w:trPr>
        <w:tc>
          <w:tcPr>
            <w:tcW w:w="82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180"/>
              <w:spacing w:after="0"/>
              <w:rPr>
                <w:sz w:val="20"/>
                <w:szCs w:val="20"/>
                <w:color w:val="auto"/>
              </w:rPr>
            </w:pPr>
            <w:r>
              <w:rPr>
                <w:rFonts w:ascii="Arial" w:cs="Arial" w:eastAsia="Arial" w:hAnsi="Arial"/>
                <w:sz w:val="15"/>
                <w:szCs w:val="15"/>
                <w:color w:val="auto"/>
              </w:rPr>
              <w:t>Accumulated earnings</w:t>
            </w:r>
          </w:p>
        </w:tc>
        <w:tc>
          <w:tcPr>
            <w:tcW w:w="340" w:type="dxa"/>
            <w:vAlign w:val="bottom"/>
          </w:tcPr>
          <w:p>
            <w:pPr>
              <w:spacing w:after="0"/>
              <w:rPr>
                <w:sz w:val="18"/>
                <w:szCs w:val="18"/>
                <w:color w:val="auto"/>
              </w:rPr>
            </w:pP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286,713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restart"/>
          </w:tcPr>
          <w:p>
            <w:pPr>
              <w:jc w:val="right"/>
              <w:ind w:right="23"/>
              <w:spacing w:after="0"/>
              <w:rPr>
                <w:sz w:val="20"/>
                <w:szCs w:val="20"/>
                <w:color w:val="auto"/>
              </w:rPr>
            </w:pPr>
            <w:r>
              <w:rPr>
                <w:rFonts w:ascii="Arial" w:cs="Arial" w:eastAsia="Arial" w:hAnsi="Arial"/>
                <w:sz w:val="15"/>
                <w:szCs w:val="15"/>
                <w:color w:val="auto"/>
              </w:rPr>
              <w:t>166,698</w:t>
            </w:r>
          </w:p>
        </w:tc>
        <w:tc>
          <w:tcPr>
            <w:tcW w:w="0" w:type="dxa"/>
            <w:vAlign w:val="bottom"/>
          </w:tcPr>
          <w:p>
            <w:pPr>
              <w:spacing w:after="0"/>
              <w:rPr>
                <w:sz w:val="1"/>
                <w:szCs w:val="1"/>
                <w:color w:val="auto"/>
              </w:rPr>
            </w:pPr>
          </w:p>
        </w:tc>
      </w:tr>
      <w:tr>
        <w:trPr>
          <w:trHeight w:val="58"/>
        </w:trPr>
        <w:tc>
          <w:tcPr>
            <w:tcW w:w="82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Total HSS shareholders’ equity</w:t>
            </w: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1,742,193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1,530,330</w:t>
            </w:r>
          </w:p>
        </w:tc>
        <w:tc>
          <w:tcPr>
            <w:tcW w:w="0" w:type="dxa"/>
            <w:vAlign w:val="bottom"/>
          </w:tcPr>
          <w:p>
            <w:pPr>
              <w:spacing w:after="0"/>
              <w:rPr>
                <w:sz w:val="1"/>
                <w:szCs w:val="1"/>
                <w:color w:val="auto"/>
              </w:rPr>
            </w:pPr>
          </w:p>
        </w:tc>
      </w:tr>
      <w:tr>
        <w:trPr>
          <w:trHeight w:val="62"/>
        </w:trPr>
        <w:tc>
          <w:tcPr>
            <w:tcW w:w="82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40"/>
              <w:spacing w:after="0"/>
              <w:rPr>
                <w:sz w:val="20"/>
                <w:szCs w:val="20"/>
                <w:color w:val="auto"/>
              </w:rPr>
            </w:pPr>
            <w:r>
              <w:rPr>
                <w:rFonts w:ascii="Arial" w:cs="Arial" w:eastAsia="Arial" w:hAnsi="Arial"/>
                <w:sz w:val="15"/>
                <w:szCs w:val="15"/>
                <w:color w:val="auto"/>
              </w:rPr>
              <w:t>Noncontrolling interests</w:t>
            </w:r>
          </w:p>
        </w:tc>
        <w:tc>
          <w:tcPr>
            <w:tcW w:w="340" w:type="dxa"/>
            <w:vAlign w:val="bottom"/>
          </w:tcPr>
          <w:p>
            <w:pPr>
              <w:spacing w:after="0"/>
              <w:rPr>
                <w:sz w:val="18"/>
                <w:szCs w:val="18"/>
                <w:color w:val="auto"/>
              </w:rPr>
            </w:pP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12,830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restart"/>
          </w:tcPr>
          <w:p>
            <w:pPr>
              <w:jc w:val="right"/>
              <w:ind w:right="23"/>
              <w:spacing w:after="0"/>
              <w:rPr>
                <w:sz w:val="20"/>
                <w:szCs w:val="20"/>
                <w:color w:val="auto"/>
              </w:rPr>
            </w:pPr>
            <w:r>
              <w:rPr>
                <w:rFonts w:ascii="Arial" w:cs="Arial" w:eastAsia="Arial" w:hAnsi="Arial"/>
                <w:sz w:val="15"/>
                <w:szCs w:val="15"/>
                <w:color w:val="auto"/>
              </w:rPr>
              <w:t>11,310</w:t>
            </w:r>
          </w:p>
        </w:tc>
        <w:tc>
          <w:tcPr>
            <w:tcW w:w="0" w:type="dxa"/>
            <w:vAlign w:val="bottom"/>
          </w:tcPr>
          <w:p>
            <w:pPr>
              <w:spacing w:after="0"/>
              <w:rPr>
                <w:sz w:val="1"/>
                <w:szCs w:val="1"/>
                <w:color w:val="auto"/>
              </w:rPr>
            </w:pPr>
          </w:p>
        </w:tc>
      </w:tr>
      <w:tr>
        <w:trPr>
          <w:trHeight w:val="58"/>
        </w:trPr>
        <w:tc>
          <w:tcPr>
            <w:tcW w:w="82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shareholders’ equity</w:t>
            </w: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1,755,023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1,541,640</w:t>
            </w:r>
          </w:p>
        </w:tc>
        <w:tc>
          <w:tcPr>
            <w:tcW w:w="0" w:type="dxa"/>
            <w:vAlign w:val="bottom"/>
          </w:tcPr>
          <w:p>
            <w:pPr>
              <w:spacing w:after="0"/>
              <w:rPr>
                <w:sz w:val="1"/>
                <w:szCs w:val="1"/>
                <w:color w:val="auto"/>
              </w:rPr>
            </w:pPr>
          </w:p>
        </w:tc>
      </w:tr>
      <w:tr>
        <w:trPr>
          <w:trHeight w:val="62"/>
        </w:trPr>
        <w:tc>
          <w:tcPr>
            <w:tcW w:w="826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600"/>
              <w:spacing w:after="0"/>
              <w:rPr>
                <w:sz w:val="20"/>
                <w:szCs w:val="20"/>
                <w:color w:val="auto"/>
              </w:rPr>
            </w:pPr>
            <w:r>
              <w:rPr>
                <w:rFonts w:ascii="Arial" w:cs="Arial" w:eastAsia="Arial" w:hAnsi="Arial"/>
                <w:sz w:val="15"/>
                <w:szCs w:val="15"/>
                <w:color w:val="auto"/>
              </w:rPr>
              <w:t>Total liabilities and shareholders’ equity</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6,381,534</w:t>
            </w:r>
          </w:p>
        </w:tc>
        <w:tc>
          <w:tcPr>
            <w:tcW w:w="100" w:type="dxa"/>
            <w:vAlign w:val="bottom"/>
          </w:tcPr>
          <w:p>
            <w:pPr>
              <w:spacing w:after="0"/>
              <w:rPr>
                <w:sz w:val="19"/>
                <w:szCs w:val="19"/>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4,571,279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5080</wp:posOffset>
            </wp:positionV>
            <wp:extent cx="1920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-130175</wp:posOffset>
            </wp:positionV>
            <wp:extent cx="19208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2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80"/>
          </w:cols>
          <w:pgMar w:left="240" w:top="125" w:right="379" w:bottom="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66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880" w:type="dxa"/>
            <w:vAlign w:val="bottom"/>
            <w:gridSpan w:val="4"/>
          </w:tcPr>
          <w:p>
            <w:pPr>
              <w:jc w:val="center"/>
              <w:ind w:left="1890"/>
              <w:spacing w:after="0"/>
              <w:rPr>
                <w:sz w:val="20"/>
                <w:szCs w:val="20"/>
                <w:color w:val="auto"/>
              </w:rPr>
            </w:pPr>
            <w:r>
              <w:rPr>
                <w:rFonts w:ascii="Arial" w:cs="Arial" w:eastAsia="Arial" w:hAnsi="Arial"/>
                <w:sz w:val="18"/>
                <w:szCs w:val="18"/>
                <w:b w:val="1"/>
                <w:bCs w:val="1"/>
                <w:color w:val="auto"/>
                <w:w w:val="99"/>
              </w:rPr>
              <w:t>HUGHES SATELLITE SYSTEMS CORPORATION</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8440" w:type="dxa"/>
            <w:vAlign w:val="bottom"/>
            <w:gridSpan w:val="7"/>
          </w:tcPr>
          <w:p>
            <w:pPr>
              <w:jc w:val="center"/>
              <w:ind w:left="330"/>
              <w:spacing w:after="0"/>
              <w:rPr>
                <w:sz w:val="20"/>
                <w:szCs w:val="20"/>
                <w:color w:val="auto"/>
              </w:rPr>
            </w:pPr>
            <w:r>
              <w:rPr>
                <w:rFonts w:ascii="Arial" w:cs="Arial" w:eastAsia="Arial" w:hAnsi="Arial"/>
                <w:sz w:val="18"/>
                <w:szCs w:val="18"/>
                <w:b w:val="1"/>
                <w:bCs w:val="1"/>
                <w:color w:val="auto"/>
                <w:w w:val="99"/>
              </w:rPr>
              <w:t>CONSOLIDATED STATEMENTS OF OPERATIONS AND COMPREHENSIVE INCOME (LOSS)</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5340" w:type="dxa"/>
            <w:vAlign w:val="bottom"/>
          </w:tcPr>
          <w:p>
            <w:pPr>
              <w:ind w:left="3900"/>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84"/>
              </w:rPr>
              <w:t>2014</w:t>
            </w:r>
          </w:p>
        </w:tc>
      </w:tr>
      <w:tr>
        <w:trPr>
          <w:trHeight w:val="27"/>
        </w:trPr>
        <w:tc>
          <w:tcPr>
            <w:tcW w:w="128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449,547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518,853</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487,985</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 and other revenue - other</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1,103,127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1,095,249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1,077,101</w:t>
            </w:r>
          </w:p>
        </w:tc>
      </w:tr>
      <w:tr>
        <w:trPr>
          <w:trHeight w:val="243"/>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Equipment revenue - DISH Network</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8,840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10,752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31,943</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revenue - other</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238,279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212,278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210,948</w:t>
            </w:r>
          </w:p>
        </w:tc>
      </w:tr>
      <w:tr>
        <w:trPr>
          <w:trHeight w:val="237"/>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1,799,793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1,837,132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1,807,977</w:t>
            </w:r>
          </w:p>
        </w:tc>
      </w:tr>
      <w:tr>
        <w:trPr>
          <w:trHeight w:val="27"/>
        </w:trPr>
        <w:tc>
          <w:tcPr>
            <w:tcW w:w="128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Cost of sales - services and other (exclusive of depreciation and amortization)</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517,957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525,471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535,918</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sales - equipment (exclusive of 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204,753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195,537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209,022</w:t>
            </w:r>
          </w:p>
        </w:tc>
      </w:tr>
      <w:tr>
        <w:trPr>
          <w:trHeight w:val="243"/>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281,048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276,616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264,610</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26,377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20,192</w:t>
            </w:r>
          </w:p>
        </w:tc>
      </w:tr>
      <w:tr>
        <w:trPr>
          <w:trHeight w:val="243"/>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414,133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430,127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452,138</w:t>
            </w:r>
          </w:p>
        </w:tc>
      </w:tr>
      <w:tr>
        <w:trPr>
          <w:trHeight w:val="27"/>
        </w:trPr>
        <w:tc>
          <w:tcPr>
            <w:tcW w:w="128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1,449,061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1,454,128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1,481,880</w:t>
            </w:r>
          </w:p>
        </w:tc>
      </w:tr>
      <w:tr>
        <w:trPr>
          <w:trHeight w:val="237"/>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350,732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383,004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326,097</w:t>
            </w:r>
          </w:p>
        </w:tc>
      </w:tr>
      <w:tr>
        <w:trPr>
          <w:trHeight w:val="27"/>
        </w:trPr>
        <w:tc>
          <w:tcPr>
            <w:tcW w:w="128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12,598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4,416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3,234</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(191,258)</w:t>
            </w:r>
          </w:p>
        </w:tc>
      </w:tr>
      <w:tr>
        <w:trPr>
          <w:trHeight w:val="243"/>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Loss from partial redemption of debt</w:t>
            </w:r>
          </w:p>
        </w:tc>
        <w:tc>
          <w:tcPr>
            <w:tcW w:w="3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Gains (losses) on marketable investment securities,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Other-than-temporary impairment loss on available-for-sale securities</w:t>
            </w:r>
          </w:p>
        </w:tc>
        <w:tc>
          <w:tcPr>
            <w:tcW w:w="3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(6,139)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Equity in earnings of unconsolidated affiliate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5,121</w:t>
            </w:r>
          </w:p>
        </w:tc>
      </w:tr>
      <w:tr>
        <w:trPr>
          <w:trHeight w:val="243"/>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7"/>
        </w:trPr>
        <w:tc>
          <w:tcPr>
            <w:tcW w:w="128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(171,656)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(183,420)</w:t>
            </w:r>
          </w:p>
        </w:tc>
      </w:tr>
      <w:tr>
        <w:trPr>
          <w:trHeight w:val="237"/>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195,480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211,348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142,677</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provision, net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(72,364)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(40,095)</w:t>
            </w:r>
          </w:p>
        </w:tc>
      </w:tr>
      <w:tr>
        <w:trPr>
          <w:trHeight w:val="237"/>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121,721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138,984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102,582</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w:t>
            </w:r>
          </w:p>
        </w:tc>
      </w:tr>
      <w:tr>
        <w:trPr>
          <w:trHeight w:val="237"/>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Net income attributable to HSS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120,015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137,367</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101,193</w:t>
            </w:r>
          </w:p>
        </w:tc>
      </w:tr>
      <w:tr>
        <w:trPr>
          <w:trHeight w:val="67"/>
        </w:trPr>
        <w:tc>
          <w:tcPr>
            <w:tcW w:w="1280" w:type="dxa"/>
            <w:vAlign w:val="bottom"/>
            <w:tcBorders>
              <w:bottom w:val="single" w:sz="8" w:color="CCEEFF"/>
            </w:tcBorders>
          </w:tcPr>
          <w:p>
            <w:pPr>
              <w:spacing w:after="0"/>
              <w:rPr>
                <w:sz w:val="5"/>
                <w:szCs w:val="5"/>
                <w:color w:val="auto"/>
              </w:rPr>
            </w:pPr>
          </w:p>
        </w:tc>
        <w:tc>
          <w:tcPr>
            <w:tcW w:w="53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31"/>
        </w:trPr>
        <w:tc>
          <w:tcPr>
            <w:tcW w:w="66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121,721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138,984</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102,582</w:t>
            </w:r>
          </w:p>
        </w:tc>
      </w:tr>
      <w:tr>
        <w:trPr>
          <w:trHeight w:val="27"/>
        </w:trPr>
        <w:tc>
          <w:tcPr>
            <w:tcW w:w="128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(25,012)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(8,789)</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Unrealized gains (losses) on available-for-sale securities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r>
      <w:tr>
        <w:trPr>
          <w:trHeight w:val="243"/>
        </w:trPr>
        <w:tc>
          <w:tcPr>
            <w:tcW w:w="6620" w:type="dxa"/>
            <w:vAlign w:val="bottom"/>
            <w:gridSpan w:val="2"/>
          </w:tcPr>
          <w:p>
            <w:pPr>
              <w:ind w:left="180"/>
              <w:spacing w:after="0"/>
              <w:rPr>
                <w:sz w:val="20"/>
                <w:szCs w:val="20"/>
                <w:color w:val="auto"/>
              </w:rPr>
            </w:pPr>
            <w:r>
              <w:rPr>
                <w:rFonts w:ascii="Arial" w:cs="Arial" w:eastAsia="Arial" w:hAnsi="Arial"/>
                <w:sz w:val="18"/>
                <w:szCs w:val="18"/>
                <w:color w:val="auto"/>
                <w:w w:val="93"/>
              </w:rPr>
              <w:t>Recognition of other-than-temporary loss on available-for-sale securities in net income</w:t>
            </w:r>
          </w:p>
        </w:tc>
        <w:tc>
          <w:tcPr>
            <w:tcW w:w="3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6,139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7"/>
              </w:rPr>
              <w:t>Recognition of realized (gains) losses on available-for-sale securities in net income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37"/>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Total other comprehensive loss, net of tax</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(23,090)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(12,939)</w:t>
            </w:r>
          </w:p>
        </w:tc>
      </w:tr>
      <w:tr>
        <w:trPr>
          <w:trHeight w:val="27"/>
        </w:trPr>
        <w:tc>
          <w:tcPr>
            <w:tcW w:w="128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114,932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115,894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89,643</w:t>
            </w:r>
          </w:p>
        </w:tc>
      </w:tr>
      <w:tr>
        <w:trPr>
          <w:trHeight w:val="243"/>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1,152</w:t>
            </w:r>
          </w:p>
        </w:tc>
      </w:tr>
      <w:tr>
        <w:trPr>
          <w:trHeight w:val="27"/>
        </w:trPr>
        <w:tc>
          <w:tcPr>
            <w:tcW w:w="128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HSS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113,412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114,597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88,491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60"/>
          </w:cols>
          <w:pgMar w:left="240" w:top="108" w:right="4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HUGHES SATELLITE SYSTEMS CORPORATION CONSOLIDATED STATEMENTS OF CHANGES IN SHAREHOLDERS’ EQUITY </w:t>
      </w:r>
      <w:r>
        <w:rPr>
          <w:rFonts w:ascii="Arial" w:cs="Arial" w:eastAsia="Arial" w:hAnsi="Arial"/>
          <w:sz w:val="18"/>
          <w:szCs w:val="18"/>
          <w:color w:val="auto"/>
        </w:rPr>
        <w:t>(In thousands)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Income/</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(Deficit)</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January 1, 2014</w:t>
            </w: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1,106,463</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(18,644)</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(71,862)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8,861</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1,024,818</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3,152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3,152</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Hughes Retail Preferred Tracking Stock (Note 3)</w:t>
            </w:r>
          </w:p>
        </w:tc>
        <w:tc>
          <w:tcPr>
            <w:tcW w:w="2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252,990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252,990</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(1,006)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4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101,193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1,389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102,582</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240" w:type="dxa"/>
            <w:vAlign w:val="bottom"/>
          </w:tcPr>
          <w:p>
            <w:pPr>
              <w:spacing w:after="0"/>
              <w:rPr>
                <w:sz w:val="16"/>
                <w:szCs w:val="16"/>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vMerge w:val="restart"/>
          </w:tcPr>
          <w:p>
            <w:pPr>
              <w:jc w:val="right"/>
              <w:ind w:right="8"/>
              <w:spacing w:after="0"/>
              <w:rPr>
                <w:sz w:val="20"/>
                <w:szCs w:val="20"/>
                <w:color w:val="auto"/>
              </w:rPr>
            </w:pPr>
            <w:r>
              <w:rPr>
                <w:rFonts w:ascii="Arial" w:cs="Arial" w:eastAsia="Arial" w:hAnsi="Arial"/>
                <w:sz w:val="14"/>
                <w:szCs w:val="14"/>
                <w:color w:val="auto"/>
              </w:rPr>
              <w:t>(8,552)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(8,789)</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losses on available-for-sale securities, net and other</w:t>
            </w:r>
          </w:p>
        </w:tc>
        <w:tc>
          <w:tcPr>
            <w:tcW w:w="24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(4,150)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(4,150)</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2014</w:t>
            </w:r>
          </w:p>
        </w:tc>
        <w:tc>
          <w:tcPr>
            <w:tcW w:w="2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1,361,599</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(31,346)</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29,331</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10,013</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1,369,597</w:t>
            </w:r>
          </w:p>
        </w:tc>
        <w:tc>
          <w:tcPr>
            <w:tcW w:w="0" w:type="dxa"/>
            <w:vAlign w:val="bottom"/>
          </w:tcPr>
          <w:p>
            <w:pPr>
              <w:spacing w:after="0"/>
              <w:rPr>
                <w:sz w:val="1"/>
                <w:szCs w:val="1"/>
                <w:color w:val="auto"/>
              </w:rPr>
            </w:pPr>
          </w:p>
        </w:tc>
      </w:tr>
      <w:tr>
        <w:trPr>
          <w:trHeight w:val="74"/>
        </w:trPr>
        <w:tc>
          <w:tcPr>
            <w:tcW w:w="4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2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5,204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5,204</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4120" w:type="dxa"/>
            <w:vAlign w:val="bottom"/>
          </w:tcPr>
          <w:p>
            <w:pPr>
              <w:ind w:left="40"/>
              <w:spacing w:after="0" w:line="157" w:lineRule="exact"/>
              <w:rPr>
                <w:sz w:val="20"/>
                <w:szCs w:val="20"/>
                <w:color w:val="auto"/>
              </w:rPr>
            </w:pPr>
            <w:r>
              <w:rPr>
                <w:rFonts w:ascii="Arial" w:cs="Arial" w:eastAsia="Arial" w:hAnsi="Arial"/>
                <w:sz w:val="14"/>
                <w:szCs w:val="14"/>
                <w:color w:val="auto"/>
                <w:w w:val="98"/>
              </w:rPr>
              <w:t>Transfer of EchoStar XXI launch service contract from EchoStar to</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120" w:type="dxa"/>
            <w:vAlign w:val="bottom"/>
          </w:tcPr>
          <w:p>
            <w:pPr>
              <w:ind w:left="200"/>
              <w:spacing w:after="0"/>
              <w:rPr>
                <w:sz w:val="20"/>
                <w:szCs w:val="20"/>
                <w:color w:val="auto"/>
              </w:rPr>
            </w:pPr>
            <w:r>
              <w:rPr>
                <w:rFonts w:ascii="Arial" w:cs="Arial" w:eastAsia="Arial" w:hAnsi="Arial"/>
                <w:sz w:val="14"/>
                <w:szCs w:val="14"/>
                <w:color w:val="auto"/>
              </w:rPr>
              <w:t>HNS</w:t>
            </w:r>
          </w:p>
        </w:tc>
        <w:tc>
          <w:tcPr>
            <w:tcW w:w="24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52,250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52,250</w:t>
            </w: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(1,305)</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40" w:type="dxa"/>
            <w:vAlign w:val="bottom"/>
          </w:tcPr>
          <w:p>
            <w:pPr>
              <w:spacing w:after="0"/>
              <w:rPr>
                <w:sz w:val="16"/>
                <w:szCs w:val="16"/>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137,367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1,617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138,984</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24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(24,692)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(25,012)</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4120" w:type="dxa"/>
            <w:vAlign w:val="bottom"/>
          </w:tcPr>
          <w:p>
            <w:pPr>
              <w:ind w:left="40"/>
              <w:spacing w:after="0" w:line="157" w:lineRule="exact"/>
              <w:rPr>
                <w:sz w:val="20"/>
                <w:szCs w:val="20"/>
                <w:color w:val="auto"/>
              </w:rPr>
            </w:pPr>
            <w:r>
              <w:rPr>
                <w:rFonts w:ascii="Arial" w:cs="Arial" w:eastAsia="Arial" w:hAnsi="Arial"/>
                <w:sz w:val="14"/>
                <w:szCs w:val="14"/>
                <w:color w:val="auto"/>
              </w:rPr>
              <w:t>Unrealized gains and other-than-temporary impairment loss on</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120" w:type="dxa"/>
            <w:vAlign w:val="bottom"/>
          </w:tcPr>
          <w:p>
            <w:pPr>
              <w:ind w:left="200"/>
              <w:spacing w:after="0"/>
              <w:rPr>
                <w:sz w:val="20"/>
                <w:szCs w:val="20"/>
                <w:color w:val="auto"/>
              </w:rPr>
            </w:pPr>
            <w:r>
              <w:rPr>
                <w:rFonts w:ascii="Arial" w:cs="Arial" w:eastAsia="Arial" w:hAnsi="Arial"/>
                <w:sz w:val="14"/>
                <w:szCs w:val="14"/>
                <w:color w:val="auto"/>
              </w:rPr>
              <w:t>available-for-sale securities, net and other</w:t>
            </w:r>
          </w:p>
        </w:tc>
        <w:tc>
          <w:tcPr>
            <w:tcW w:w="24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1,922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1,922</w:t>
            </w:r>
          </w:p>
        </w:tc>
        <w:tc>
          <w:tcPr>
            <w:tcW w:w="0" w:type="dxa"/>
            <w:vAlign w:val="bottom"/>
          </w:tcPr>
          <w:p>
            <w:pPr>
              <w:spacing w:after="0"/>
              <w:rPr>
                <w:sz w:val="1"/>
                <w:szCs w:val="1"/>
                <w:color w:val="auto"/>
              </w:rPr>
            </w:pPr>
          </w:p>
        </w:tc>
      </w:tr>
      <w:tr>
        <w:trPr>
          <w:trHeight w:val="177"/>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2015</w:t>
            </w:r>
          </w:p>
        </w:tc>
        <w:tc>
          <w:tcPr>
            <w:tcW w:w="2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1,417,748</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(54,116)</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166,698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11,310</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1,541,640</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12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4"/>
                <w:szCs w:val="14"/>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4,822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4,822</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Transfer of EchoStar XXIII launch service contract from EchoStar</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 HNS</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70,300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70,300</w:t>
            </w:r>
          </w:p>
        </w:tc>
        <w:tc>
          <w:tcPr>
            <w:tcW w:w="0" w:type="dxa"/>
            <w:vAlign w:val="bottom"/>
          </w:tcPr>
          <w:p>
            <w:pPr>
              <w:spacing w:after="0"/>
              <w:rPr>
                <w:sz w:val="1"/>
                <w:szCs w:val="1"/>
                <w:color w:val="auto"/>
              </w:rPr>
            </w:pPr>
          </w:p>
        </w:tc>
      </w:tr>
      <w:tr>
        <w:trPr>
          <w:trHeight w:val="157"/>
        </w:trPr>
        <w:tc>
          <w:tcPr>
            <w:tcW w:w="4120" w:type="dxa"/>
            <w:vAlign w:val="bottom"/>
          </w:tcPr>
          <w:p>
            <w:pPr>
              <w:ind w:left="40"/>
              <w:spacing w:after="0" w:line="157" w:lineRule="exact"/>
              <w:rPr>
                <w:sz w:val="20"/>
                <w:szCs w:val="20"/>
                <w:color w:val="auto"/>
              </w:rPr>
            </w:pPr>
            <w:r>
              <w:rPr>
                <w:rFonts w:ascii="Arial" w:cs="Arial" w:eastAsia="Arial" w:hAnsi="Arial"/>
                <w:sz w:val="14"/>
                <w:szCs w:val="14"/>
                <w:color w:val="auto"/>
              </w:rPr>
              <w:t>Contributions to fund EchoStar XXI launch service contract from</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120" w:type="dxa"/>
            <w:vAlign w:val="bottom"/>
          </w:tcPr>
          <w:p>
            <w:pPr>
              <w:ind w:left="200"/>
              <w:spacing w:after="0"/>
              <w:rPr>
                <w:sz w:val="20"/>
                <w:szCs w:val="20"/>
                <w:color w:val="auto"/>
              </w:rPr>
            </w:pPr>
            <w:r>
              <w:rPr>
                <w:rFonts w:ascii="Arial" w:cs="Arial" w:eastAsia="Arial" w:hAnsi="Arial"/>
                <w:sz w:val="14"/>
                <w:szCs w:val="14"/>
                <w:color w:val="auto"/>
              </w:rPr>
              <w:t>EchoStar to HNS</w:t>
            </w:r>
          </w:p>
        </w:tc>
        <w:tc>
          <w:tcPr>
            <w:tcW w:w="24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23,750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23,750</w:t>
            </w: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40" w:type="dxa"/>
            <w:vAlign w:val="bottom"/>
          </w:tcPr>
          <w:p>
            <w:pPr>
              <w:spacing w:after="0"/>
              <w:rPr>
                <w:sz w:val="16"/>
                <w:szCs w:val="16"/>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120,015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1,706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121,721</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24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(5,191)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(5,377)</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Unrealized losses on available-for-sale securities, net and other</w:t>
            </w:r>
          </w:p>
        </w:tc>
        <w:tc>
          <w:tcPr>
            <w:tcW w:w="240" w:type="dxa"/>
            <w:vAlign w:val="bottom"/>
          </w:tcPr>
          <w:p>
            <w:pPr>
              <w:spacing w:after="0"/>
              <w:rPr>
                <w:sz w:val="16"/>
                <w:szCs w:val="16"/>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vMerge w:val="restart"/>
          </w:tcPr>
          <w:p>
            <w:pPr>
              <w:jc w:val="right"/>
              <w:ind w:right="8"/>
              <w:spacing w:after="0"/>
              <w:rPr>
                <w:sz w:val="20"/>
                <w:szCs w:val="20"/>
                <w:color w:val="auto"/>
              </w:rPr>
            </w:pPr>
            <w:r>
              <w:rPr>
                <w:rFonts w:ascii="Arial" w:cs="Arial" w:eastAsia="Arial" w:hAnsi="Arial"/>
                <w:sz w:val="14"/>
                <w:szCs w:val="14"/>
                <w:color w:val="auto"/>
              </w:rPr>
              <w:t>(1,412)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(1,412)</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2016</w:t>
            </w: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1,516,199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(60,719)</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286,713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12,830</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1,755,023</w:t>
            </w:r>
          </w:p>
        </w:tc>
        <w:tc>
          <w:tcPr>
            <w:tcW w:w="0" w:type="dxa"/>
            <w:vAlign w:val="bottom"/>
          </w:tcPr>
          <w:p>
            <w:pPr>
              <w:spacing w:after="0"/>
              <w:rPr>
                <w:sz w:val="1"/>
                <w:szCs w:val="1"/>
                <w:color w:val="auto"/>
              </w:rPr>
            </w:pPr>
          </w:p>
        </w:tc>
      </w:tr>
      <w:tr>
        <w:trPr>
          <w:trHeight w:val="60"/>
        </w:trPr>
        <w:tc>
          <w:tcPr>
            <w:tcW w:w="412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5" w:right="239" w:bottom="1440" w:gutter="0" w:footer="0" w:header="0"/>
        </w:sectPr>
      </w:pPr>
    </w:p>
    <w:bookmarkStart w:id="51" w:name="page52"/>
    <w:bookmarkEnd w:id="51"/>
    <w:p>
      <w:pPr>
        <w:spacing w:after="0" w:line="8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7"/>
        </w:trPr>
        <w:tc>
          <w:tcPr>
            <w:tcW w:w="6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6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6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121,721</w:t>
            </w:r>
          </w:p>
        </w:tc>
        <w:tc>
          <w:tcPr>
            <w:tcW w:w="120" w:type="dxa"/>
            <w:vAlign w:val="bottom"/>
          </w:tcPr>
          <w:p>
            <w:pPr>
              <w:spacing w:after="0"/>
              <w:rPr>
                <w:sz w:val="16"/>
                <w:szCs w:val="16"/>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138,984</w:t>
            </w:r>
          </w:p>
        </w:tc>
        <w:tc>
          <w:tcPr>
            <w:tcW w:w="120" w:type="dxa"/>
            <w:vAlign w:val="bottom"/>
          </w:tcPr>
          <w:p>
            <w:pPr>
              <w:spacing w:after="0"/>
              <w:rPr>
                <w:sz w:val="16"/>
                <w:szCs w:val="16"/>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102,582</w:t>
            </w:r>
          </w:p>
        </w:tc>
        <w:tc>
          <w:tcPr>
            <w:tcW w:w="0" w:type="dxa"/>
            <w:vAlign w:val="bottom"/>
          </w:tcPr>
          <w:p>
            <w:pPr>
              <w:spacing w:after="0"/>
              <w:rPr>
                <w:sz w:val="1"/>
                <w:szCs w:val="1"/>
                <w:color w:val="auto"/>
              </w:rPr>
            </w:pPr>
          </w:p>
        </w:tc>
      </w:tr>
      <w:tr>
        <w:trPr>
          <w:trHeight w:val="74"/>
        </w:trPr>
        <w:tc>
          <w:tcPr>
            <w:tcW w:w="66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to net cash flows from operating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6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2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414,133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430,127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452,138</w:t>
            </w:r>
          </w:p>
        </w:tc>
        <w:tc>
          <w:tcPr>
            <w:tcW w:w="0" w:type="dxa"/>
            <w:vAlign w:val="bottom"/>
          </w:tcPr>
          <w:p>
            <w:pPr>
              <w:spacing w:after="0"/>
              <w:rPr>
                <w:sz w:val="1"/>
                <w:szCs w:val="1"/>
                <w:color w:val="auto"/>
              </w:rPr>
            </w:pPr>
          </w:p>
        </w:tc>
      </w:tr>
      <w:tr>
        <w:trPr>
          <w:trHeight w:val="74"/>
        </w:trPr>
        <w:tc>
          <w:tcPr>
            <w:tcW w:w="6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Amortization of debt issuance costs</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6,551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6,042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5,813</w:t>
            </w:r>
          </w:p>
        </w:tc>
        <w:tc>
          <w:tcPr>
            <w:tcW w:w="0" w:type="dxa"/>
            <w:vAlign w:val="bottom"/>
          </w:tcPr>
          <w:p>
            <w:pPr>
              <w:spacing w:after="0"/>
              <w:rPr>
                <w:sz w:val="1"/>
                <w:szCs w:val="1"/>
                <w:color w:val="auto"/>
              </w:rPr>
            </w:pPr>
          </w:p>
        </w:tc>
      </w:tr>
      <w:tr>
        <w:trPr>
          <w:trHeight w:val="80"/>
        </w:trPr>
        <w:tc>
          <w:tcPr>
            <w:tcW w:w="66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20" w:type="dxa"/>
            <w:vAlign w:val="bottom"/>
          </w:tcPr>
          <w:p>
            <w:pPr>
              <w:ind w:left="380"/>
              <w:spacing w:after="0"/>
              <w:rPr>
                <w:sz w:val="20"/>
                <w:szCs w:val="20"/>
                <w:color w:val="auto"/>
              </w:rPr>
            </w:pPr>
            <w:r>
              <w:rPr>
                <w:rFonts w:ascii="Arial" w:cs="Arial" w:eastAsia="Arial" w:hAnsi="Arial"/>
                <w:sz w:val="14"/>
                <w:szCs w:val="14"/>
                <w:color w:val="auto"/>
              </w:rPr>
              <w:t>Loss from partial redemption of debt</w:t>
            </w:r>
          </w:p>
        </w:tc>
        <w:tc>
          <w:tcPr>
            <w:tcW w:w="340" w:type="dxa"/>
            <w:vAlign w:val="bottom"/>
          </w:tcPr>
          <w:p>
            <w:pPr>
              <w:spacing w:after="0"/>
              <w:rPr>
                <w:sz w:val="16"/>
                <w:szCs w:val="16"/>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5,044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Losses (gains) and impairment on marketable investment securities, net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(6,995)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12,602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80"/>
        </w:trPr>
        <w:tc>
          <w:tcPr>
            <w:tcW w:w="66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20" w:type="dxa"/>
            <w:vAlign w:val="bottom"/>
          </w:tcPr>
          <w:p>
            <w:pPr>
              <w:ind w:left="380"/>
              <w:spacing w:after="0"/>
              <w:rPr>
                <w:sz w:val="20"/>
                <w:szCs w:val="20"/>
                <w:color w:val="auto"/>
              </w:rPr>
            </w:pPr>
            <w:r>
              <w:rPr>
                <w:rFonts w:ascii="Arial" w:cs="Arial" w:eastAsia="Arial" w:hAnsi="Arial"/>
                <w:sz w:val="14"/>
                <w:szCs w:val="14"/>
                <w:color w:val="auto"/>
              </w:rPr>
              <w:t>Equity in earnings of unconsolidated affiliate</w:t>
            </w: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(9,444)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(8,502)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(5,121)</w:t>
            </w:r>
          </w:p>
        </w:tc>
        <w:tc>
          <w:tcPr>
            <w:tcW w:w="0" w:type="dxa"/>
            <w:vAlign w:val="bottom"/>
          </w:tcPr>
          <w:p>
            <w:pPr>
              <w:spacing w:after="0"/>
              <w:rPr>
                <w:sz w:val="1"/>
                <w:szCs w:val="1"/>
                <w:color w:val="auto"/>
              </w:rPr>
            </w:pPr>
          </w:p>
        </w:tc>
      </w:tr>
      <w:tr>
        <w:trPr>
          <w:trHeight w:val="74"/>
        </w:trPr>
        <w:tc>
          <w:tcPr>
            <w:tcW w:w="6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Stock-based compensation</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4,822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5,204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3,152</w:t>
            </w:r>
          </w:p>
        </w:tc>
        <w:tc>
          <w:tcPr>
            <w:tcW w:w="0" w:type="dxa"/>
            <w:vAlign w:val="bottom"/>
          </w:tcPr>
          <w:p>
            <w:pPr>
              <w:spacing w:after="0"/>
              <w:rPr>
                <w:sz w:val="1"/>
                <w:szCs w:val="1"/>
                <w:color w:val="auto"/>
              </w:rPr>
            </w:pPr>
          </w:p>
        </w:tc>
      </w:tr>
      <w:tr>
        <w:trPr>
          <w:trHeight w:val="80"/>
        </w:trPr>
        <w:tc>
          <w:tcPr>
            <w:tcW w:w="66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20" w:type="dxa"/>
            <w:vAlign w:val="bottom"/>
          </w:tcPr>
          <w:p>
            <w:pPr>
              <w:ind w:left="380"/>
              <w:spacing w:after="0"/>
              <w:rPr>
                <w:sz w:val="20"/>
                <w:szCs w:val="20"/>
                <w:color w:val="auto"/>
              </w:rPr>
            </w:pPr>
            <w:r>
              <w:rPr>
                <w:rFonts w:ascii="Arial" w:cs="Arial" w:eastAsia="Arial" w:hAnsi="Arial"/>
                <w:sz w:val="14"/>
                <w:szCs w:val="14"/>
                <w:color w:val="auto"/>
              </w:rPr>
              <w:t>Deferred tax provision</w:t>
            </w: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70,901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68,011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33,492</w:t>
            </w:r>
          </w:p>
        </w:tc>
        <w:tc>
          <w:tcPr>
            <w:tcW w:w="0" w:type="dxa"/>
            <w:vAlign w:val="bottom"/>
          </w:tcPr>
          <w:p>
            <w:pPr>
              <w:spacing w:after="0"/>
              <w:rPr>
                <w:sz w:val="1"/>
                <w:szCs w:val="1"/>
                <w:color w:val="auto"/>
              </w:rPr>
            </w:pPr>
          </w:p>
        </w:tc>
      </w:tr>
      <w:tr>
        <w:trPr>
          <w:trHeight w:val="74"/>
        </w:trPr>
        <w:tc>
          <w:tcPr>
            <w:tcW w:w="6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received from unconsolidated entity</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2,400</w:t>
            </w:r>
          </w:p>
        </w:tc>
        <w:tc>
          <w:tcPr>
            <w:tcW w:w="0" w:type="dxa"/>
            <w:vAlign w:val="bottom"/>
          </w:tcPr>
          <w:p>
            <w:pPr>
              <w:spacing w:after="0"/>
              <w:rPr>
                <w:sz w:val="1"/>
                <w:szCs w:val="1"/>
                <w:color w:val="auto"/>
              </w:rPr>
            </w:pPr>
          </w:p>
        </w:tc>
      </w:tr>
      <w:tr>
        <w:trPr>
          <w:trHeight w:val="80"/>
        </w:trPr>
        <w:tc>
          <w:tcPr>
            <w:tcW w:w="66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20" w:type="dxa"/>
            <w:vAlign w:val="bottom"/>
          </w:tcPr>
          <w:p>
            <w:pPr>
              <w:ind w:left="380"/>
              <w:spacing w:after="0"/>
              <w:rPr>
                <w:sz w:val="20"/>
                <w:szCs w:val="20"/>
                <w:color w:val="auto"/>
              </w:rPr>
            </w:pPr>
            <w:r>
              <w:rPr>
                <w:rFonts w:ascii="Arial" w:cs="Arial" w:eastAsia="Arial" w:hAnsi="Arial"/>
                <w:sz w:val="14"/>
                <w:szCs w:val="14"/>
                <w:color w:val="auto"/>
              </w:rPr>
              <w:t>Proceeds from sale of trading securities</w:t>
            </w: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7,140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17,053</w:t>
            </w:r>
          </w:p>
        </w:tc>
        <w:tc>
          <w:tcPr>
            <w:tcW w:w="0" w:type="dxa"/>
            <w:vAlign w:val="bottom"/>
          </w:tcPr>
          <w:p>
            <w:pPr>
              <w:spacing w:after="0"/>
              <w:rPr>
                <w:sz w:val="1"/>
                <w:szCs w:val="1"/>
                <w:color w:val="auto"/>
              </w:rPr>
            </w:pPr>
          </w:p>
        </w:tc>
      </w:tr>
      <w:tr>
        <w:trPr>
          <w:trHeight w:val="74"/>
        </w:trPr>
        <w:tc>
          <w:tcPr>
            <w:tcW w:w="6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Changes in current assets and current liabilities, net: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6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20" w:type="dxa"/>
            <w:vAlign w:val="bottom"/>
          </w:tcPr>
          <w:p>
            <w:pPr>
              <w:ind w:left="600"/>
              <w:spacing w:after="0"/>
              <w:rPr>
                <w:sz w:val="20"/>
                <w:szCs w:val="20"/>
                <w:color w:val="auto"/>
              </w:rPr>
            </w:pPr>
            <w:r>
              <w:rPr>
                <w:rFonts w:ascii="Arial" w:cs="Arial" w:eastAsia="Arial" w:hAnsi="Arial"/>
                <w:sz w:val="14"/>
                <w:szCs w:val="14"/>
                <w:color w:val="auto"/>
              </w:rPr>
              <w:t>Trade accounts receivable, net</w:t>
            </w: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(39,092)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(20,873)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(20,061)</w:t>
            </w:r>
          </w:p>
        </w:tc>
        <w:tc>
          <w:tcPr>
            <w:tcW w:w="0" w:type="dxa"/>
            <w:vAlign w:val="bottom"/>
          </w:tcPr>
          <w:p>
            <w:pPr>
              <w:spacing w:after="0"/>
              <w:rPr>
                <w:sz w:val="1"/>
                <w:szCs w:val="1"/>
                <w:color w:val="auto"/>
              </w:rPr>
            </w:pPr>
          </w:p>
        </w:tc>
      </w:tr>
      <w:tr>
        <w:trPr>
          <w:trHeight w:val="74"/>
        </w:trPr>
        <w:tc>
          <w:tcPr>
            <w:tcW w:w="6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Advances to and from affiliates, net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(67,579)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(67,940)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8,057</w:t>
            </w:r>
          </w:p>
        </w:tc>
        <w:tc>
          <w:tcPr>
            <w:tcW w:w="0" w:type="dxa"/>
            <w:vAlign w:val="bottom"/>
          </w:tcPr>
          <w:p>
            <w:pPr>
              <w:spacing w:after="0"/>
              <w:rPr>
                <w:sz w:val="1"/>
                <w:szCs w:val="1"/>
                <w:color w:val="auto"/>
              </w:rPr>
            </w:pPr>
          </w:p>
        </w:tc>
      </w:tr>
      <w:tr>
        <w:trPr>
          <w:trHeight w:val="80"/>
        </w:trPr>
        <w:tc>
          <w:tcPr>
            <w:tcW w:w="66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20" w:type="dxa"/>
            <w:vAlign w:val="bottom"/>
          </w:tcPr>
          <w:p>
            <w:pPr>
              <w:ind w:left="600"/>
              <w:spacing w:after="0"/>
              <w:rPr>
                <w:sz w:val="20"/>
                <w:szCs w:val="20"/>
                <w:color w:val="auto"/>
              </w:rPr>
            </w:pPr>
            <w:r>
              <w:rPr>
                <w:rFonts w:ascii="Arial" w:cs="Arial" w:eastAsia="Arial" w:hAnsi="Arial"/>
                <w:sz w:val="14"/>
                <w:szCs w:val="14"/>
                <w:color w:val="auto"/>
              </w:rPr>
              <w:t>Trade accounts receivable - DISH Network</w:t>
            </w: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1,935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48,842</w:t>
            </w:r>
          </w:p>
        </w:tc>
        <w:tc>
          <w:tcPr>
            <w:tcW w:w="0" w:type="dxa"/>
            <w:vAlign w:val="bottom"/>
          </w:tcPr>
          <w:p>
            <w:pPr>
              <w:spacing w:after="0"/>
              <w:rPr>
                <w:sz w:val="1"/>
                <w:szCs w:val="1"/>
                <w:color w:val="auto"/>
              </w:rPr>
            </w:pPr>
          </w:p>
        </w:tc>
      </w:tr>
      <w:tr>
        <w:trPr>
          <w:trHeight w:val="74"/>
        </w:trPr>
        <w:tc>
          <w:tcPr>
            <w:tcW w:w="6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Inventory</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(13,221)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1,941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4,883</w:t>
            </w:r>
          </w:p>
        </w:tc>
        <w:tc>
          <w:tcPr>
            <w:tcW w:w="0" w:type="dxa"/>
            <w:vAlign w:val="bottom"/>
          </w:tcPr>
          <w:p>
            <w:pPr>
              <w:spacing w:after="0"/>
              <w:rPr>
                <w:sz w:val="1"/>
                <w:szCs w:val="1"/>
                <w:color w:val="auto"/>
              </w:rPr>
            </w:pPr>
          </w:p>
        </w:tc>
      </w:tr>
      <w:tr>
        <w:trPr>
          <w:trHeight w:val="80"/>
        </w:trPr>
        <w:tc>
          <w:tcPr>
            <w:tcW w:w="66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20" w:type="dxa"/>
            <w:vAlign w:val="bottom"/>
          </w:tcPr>
          <w:p>
            <w:pPr>
              <w:ind w:left="600"/>
              <w:spacing w:after="0"/>
              <w:rPr>
                <w:sz w:val="20"/>
                <w:szCs w:val="20"/>
                <w:color w:val="auto"/>
              </w:rPr>
            </w:pPr>
            <w:r>
              <w:rPr>
                <w:rFonts w:ascii="Arial" w:cs="Arial" w:eastAsia="Arial" w:hAnsi="Arial"/>
                <w:sz w:val="14"/>
                <w:szCs w:val="14"/>
                <w:color w:val="auto"/>
              </w:rPr>
              <w:t>Other current assets</w:t>
            </w: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(9,894)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(4,061)</w:t>
            </w:r>
          </w:p>
        </w:tc>
        <w:tc>
          <w:tcPr>
            <w:tcW w:w="0" w:type="dxa"/>
            <w:vAlign w:val="bottom"/>
          </w:tcPr>
          <w:p>
            <w:pPr>
              <w:spacing w:after="0"/>
              <w:rPr>
                <w:sz w:val="1"/>
                <w:szCs w:val="1"/>
                <w:color w:val="auto"/>
              </w:rPr>
            </w:pPr>
          </w:p>
        </w:tc>
      </w:tr>
      <w:tr>
        <w:trPr>
          <w:trHeight w:val="74"/>
        </w:trPr>
        <w:tc>
          <w:tcPr>
            <w:tcW w:w="6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Trade accounts payable</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9,429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2,598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80"/>
        </w:trPr>
        <w:tc>
          <w:tcPr>
            <w:tcW w:w="66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20" w:type="dxa"/>
            <w:vAlign w:val="bottom"/>
          </w:tcPr>
          <w:p>
            <w:pPr>
              <w:ind w:left="600"/>
              <w:spacing w:after="0"/>
              <w:rPr>
                <w:sz w:val="20"/>
                <w:szCs w:val="20"/>
                <w:color w:val="auto"/>
              </w:rPr>
            </w:pPr>
            <w:r>
              <w:rPr>
                <w:rFonts w:ascii="Arial" w:cs="Arial" w:eastAsia="Arial" w:hAnsi="Arial"/>
                <w:sz w:val="14"/>
                <w:szCs w:val="14"/>
                <w:color w:val="auto"/>
              </w:rPr>
              <w:t>Accrued expenses and other</w:t>
            </w: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30,603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7,181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12,624</w:t>
            </w:r>
          </w:p>
        </w:tc>
        <w:tc>
          <w:tcPr>
            <w:tcW w:w="0" w:type="dxa"/>
            <w:vAlign w:val="bottom"/>
          </w:tcPr>
          <w:p>
            <w:pPr>
              <w:spacing w:after="0"/>
              <w:rPr>
                <w:sz w:val="1"/>
                <w:szCs w:val="1"/>
                <w:color w:val="auto"/>
              </w:rPr>
            </w:pPr>
          </w:p>
        </w:tc>
      </w:tr>
      <w:tr>
        <w:trPr>
          <w:trHeight w:val="74"/>
        </w:trPr>
        <w:tc>
          <w:tcPr>
            <w:tcW w:w="6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Changes in noncurrent assets and noncurrent liabilities, net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14,233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8,038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(8,543)</w:t>
            </w:r>
          </w:p>
        </w:tc>
        <w:tc>
          <w:tcPr>
            <w:tcW w:w="0" w:type="dxa"/>
            <w:vAlign w:val="bottom"/>
          </w:tcPr>
          <w:p>
            <w:pPr>
              <w:spacing w:after="0"/>
              <w:rPr>
                <w:sz w:val="1"/>
                <w:szCs w:val="1"/>
                <w:color w:val="auto"/>
              </w:rPr>
            </w:pPr>
          </w:p>
        </w:tc>
      </w:tr>
      <w:tr>
        <w:trPr>
          <w:trHeight w:val="80"/>
        </w:trPr>
        <w:tc>
          <w:tcPr>
            <w:tcW w:w="66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20" w:type="dxa"/>
            <w:vAlign w:val="bottom"/>
          </w:tcPr>
          <w:p>
            <w:pPr>
              <w:ind w:left="380"/>
              <w:spacing w:after="0"/>
              <w:rPr>
                <w:sz w:val="20"/>
                <w:szCs w:val="20"/>
                <w:color w:val="auto"/>
              </w:rPr>
            </w:pPr>
            <w:r>
              <w:rPr>
                <w:rFonts w:ascii="Arial" w:cs="Arial" w:eastAsia="Arial" w:hAnsi="Arial"/>
                <w:sz w:val="14"/>
                <w:szCs w:val="14"/>
                <w:color w:val="auto"/>
              </w:rPr>
              <w:t>Other, net</w:t>
            </w: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10,436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(1,444)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74"/>
        </w:trPr>
        <w:tc>
          <w:tcPr>
            <w:tcW w:w="66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6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cash flows from operating activities</w:t>
            </w: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565,871</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575,490</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653,572</w:t>
            </w:r>
          </w:p>
        </w:tc>
        <w:tc>
          <w:tcPr>
            <w:tcW w:w="0" w:type="dxa"/>
            <w:vAlign w:val="bottom"/>
          </w:tcPr>
          <w:p>
            <w:pPr>
              <w:spacing w:after="0"/>
              <w:rPr>
                <w:sz w:val="1"/>
                <w:szCs w:val="1"/>
                <w:color w:val="auto"/>
              </w:rPr>
            </w:pPr>
          </w:p>
        </w:tc>
      </w:tr>
      <w:tr>
        <w:trPr>
          <w:trHeight w:val="80"/>
        </w:trPr>
        <w:tc>
          <w:tcPr>
            <w:tcW w:w="66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62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6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marketable investment securities</w:t>
            </w: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(396,730)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(208,821)</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(509,814)</w:t>
            </w:r>
          </w:p>
        </w:tc>
        <w:tc>
          <w:tcPr>
            <w:tcW w:w="0" w:type="dxa"/>
            <w:vAlign w:val="bottom"/>
          </w:tcPr>
          <w:p>
            <w:pPr>
              <w:spacing w:after="0"/>
              <w:rPr>
                <w:sz w:val="1"/>
                <w:szCs w:val="1"/>
                <w:color w:val="auto"/>
              </w:rPr>
            </w:pPr>
          </w:p>
        </w:tc>
      </w:tr>
      <w:tr>
        <w:trPr>
          <w:trHeight w:val="80"/>
        </w:trPr>
        <w:tc>
          <w:tcPr>
            <w:tcW w:w="66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20" w:type="dxa"/>
            <w:vAlign w:val="bottom"/>
          </w:tcPr>
          <w:p>
            <w:pPr>
              <w:ind w:left="180"/>
              <w:spacing w:after="0"/>
              <w:rPr>
                <w:sz w:val="20"/>
                <w:szCs w:val="20"/>
                <w:color w:val="auto"/>
              </w:rPr>
            </w:pPr>
            <w:r>
              <w:rPr>
                <w:rFonts w:ascii="Arial" w:cs="Arial" w:eastAsia="Arial" w:hAnsi="Arial"/>
                <w:sz w:val="14"/>
                <w:szCs w:val="14"/>
                <w:color w:val="auto"/>
              </w:rPr>
              <w:t>Sales and maturities of marketable investment securities</w:t>
            </w: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452,446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355,202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234,970</w:t>
            </w:r>
          </w:p>
        </w:tc>
        <w:tc>
          <w:tcPr>
            <w:tcW w:w="0" w:type="dxa"/>
            <w:vAlign w:val="bottom"/>
          </w:tcPr>
          <w:p>
            <w:pPr>
              <w:spacing w:after="0"/>
              <w:rPr>
                <w:sz w:val="1"/>
                <w:szCs w:val="1"/>
                <w:color w:val="auto"/>
              </w:rPr>
            </w:pPr>
          </w:p>
        </w:tc>
      </w:tr>
      <w:tr>
        <w:trPr>
          <w:trHeight w:val="74"/>
        </w:trPr>
        <w:tc>
          <w:tcPr>
            <w:tcW w:w="6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Expenditures for property and equipment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(381,287)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(386,714)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(247,341)</w:t>
            </w:r>
          </w:p>
        </w:tc>
        <w:tc>
          <w:tcPr>
            <w:tcW w:w="0" w:type="dxa"/>
            <w:vAlign w:val="bottom"/>
          </w:tcPr>
          <w:p>
            <w:pPr>
              <w:spacing w:after="0"/>
              <w:rPr>
                <w:sz w:val="1"/>
                <w:szCs w:val="1"/>
                <w:color w:val="auto"/>
              </w:rPr>
            </w:pPr>
          </w:p>
        </w:tc>
      </w:tr>
      <w:tr>
        <w:trPr>
          <w:trHeight w:val="80"/>
        </w:trPr>
        <w:tc>
          <w:tcPr>
            <w:tcW w:w="66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20" w:type="dxa"/>
            <w:vAlign w:val="bottom"/>
          </w:tcPr>
          <w:p>
            <w:pPr>
              <w:ind w:left="180"/>
              <w:spacing w:after="0"/>
              <w:rPr>
                <w:sz w:val="20"/>
                <w:szCs w:val="20"/>
                <w:color w:val="auto"/>
              </w:rPr>
            </w:pPr>
            <w:r>
              <w:rPr>
                <w:rFonts w:ascii="Arial" w:cs="Arial" w:eastAsia="Arial" w:hAnsi="Arial"/>
                <w:sz w:val="14"/>
                <w:szCs w:val="14"/>
                <w:color w:val="auto"/>
              </w:rPr>
              <w:t>Changes in restricted cash and cash equivalents</w:t>
            </w: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8,320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(2,488)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(2,538)</w:t>
            </w:r>
          </w:p>
        </w:tc>
        <w:tc>
          <w:tcPr>
            <w:tcW w:w="0" w:type="dxa"/>
            <w:vAlign w:val="bottom"/>
          </w:tcPr>
          <w:p>
            <w:pPr>
              <w:spacing w:after="0"/>
              <w:rPr>
                <w:sz w:val="1"/>
                <w:szCs w:val="1"/>
                <w:color w:val="auto"/>
              </w:rPr>
            </w:pPr>
          </w:p>
        </w:tc>
      </w:tr>
      <w:tr>
        <w:trPr>
          <w:trHeight w:val="74"/>
        </w:trPr>
        <w:tc>
          <w:tcPr>
            <w:tcW w:w="6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 for EchoStar XXI launch services</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(23,750)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(11,875)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6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20" w:type="dxa"/>
            <w:vAlign w:val="bottom"/>
          </w:tcPr>
          <w:p>
            <w:pPr>
              <w:ind w:left="180"/>
              <w:spacing w:after="0"/>
              <w:rPr>
                <w:sz w:val="20"/>
                <w:szCs w:val="20"/>
                <w:color w:val="auto"/>
              </w:rPr>
            </w:pPr>
            <w:r>
              <w:rPr>
                <w:rFonts w:ascii="Arial" w:cs="Arial" w:eastAsia="Arial" w:hAnsi="Arial"/>
                <w:sz w:val="14"/>
                <w:szCs w:val="14"/>
                <w:color w:val="auto"/>
              </w:rPr>
              <w:t>Expenditures for externally marketed software</w:t>
            </w: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(23,252)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(22,327)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(22,955)</w:t>
            </w:r>
          </w:p>
        </w:tc>
        <w:tc>
          <w:tcPr>
            <w:tcW w:w="0" w:type="dxa"/>
            <w:vAlign w:val="bottom"/>
          </w:tcPr>
          <w:p>
            <w:pPr>
              <w:spacing w:after="0"/>
              <w:rPr>
                <w:sz w:val="1"/>
                <w:szCs w:val="1"/>
                <w:color w:val="auto"/>
              </w:rPr>
            </w:pPr>
          </w:p>
        </w:tc>
      </w:tr>
      <w:tr>
        <w:trPr>
          <w:trHeight w:val="74"/>
        </w:trPr>
        <w:tc>
          <w:tcPr>
            <w:tcW w:w="6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80"/>
        </w:trPr>
        <w:tc>
          <w:tcPr>
            <w:tcW w:w="66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620" w:type="dxa"/>
            <w:vAlign w:val="bottom"/>
          </w:tcPr>
          <w:p>
            <w:pPr>
              <w:ind w:left="600"/>
              <w:spacing w:after="0"/>
              <w:rPr>
                <w:sz w:val="20"/>
                <w:szCs w:val="20"/>
                <w:color w:val="auto"/>
              </w:rPr>
            </w:pPr>
            <w:r>
              <w:rPr>
                <w:rFonts w:ascii="Arial" w:cs="Arial" w:eastAsia="Arial" w:hAnsi="Arial"/>
                <w:sz w:val="14"/>
                <w:szCs w:val="14"/>
                <w:color w:val="auto"/>
              </w:rPr>
              <w:t>Net cash flows from investing activities</w:t>
            </w:r>
          </w:p>
        </w:tc>
        <w:tc>
          <w:tcPr>
            <w:tcW w:w="3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(365,889)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(277,033)</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(547,713)</w:t>
            </w:r>
          </w:p>
        </w:tc>
        <w:tc>
          <w:tcPr>
            <w:tcW w:w="0" w:type="dxa"/>
            <w:vAlign w:val="bottom"/>
          </w:tcPr>
          <w:p>
            <w:pPr>
              <w:spacing w:after="0"/>
              <w:rPr>
                <w:sz w:val="1"/>
                <w:szCs w:val="1"/>
                <w:color w:val="auto"/>
              </w:rPr>
            </w:pPr>
          </w:p>
        </w:tc>
      </w:tr>
      <w:tr>
        <w:trPr>
          <w:trHeight w:val="74"/>
        </w:trPr>
        <w:tc>
          <w:tcPr>
            <w:tcW w:w="66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6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620" w:type="dxa"/>
            <w:vAlign w:val="bottom"/>
          </w:tcPr>
          <w:p>
            <w:pPr>
              <w:ind w:left="180"/>
              <w:spacing w:after="0"/>
              <w:rPr>
                <w:sz w:val="20"/>
                <w:szCs w:val="20"/>
                <w:color w:val="auto"/>
              </w:rPr>
            </w:pPr>
            <w:r>
              <w:rPr>
                <w:rFonts w:ascii="Arial" w:cs="Arial" w:eastAsia="Arial" w:hAnsi="Arial"/>
                <w:sz w:val="14"/>
                <w:szCs w:val="14"/>
                <w:color w:val="auto"/>
              </w:rPr>
              <w:t>Proceeds from issuance of long-term debt</w:t>
            </w: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1,500,000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of debt issuance costs</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(7,097)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6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20" w:type="dxa"/>
            <w:vAlign w:val="bottom"/>
          </w:tcPr>
          <w:p>
            <w:pPr>
              <w:ind w:left="180"/>
              <w:spacing w:after="0"/>
              <w:rPr>
                <w:sz w:val="20"/>
                <w:szCs w:val="20"/>
                <w:color w:val="auto"/>
              </w:rPr>
            </w:pPr>
            <w:r>
              <w:rPr>
                <w:rFonts w:ascii="Arial" w:cs="Arial" w:eastAsia="Arial" w:hAnsi="Arial"/>
                <w:sz w:val="14"/>
                <w:szCs w:val="14"/>
                <w:color w:val="auto"/>
              </w:rPr>
              <w:t>Repayment of 6 1/2% Senior Secured Notes Due 2019 and related premium</w:t>
            </w:r>
          </w:p>
        </w:tc>
        <w:tc>
          <w:tcPr>
            <w:tcW w:w="340" w:type="dxa"/>
            <w:vAlign w:val="bottom"/>
          </w:tcPr>
          <w:p>
            <w:pPr>
              <w:spacing w:after="0"/>
              <w:rPr>
                <w:sz w:val="16"/>
                <w:szCs w:val="16"/>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(113,300)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 of debt and capital lease obligations</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(31,669)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(39,441)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(59,835)</w:t>
            </w:r>
          </w:p>
        </w:tc>
        <w:tc>
          <w:tcPr>
            <w:tcW w:w="0" w:type="dxa"/>
            <w:vAlign w:val="bottom"/>
          </w:tcPr>
          <w:p>
            <w:pPr>
              <w:spacing w:after="0"/>
              <w:rPr>
                <w:sz w:val="1"/>
                <w:szCs w:val="1"/>
                <w:color w:val="auto"/>
              </w:rPr>
            </w:pPr>
          </w:p>
        </w:tc>
      </w:tr>
      <w:tr>
        <w:trPr>
          <w:trHeight w:val="80"/>
        </w:trPr>
        <w:tc>
          <w:tcPr>
            <w:tcW w:w="66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20" w:type="dxa"/>
            <w:vAlign w:val="bottom"/>
          </w:tcPr>
          <w:p>
            <w:pPr>
              <w:ind w:left="180"/>
              <w:spacing w:after="0"/>
              <w:rPr>
                <w:sz w:val="20"/>
                <w:szCs w:val="20"/>
                <w:color w:val="auto"/>
              </w:rPr>
            </w:pPr>
            <w:r>
              <w:rPr>
                <w:rFonts w:ascii="Arial" w:cs="Arial" w:eastAsia="Arial" w:hAnsi="Arial"/>
                <w:sz w:val="14"/>
                <w:szCs w:val="14"/>
                <w:color w:val="auto"/>
              </w:rPr>
              <w:t>Net proceeds from issuance of Hughes Retail Preferred Tracking Stock (Note 3)</w:t>
            </w:r>
          </w:p>
        </w:tc>
        <w:tc>
          <w:tcPr>
            <w:tcW w:w="340" w:type="dxa"/>
            <w:vAlign w:val="bottom"/>
          </w:tcPr>
          <w:p>
            <w:pPr>
              <w:spacing w:after="0"/>
              <w:rPr>
                <w:sz w:val="16"/>
                <w:szCs w:val="16"/>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10,601</w:t>
            </w:r>
          </w:p>
        </w:tc>
        <w:tc>
          <w:tcPr>
            <w:tcW w:w="0" w:type="dxa"/>
            <w:vAlign w:val="bottom"/>
          </w:tcPr>
          <w:p>
            <w:pPr>
              <w:spacing w:after="0"/>
              <w:rPr>
                <w:sz w:val="1"/>
                <w:szCs w:val="1"/>
                <w:color w:val="auto"/>
              </w:rPr>
            </w:pPr>
          </w:p>
        </w:tc>
      </w:tr>
      <w:tr>
        <w:trPr>
          <w:trHeight w:val="74"/>
        </w:trPr>
        <w:tc>
          <w:tcPr>
            <w:tcW w:w="6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Advances from affiliates</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6,982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20,002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6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20" w:type="dxa"/>
            <w:vAlign w:val="bottom"/>
          </w:tcPr>
          <w:p>
            <w:pPr>
              <w:ind w:left="180"/>
              <w:spacing w:after="0"/>
              <w:rPr>
                <w:sz w:val="20"/>
                <w:szCs w:val="20"/>
                <w:color w:val="auto"/>
              </w:rPr>
            </w:pPr>
            <w:r>
              <w:rPr>
                <w:rFonts w:ascii="Arial" w:cs="Arial" w:eastAsia="Arial" w:hAnsi="Arial"/>
                <w:sz w:val="14"/>
                <w:szCs w:val="14"/>
                <w:color w:val="auto"/>
              </w:rPr>
              <w:t>Capital contribution from EchoStar</w:t>
            </w: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23,750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(4,157)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(5,154)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80"/>
        </w:trPr>
        <w:tc>
          <w:tcPr>
            <w:tcW w:w="66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620" w:type="dxa"/>
            <w:vAlign w:val="bottom"/>
          </w:tcPr>
          <w:p>
            <w:pPr>
              <w:ind w:left="600"/>
              <w:spacing w:after="0"/>
              <w:rPr>
                <w:sz w:val="20"/>
                <w:szCs w:val="20"/>
                <w:color w:val="auto"/>
              </w:rPr>
            </w:pPr>
            <w:r>
              <w:rPr>
                <w:rFonts w:ascii="Arial" w:cs="Arial" w:eastAsia="Arial" w:hAnsi="Arial"/>
                <w:sz w:val="14"/>
                <w:szCs w:val="14"/>
                <w:color w:val="auto"/>
              </w:rPr>
              <w:t>Net cash flows from financing activities</w:t>
            </w:r>
          </w:p>
        </w:tc>
        <w:tc>
          <w:tcPr>
            <w:tcW w:w="340" w:type="dxa"/>
            <w:vAlign w:val="bottom"/>
          </w:tcPr>
          <w:p>
            <w:pPr>
              <w:spacing w:after="0"/>
              <w:rPr>
                <w:sz w:val="14"/>
                <w:szCs w:val="14"/>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1,487,809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(137,893)</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(49,127)</w:t>
            </w:r>
          </w:p>
        </w:tc>
        <w:tc>
          <w:tcPr>
            <w:tcW w:w="0" w:type="dxa"/>
            <w:vAlign w:val="bottom"/>
          </w:tcPr>
          <w:p>
            <w:pPr>
              <w:spacing w:after="0"/>
              <w:rPr>
                <w:sz w:val="1"/>
                <w:szCs w:val="1"/>
                <w:color w:val="auto"/>
              </w:rPr>
            </w:pPr>
          </w:p>
        </w:tc>
      </w:tr>
      <w:tr>
        <w:trPr>
          <w:trHeight w:val="74"/>
        </w:trPr>
        <w:tc>
          <w:tcPr>
            <w:tcW w:w="66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6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Effect of exchange rates on cash and cash equivalents</w:t>
            </w: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(3,131)</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5,116</w:t>
            </w:r>
          </w:p>
        </w:tc>
        <w:tc>
          <w:tcPr>
            <w:tcW w:w="0" w:type="dxa"/>
            <w:vAlign w:val="bottom"/>
          </w:tcPr>
          <w:p>
            <w:pPr>
              <w:spacing w:after="0"/>
              <w:rPr>
                <w:sz w:val="1"/>
                <w:szCs w:val="1"/>
                <w:color w:val="auto"/>
              </w:rPr>
            </w:pPr>
          </w:p>
        </w:tc>
      </w:tr>
      <w:tr>
        <w:trPr>
          <w:trHeight w:val="80"/>
        </w:trPr>
        <w:tc>
          <w:tcPr>
            <w:tcW w:w="66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62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340" w:type="dxa"/>
            <w:vAlign w:val="bottom"/>
          </w:tcPr>
          <w:p>
            <w:pPr>
              <w:spacing w:after="0"/>
              <w:rPr>
                <w:sz w:val="14"/>
                <w:szCs w:val="14"/>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1,687,974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157,433</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61,848</w:t>
            </w:r>
          </w:p>
        </w:tc>
        <w:tc>
          <w:tcPr>
            <w:tcW w:w="0" w:type="dxa"/>
            <w:vAlign w:val="bottom"/>
          </w:tcPr>
          <w:p>
            <w:pPr>
              <w:spacing w:after="0"/>
              <w:rPr>
                <w:sz w:val="1"/>
                <w:szCs w:val="1"/>
                <w:color w:val="auto"/>
              </w:rPr>
            </w:pPr>
          </w:p>
        </w:tc>
      </w:tr>
      <w:tr>
        <w:trPr>
          <w:trHeight w:val="74"/>
        </w:trPr>
        <w:tc>
          <w:tcPr>
            <w:tcW w:w="6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382,990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225,557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163,709</w:t>
            </w:r>
          </w:p>
        </w:tc>
        <w:tc>
          <w:tcPr>
            <w:tcW w:w="0" w:type="dxa"/>
            <w:vAlign w:val="bottom"/>
          </w:tcPr>
          <w:p>
            <w:pPr>
              <w:spacing w:after="0"/>
              <w:rPr>
                <w:sz w:val="1"/>
                <w:szCs w:val="1"/>
                <w:color w:val="auto"/>
              </w:rPr>
            </w:pPr>
          </w:p>
        </w:tc>
      </w:tr>
      <w:tr>
        <w:trPr>
          <w:trHeight w:val="80"/>
        </w:trPr>
        <w:tc>
          <w:tcPr>
            <w:tcW w:w="66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620" w:type="dxa"/>
            <w:vAlign w:val="bottom"/>
          </w:tcPr>
          <w:p>
            <w:pPr>
              <w:ind w:left="180"/>
              <w:spacing w:after="0"/>
              <w:rPr>
                <w:sz w:val="20"/>
                <w:szCs w:val="20"/>
                <w:color w:val="auto"/>
              </w:rPr>
            </w:pPr>
            <w:r>
              <w:rPr>
                <w:rFonts w:ascii="Arial" w:cs="Arial" w:eastAsia="Arial" w:hAnsi="Arial"/>
                <w:sz w:val="14"/>
                <w:szCs w:val="14"/>
                <w:color w:val="auto"/>
              </w:rPr>
              <w:t>Cash and cash equivalents, end of period</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2,070,964</w:t>
            </w:r>
          </w:p>
        </w:tc>
        <w:tc>
          <w:tcPr>
            <w:tcW w:w="120" w:type="dxa"/>
            <w:vAlign w:val="bottom"/>
          </w:tcPr>
          <w:p>
            <w:pPr>
              <w:spacing w:after="0"/>
              <w:rPr>
                <w:sz w:val="14"/>
                <w:szCs w:val="14"/>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382,990</w:t>
            </w:r>
          </w:p>
        </w:tc>
        <w:tc>
          <w:tcPr>
            <w:tcW w:w="120" w:type="dxa"/>
            <w:vAlign w:val="bottom"/>
          </w:tcPr>
          <w:p>
            <w:pPr>
              <w:spacing w:after="0"/>
              <w:rPr>
                <w:sz w:val="14"/>
                <w:szCs w:val="14"/>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225,557</w:t>
            </w:r>
          </w:p>
        </w:tc>
        <w:tc>
          <w:tcPr>
            <w:tcW w:w="0" w:type="dxa"/>
            <w:vAlign w:val="bottom"/>
          </w:tcPr>
          <w:p>
            <w:pPr>
              <w:spacing w:after="0"/>
              <w:rPr>
                <w:sz w:val="1"/>
                <w:szCs w:val="1"/>
                <w:color w:val="auto"/>
              </w:rPr>
            </w:pPr>
          </w:p>
        </w:tc>
      </w:tr>
      <w:tr>
        <w:trPr>
          <w:trHeight w:val="100"/>
        </w:trPr>
        <w:tc>
          <w:tcPr>
            <w:tcW w:w="66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620" w:type="dxa"/>
            <w:vAlign w:val="bottom"/>
          </w:tcPr>
          <w:p>
            <w:pPr>
              <w:ind w:left="4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paid for interest (including capitalized interest)</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172,029</w:t>
            </w:r>
          </w:p>
        </w:tc>
        <w:tc>
          <w:tcPr>
            <w:tcW w:w="12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178,363</w:t>
            </w:r>
          </w:p>
        </w:tc>
        <w:tc>
          <w:tcPr>
            <w:tcW w:w="12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186,503</w:t>
            </w:r>
          </w:p>
        </w:tc>
        <w:tc>
          <w:tcPr>
            <w:tcW w:w="0" w:type="dxa"/>
            <w:vAlign w:val="bottom"/>
          </w:tcPr>
          <w:p>
            <w:pPr>
              <w:spacing w:after="0"/>
              <w:rPr>
                <w:sz w:val="1"/>
                <w:szCs w:val="1"/>
                <w:color w:val="auto"/>
              </w:rPr>
            </w:pPr>
          </w:p>
        </w:tc>
      </w:tr>
      <w:tr>
        <w:trPr>
          <w:trHeight w:val="60"/>
        </w:trPr>
        <w:tc>
          <w:tcPr>
            <w:tcW w:w="66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180"/>
              <w:spacing w:after="0"/>
              <w:rPr>
                <w:sz w:val="20"/>
                <w:szCs w:val="20"/>
                <w:color w:val="auto"/>
              </w:rPr>
            </w:pPr>
            <w:r>
              <w:rPr>
                <w:rFonts w:ascii="Arial" w:cs="Arial" w:eastAsia="Arial" w:hAnsi="Arial"/>
                <w:sz w:val="14"/>
                <w:szCs w:val="14"/>
                <w:color w:val="auto"/>
              </w:rPr>
              <w:t>Capitalized interest</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620" w:type="dxa"/>
            <w:vAlign w:val="bottom"/>
            <w:vMerge w:val="continue"/>
          </w:tcPr>
          <w:p>
            <w:pPr>
              <w:spacing w:after="0"/>
              <w:rPr>
                <w:sz w:val="13"/>
                <w:szCs w:val="13"/>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30,202</w:t>
            </w:r>
          </w:p>
        </w:tc>
        <w:tc>
          <w:tcPr>
            <w:tcW w:w="120" w:type="dxa"/>
            <w:vAlign w:val="bottom"/>
          </w:tcPr>
          <w:p>
            <w:pPr>
              <w:spacing w:after="0"/>
              <w:rPr>
                <w:sz w:val="13"/>
                <w:szCs w:val="13"/>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15,852</w:t>
            </w:r>
          </w:p>
        </w:tc>
        <w:tc>
          <w:tcPr>
            <w:tcW w:w="120" w:type="dxa"/>
            <w:vAlign w:val="bottom"/>
          </w:tcPr>
          <w:p>
            <w:pPr>
              <w:spacing w:after="0"/>
              <w:rPr>
                <w:sz w:val="13"/>
                <w:szCs w:val="13"/>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2,168</w:t>
            </w:r>
          </w:p>
        </w:tc>
        <w:tc>
          <w:tcPr>
            <w:tcW w:w="0" w:type="dxa"/>
            <w:vAlign w:val="bottom"/>
          </w:tcPr>
          <w:p>
            <w:pPr>
              <w:spacing w:after="0"/>
              <w:rPr>
                <w:sz w:val="1"/>
                <w:szCs w:val="1"/>
                <w:color w:val="auto"/>
              </w:rPr>
            </w:pPr>
          </w:p>
        </w:tc>
      </w:tr>
      <w:tr>
        <w:trPr>
          <w:trHeight w:val="100"/>
        </w:trPr>
        <w:tc>
          <w:tcPr>
            <w:tcW w:w="66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6620" w:type="dxa"/>
            <w:vAlign w:val="bottom"/>
            <w:shd w:val="clear" w:color="auto" w:fill="CCEEFF"/>
          </w:tcPr>
          <w:p>
            <w:pPr>
              <w:ind w:left="180"/>
              <w:spacing w:after="0" w:line="150" w:lineRule="exact"/>
              <w:rPr>
                <w:sz w:val="20"/>
                <w:szCs w:val="20"/>
                <w:color w:val="auto"/>
              </w:rPr>
            </w:pPr>
            <w:r>
              <w:rPr>
                <w:rFonts w:ascii="Arial" w:cs="Arial" w:eastAsia="Arial" w:hAnsi="Arial"/>
                <w:sz w:val="14"/>
                <w:szCs w:val="14"/>
                <w:color w:val="auto"/>
              </w:rPr>
              <w:t>Cash paid for income taxes</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4,796</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4,783</w:t>
            </w:r>
          </w:p>
        </w:tc>
        <w:tc>
          <w:tcPr>
            <w:tcW w:w="12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8,577</w:t>
            </w:r>
          </w:p>
        </w:tc>
        <w:tc>
          <w:tcPr>
            <w:tcW w:w="0" w:type="dxa"/>
            <w:vAlign w:val="bottom"/>
          </w:tcPr>
          <w:p>
            <w:pPr>
              <w:spacing w:after="0"/>
              <w:rPr>
                <w:sz w:val="1"/>
                <w:szCs w:val="1"/>
                <w:color w:val="auto"/>
              </w:rPr>
            </w:pPr>
          </w:p>
        </w:tc>
      </w:tr>
      <w:tr>
        <w:trPr>
          <w:trHeight w:val="60"/>
        </w:trPr>
        <w:tc>
          <w:tcPr>
            <w:tcW w:w="66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180"/>
              <w:spacing w:after="0"/>
              <w:rPr>
                <w:sz w:val="20"/>
                <w:szCs w:val="20"/>
                <w:color w:val="auto"/>
              </w:rPr>
            </w:pPr>
            <w:r>
              <w:rPr>
                <w:rFonts w:ascii="Arial" w:cs="Arial" w:eastAsia="Arial" w:hAnsi="Arial"/>
                <w:sz w:val="14"/>
                <w:szCs w:val="14"/>
                <w:color w:val="auto"/>
              </w:rPr>
              <w:t>Property and equipment financed under capital lease obligations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620" w:type="dxa"/>
            <w:vAlign w:val="bottom"/>
            <w:vMerge w:val="continue"/>
          </w:tcPr>
          <w:p>
            <w:pPr>
              <w:spacing w:after="0"/>
              <w:rPr>
                <w:sz w:val="13"/>
                <w:szCs w:val="13"/>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1,130</w:t>
            </w:r>
          </w:p>
        </w:tc>
        <w:tc>
          <w:tcPr>
            <w:tcW w:w="120" w:type="dxa"/>
            <w:vAlign w:val="bottom"/>
          </w:tcPr>
          <w:p>
            <w:pPr>
              <w:spacing w:after="0"/>
              <w:rPr>
                <w:sz w:val="13"/>
                <w:szCs w:val="13"/>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13"/>
                <w:szCs w:val="13"/>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1,535</w:t>
            </w:r>
          </w:p>
        </w:tc>
        <w:tc>
          <w:tcPr>
            <w:tcW w:w="0" w:type="dxa"/>
            <w:vAlign w:val="bottom"/>
          </w:tcPr>
          <w:p>
            <w:pPr>
              <w:spacing w:after="0"/>
              <w:rPr>
                <w:sz w:val="1"/>
                <w:szCs w:val="1"/>
                <w:color w:val="auto"/>
              </w:rPr>
            </w:pPr>
          </w:p>
        </w:tc>
      </w:tr>
      <w:tr>
        <w:trPr>
          <w:trHeight w:val="100"/>
        </w:trPr>
        <w:tc>
          <w:tcPr>
            <w:tcW w:w="66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6620" w:type="dxa"/>
            <w:vAlign w:val="bottom"/>
            <w:shd w:val="clear" w:color="auto" w:fill="CCEEFF"/>
          </w:tcPr>
          <w:p>
            <w:pPr>
              <w:ind w:left="180"/>
              <w:spacing w:after="0" w:line="150" w:lineRule="exact"/>
              <w:rPr>
                <w:sz w:val="20"/>
                <w:szCs w:val="20"/>
                <w:color w:val="auto"/>
              </w:rPr>
            </w:pPr>
            <w:r>
              <w:rPr>
                <w:rFonts w:ascii="Arial" w:cs="Arial" w:eastAsia="Arial" w:hAnsi="Arial"/>
                <w:sz w:val="14"/>
                <w:szCs w:val="14"/>
                <w:color w:val="auto"/>
              </w:rPr>
              <w:t>Increase in capital expenditures included in accounts payable, net</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1,175</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4,694</w:t>
            </w:r>
          </w:p>
        </w:tc>
        <w:tc>
          <w:tcPr>
            <w:tcW w:w="12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4,377</w:t>
            </w:r>
          </w:p>
        </w:tc>
        <w:tc>
          <w:tcPr>
            <w:tcW w:w="0" w:type="dxa"/>
            <w:vAlign w:val="bottom"/>
          </w:tcPr>
          <w:p>
            <w:pPr>
              <w:spacing w:after="0"/>
              <w:rPr>
                <w:sz w:val="1"/>
                <w:szCs w:val="1"/>
                <w:color w:val="auto"/>
              </w:rPr>
            </w:pPr>
          </w:p>
        </w:tc>
      </w:tr>
      <w:tr>
        <w:trPr>
          <w:trHeight w:val="60"/>
        </w:trPr>
        <w:tc>
          <w:tcPr>
            <w:tcW w:w="66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180"/>
              <w:spacing w:after="0"/>
              <w:rPr>
                <w:sz w:val="20"/>
                <w:szCs w:val="20"/>
                <w:color w:val="auto"/>
              </w:rPr>
            </w:pPr>
            <w:r>
              <w:rPr>
                <w:rFonts w:ascii="Arial" w:cs="Arial" w:eastAsia="Arial" w:hAnsi="Arial"/>
                <w:sz w:val="14"/>
                <w:szCs w:val="14"/>
                <w:color w:val="auto"/>
              </w:rPr>
              <w:t>Reduction of capital lease obligation for AMC-15 and AMC-16 satellites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20" w:type="dxa"/>
            <w:vAlign w:val="bottom"/>
            <w:vMerge w:val="continue"/>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4,500</w:t>
            </w:r>
          </w:p>
        </w:tc>
        <w:tc>
          <w:tcPr>
            <w:tcW w:w="12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ectPr>
          <w:pgSz w:w="11900" w:h="16926" w:orient="portrait"/>
          <w:cols w:equalWidth="0" w:num="1">
            <w:col w:w="11160"/>
          </w:cols>
          <w:pgMar w:left="240" w:top="125" w:right="499" w:bottom="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noncash assets received in connection with Tracking Stock Transaction (Note 3)</w:t>
            </w:r>
          </w:p>
        </w:tc>
        <w:tc>
          <w:tcPr>
            <w:tcW w:w="520" w:type="dxa"/>
            <w:vAlign w:val="bottom"/>
            <w:tcBorders>
              <w:top w:val="single" w:sz="8" w:color="auto"/>
            </w:tcBorders>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vMerge w:val="restart"/>
            <w:shd w:val="clear" w:color="auto" w:fill="CCEEFF"/>
          </w:tcPr>
          <w:p>
            <w:pPr>
              <w:spacing w:after="0"/>
              <w:rPr>
                <w:sz w:val="17"/>
                <w:szCs w:val="17"/>
                <w:color w:val="auto"/>
              </w:rPr>
            </w:pPr>
          </w:p>
        </w:tc>
        <w:tc>
          <w:tcPr>
            <w:tcW w:w="500" w:type="dxa"/>
            <w:vAlign w:val="bottom"/>
            <w:tcBorders>
              <w:top w:val="single" w:sz="8" w:color="auto"/>
            </w:tcBorders>
            <w:vMerge w:val="restart"/>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vMerge w:val="restart"/>
            <w:shd w:val="clear" w:color="auto" w:fill="CCEEFF"/>
          </w:tcPr>
          <w:p>
            <w:pPr>
              <w:spacing w:after="0"/>
              <w:rPr>
                <w:sz w:val="17"/>
                <w:szCs w:val="17"/>
                <w:color w:val="auto"/>
              </w:rPr>
            </w:pPr>
          </w:p>
        </w:tc>
        <w:tc>
          <w:tcPr>
            <w:tcW w:w="460" w:type="dxa"/>
            <w:vAlign w:val="bottom"/>
            <w:tcBorders>
              <w:top w:val="single" w:sz="8" w:color="auto"/>
            </w:tcBorders>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375,287</w:t>
            </w:r>
          </w:p>
        </w:tc>
        <w:tc>
          <w:tcPr>
            <w:tcW w:w="0" w:type="dxa"/>
            <w:vAlign w:val="bottom"/>
          </w:tcPr>
          <w:p>
            <w:pPr>
              <w:spacing w:after="0"/>
              <w:rPr>
                <w:sz w:val="1"/>
                <w:szCs w:val="1"/>
                <w:color w:val="auto"/>
              </w:rPr>
            </w:pPr>
          </w:p>
        </w:tc>
      </w:tr>
      <w:tr>
        <w:trPr>
          <w:trHeight w:val="60"/>
        </w:trPr>
        <w:tc>
          <w:tcPr>
            <w:tcW w:w="6620" w:type="dxa"/>
            <w:vAlign w:val="bottom"/>
            <w:tcBorders>
              <w:bottom w:val="single" w:sz="8" w:color="CCEEFF"/>
            </w:tcBorders>
            <w:shd w:val="clear" w:color="auto" w:fill="CCEEFF"/>
          </w:tcPr>
          <w:p>
            <w:pPr>
              <w:spacing w:after="0"/>
              <w:rPr>
                <w:sz w:val="5"/>
                <w:szCs w:val="5"/>
                <w:color w:val="auto"/>
              </w:rPr>
            </w:pPr>
          </w:p>
        </w:tc>
        <w:tc>
          <w:tcPr>
            <w:tcW w:w="520" w:type="dxa"/>
            <w:vAlign w:val="bottom"/>
            <w:tcBorders>
              <w:bottom w:val="single" w:sz="8" w:color="auto"/>
            </w:tcBorders>
            <w:vMerge w:val="continue"/>
            <w:shd w:val="clear" w:color="auto" w:fill="CCEEFF"/>
          </w:tcPr>
          <w:p>
            <w:pPr>
              <w:spacing w:after="0"/>
              <w:rPr>
                <w:sz w:val="5"/>
                <w:szCs w:val="5"/>
                <w:color w:val="auto"/>
              </w:rPr>
            </w:pPr>
          </w:p>
        </w:tc>
        <w:tc>
          <w:tcPr>
            <w:tcW w:w="9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vMerge w:val="continue"/>
            <w:shd w:val="clear" w:color="auto" w:fill="CCEEFF"/>
          </w:tcPr>
          <w:p>
            <w:pPr>
              <w:spacing w:after="0"/>
              <w:rPr>
                <w:sz w:val="5"/>
                <w:szCs w:val="5"/>
                <w:color w:val="auto"/>
              </w:rPr>
            </w:pPr>
          </w:p>
        </w:tc>
        <w:tc>
          <w:tcPr>
            <w:tcW w:w="500" w:type="dxa"/>
            <w:vAlign w:val="bottom"/>
            <w:tcBorders>
              <w:bottom w:val="single" w:sz="8" w:color="auto"/>
            </w:tcBorders>
            <w:vMerge w:val="continue"/>
            <w:shd w:val="clear" w:color="auto" w:fill="CCEEFF"/>
          </w:tcPr>
          <w:p>
            <w:pPr>
              <w:spacing w:after="0"/>
              <w:rPr>
                <w:sz w:val="5"/>
                <w:szCs w:val="5"/>
                <w:color w:val="auto"/>
              </w:rPr>
            </w:pPr>
          </w:p>
        </w:tc>
        <w:tc>
          <w:tcPr>
            <w:tcW w:w="9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vMerge w:val="continue"/>
            <w:shd w:val="clear" w:color="auto" w:fill="CCEEFF"/>
          </w:tcPr>
          <w:p>
            <w:pPr>
              <w:spacing w:after="0"/>
              <w:rPr>
                <w:sz w:val="5"/>
                <w:szCs w:val="5"/>
                <w:color w:val="auto"/>
              </w:rPr>
            </w:pPr>
          </w:p>
        </w:tc>
        <w:tc>
          <w:tcPr>
            <w:tcW w:w="46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180"/>
              <w:spacing w:after="0"/>
              <w:rPr>
                <w:sz w:val="20"/>
                <w:szCs w:val="20"/>
                <w:color w:val="auto"/>
              </w:rPr>
            </w:pPr>
            <w:r>
              <w:rPr>
                <w:rFonts w:ascii="Arial" w:cs="Arial" w:eastAsia="Arial" w:hAnsi="Arial"/>
                <w:sz w:val="14"/>
                <w:szCs w:val="14"/>
                <w:color w:val="auto"/>
              </w:rPr>
              <w:t>Transfer of launch contracts from EchoStar to HNS</w:t>
            </w: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620" w:type="dxa"/>
            <w:vAlign w:val="bottom"/>
            <w:vMerge w:val="continue"/>
          </w:tcPr>
          <w:p>
            <w:pPr>
              <w:spacing w:after="0"/>
              <w:rPr>
                <w:sz w:val="13"/>
                <w:szCs w:val="13"/>
                <w:color w:val="auto"/>
              </w:rPr>
            </w:pPr>
          </w:p>
        </w:tc>
        <w:tc>
          <w:tcPr>
            <w:tcW w:w="520" w:type="dxa"/>
            <w:vAlign w:val="bottom"/>
            <w:vMerge w:val="restart"/>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70,300</w:t>
            </w:r>
          </w:p>
        </w:tc>
        <w:tc>
          <w:tcPr>
            <w:tcW w:w="120" w:type="dxa"/>
            <w:vAlign w:val="bottom"/>
          </w:tcPr>
          <w:p>
            <w:pPr>
              <w:spacing w:after="0"/>
              <w:rPr>
                <w:sz w:val="13"/>
                <w:szCs w:val="13"/>
                <w:color w:val="auto"/>
              </w:rPr>
            </w:pPr>
          </w:p>
        </w:tc>
        <w:tc>
          <w:tcPr>
            <w:tcW w:w="500" w:type="dxa"/>
            <w:vAlign w:val="bottom"/>
            <w:vMerge w:val="restart"/>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52,250</w:t>
            </w:r>
          </w:p>
        </w:tc>
        <w:tc>
          <w:tcPr>
            <w:tcW w:w="120" w:type="dxa"/>
            <w:vAlign w:val="bottom"/>
          </w:tcPr>
          <w:p>
            <w:pPr>
              <w:spacing w:after="0"/>
              <w:rPr>
                <w:sz w:val="13"/>
                <w:szCs w:val="13"/>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5"/>
        </w:trPr>
        <w:tc>
          <w:tcPr>
            <w:tcW w:w="6620" w:type="dxa"/>
            <w:vAlign w:val="bottom"/>
          </w:tcPr>
          <w:p>
            <w:pPr>
              <w:spacing w:after="0"/>
              <w:rPr>
                <w:sz w:val="5"/>
                <w:szCs w:val="5"/>
                <w:color w:val="auto"/>
              </w:rPr>
            </w:pPr>
          </w:p>
        </w:tc>
        <w:tc>
          <w:tcPr>
            <w:tcW w:w="52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60"/>
          </w:cols>
          <w:pgMar w:left="240" w:top="349" w:right="4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Business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Hughes Satellite Systems Corporation (which, together with its subsidiaries, is referred to as “HSS,” the “Company,” “we,” “us” and/or “our”) is a holding company and a subsidiary of EchoStar Corporation (“EchoStar”). We are a global provider of satellite service operations, video delivery solutions, broadband satellite technologies and broadband services for home and small office customers. We deliver innovative network technologies, managed services, and various communications solutions for enterprise and government customers.</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January 31, 2017, our parent company EchoStar Corporation (“EchoStar”) and certain subsidiaries of EchoStar, including certain subsidiaries of the Company, entered into a Share Exchange Agreement (the “Share Exchange Agreement”) with DISH Network Corporation and certain of its subsidiaries. The Share Exchange Agreement provides, among other things, that EchoStar and its subsidiaries will receive all of the shares of the EchoStar Tracking Stock and HSS Tracking Stock in exchange for 100% of the equity interests of certain subsidiaries of EchoStar that will hold its EchoStar Technologies businesses (collectively, the “Share Exchange”). Following consummation of the Share Exchange, the HSS Tracking Stock will be retired and all agreements, arrangements and policy statements with respect to, and terms of, such tracking stock will terminate and be of no further effect.</w:t>
      </w:r>
    </w:p>
    <w:p>
      <w:pPr>
        <w:spacing w:after="0" w:line="16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Prior to consummation of the Share Exchange, EchoStar is required to complete steps necessary for the transferring assets and liabilities that are being assumed by DISH Network Corporation and its subsidiaries to be owned by the transferring entities and their respective subsidiaries. As part of these steps, subsidiaries of EchoStar that currently own EchoStar’s business of providing online video delivery and satellite video delivery for broadcasters and pay-TV operators, including satellite uplinking/downlinking, transmission services, signal processing, conditional access management and other services (the “Uplinking Businesses”) and related assets and liabilities will be contributed to EB Corp in consideration for additional shares of the Company’s common stock that will be issued to a subsidiary of EchoStar. Certain data center assets within the Uplinking Businesses will not be included in the Share Exchange and after consummation of the Share Exchange will continue to be owned by our subsidiaries and will be pledged as collateral to support our obligations under the Indentures (as defined below).</w:t>
      </w:r>
    </w:p>
    <w:p>
      <w:pPr>
        <w:spacing w:after="0" w:line="1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Share Exchange is expected to be consummated three business days after the satisfaction or waiver of all of the closing conditions to the transaction (other than conditions that by their nature are to be satisfied at the closing, but subject to the satisfaction of those conditions at such time), but no earlier than February 28, 2017. The closing conditions to the transaction involving third parties or governmental approvals have been satisfied (other than those that by their nature are to be satisfied at the closing). While we currently expect the Share Exchange to be consummated on or about February 28, 2017, no assurance can be given that the Share Exchange will be consummated on the terms or within the time frame disclosed, or at all.</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See Note 18 for further discussion of the Share Exchange transaction and Note 3 for more information regarding the tracking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currently operate in the following two business segments:</w:t>
      </w:r>
    </w:p>
    <w:p>
      <w:pPr>
        <w:spacing w:after="0" w:line="225" w:lineRule="exact"/>
        <w:rPr>
          <w:sz w:val="20"/>
          <w:szCs w:val="20"/>
          <w:color w:val="auto"/>
        </w:rPr>
      </w:pPr>
    </w:p>
    <w:p>
      <w:pPr>
        <w:ind w:left="660" w:right="100" w:hanging="328"/>
        <w:spacing w:after="0" w:line="257" w:lineRule="auto"/>
        <w:tabs>
          <w:tab w:leader="none" w:pos="66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Hughes </w:t>
      </w:r>
      <w:r>
        <w:rPr>
          <w:rFonts w:ascii="Arial" w:cs="Arial" w:eastAsia="Arial" w:hAnsi="Arial"/>
          <w:sz w:val="18"/>
          <w:szCs w:val="18"/>
          <w:color w:val="auto"/>
        </w:rPr>
        <w:t>— which provides broadband satellite technologies and broadband services to home and small office customers and network technologies,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managed services and communication solutions to domestic and international consumers and enterprise and government customers. The Hughes segment also provides managed services, hardware, and satellite services to large enterprises and government customers, and designs, provides and installs gateway and terminal equipment to customers for other satellite systems. In addition, our Hughes segment provides satellite ground segment systems and terminals to mobile system operators.</w:t>
      </w:r>
    </w:p>
    <w:p>
      <w:pPr>
        <w:spacing w:after="0" w:line="53" w:lineRule="exact"/>
        <w:rPr>
          <w:rFonts w:ascii="Arial" w:cs="Arial" w:eastAsia="Arial" w:hAnsi="Arial"/>
          <w:sz w:val="18"/>
          <w:szCs w:val="18"/>
          <w:b w:val="1"/>
          <w:bCs w:val="1"/>
          <w:i w:val="1"/>
          <w:iCs w:val="1"/>
          <w:color w:val="auto"/>
        </w:rPr>
      </w:pPr>
    </w:p>
    <w:p>
      <w:pPr>
        <w:ind w:left="660" w:right="40" w:hanging="328"/>
        <w:spacing w:after="0" w:line="257" w:lineRule="auto"/>
        <w:tabs>
          <w:tab w:leader="none" w:pos="66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Satellite Services (“ESS”) </w:t>
      </w:r>
      <w:r>
        <w:rPr>
          <w:rFonts w:ascii="Arial" w:cs="Arial" w:eastAsia="Arial" w:hAnsi="Arial"/>
          <w:sz w:val="18"/>
          <w:szCs w:val="18"/>
          <w:color w:val="auto"/>
        </w:rPr>
        <w:t>— which uses certain of our owned and leased in-orbit satellites and related licenses to provide satellite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and video delivery solutions on a full-time and occasional-use basis primarily to DISH Network Corporation and its subsidiaries (“DISH Network”), Dish Mexico, S. de R.L. de C.V. (“Dish Mexico”), a joint venture that EchoStar entered into in 2008, United States (“U.S.”) government service providers, internet service providers, broadcast news organizations, programmers, and private enterprise customers. We also manage satellite operations for several satellites owned by third parties.</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were formed as a Colorado corporation in March 2011 to facilitate the acquisition (the “Hughes Acquisition”) of Hughes Communications, Inc. and its subsidiaries (“Hughes Communications”) and related financing transactions. In connection with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formation, EchoStar contributed the assets and liabilities of its satellite services business, including the principal operating subsidiary of its satellite services business, EchoStar Satellite Services L.L.C., to us. In addition, as a result of the Satellite and Tracking Stock Transaction described in Note 3 below, DISH Network owns shares of our preferred tracking stock representing a 28.11% economic interest in the residential retail satellite broadband business of our Hughes segment. DISH Network also owns shares of preferred tracking stock issued by EchoStar Corporation, which together with our preferred tracking stock represents an aggregate 80.0% economic interest in the residential retail satellite broadband business of our Hughes segment. The tracking stock is an equity security and the rights of DISH Network, as the holder of the tracking stock, in our assets are subject to the claims of our creditors. In addition, a substantial majority of the voting power of the shares of EchoStar and DISH Network is owned beneficially by Charles W. Ergen, our Chairman, and by certain trusts established by Mr. Ergen for the benefit of his family.</w:t>
      </w:r>
    </w:p>
    <w:p>
      <w:pPr>
        <w:spacing w:after="0" w:line="1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Basis of Presentation</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consolidate all entities in which we have a controlling financial interest. We are deemed to have a controlling financial interest in variable interest entities where we are the primary beneficiary. We are deemed to have a controlling financial interest in other entities when we own more than 50 percent of the outstanding voting shares and other shareholders do not have substantive rights to participate in management. For entities we control but do not wholly own, we record a noncontrolling interest within shareholders’ equity for the portion of the entity’s equity attributed to the noncontrolling ownership interests. All significant intercompany balances and transactions have been eliminated in consolidation.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(“GAAP”) requires us to make certain estimates and assumptions that affect the reported amounts of assets and liabilities at the date of the balance sheets, the reported amounts of revenue and expense for each reporting period, and certain information disclosed in the notes to our consolidated financial statements. Estimates are used in accounting for, among other things, amortization periods for deferred subscriber acquisition costs, revenue recognition using the percentage-of-completion method, allowances for doubtful accounts, allowances for sales returns and rebates, warranty obligations, self-insurance obligations, deferred taxes and related valuation allowances, uncertain tax positions, loss contingencies, fair value of financial instruments, fair value of EchoStar’s stock-based compensation awards, fair value of assets and liabilities acquired in business combinations, lease classifications, asset impairment testing, useful lives and methods for depreciation and amortization of long-lived assets, and certain royalty obligations. 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consolidated financial statements. Changing economic conditions may increase the inherent uncertainty in the estimates and assumptions indicated above. We review our estimates and assumptions periodically and the effects of revisions are reflected in the period they occur or prospectively if the revised estimate affects future periods.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functional currency for certain of our foreign operations is determined to be the local currency. Accordingly, we translate assets and liabilities of these foreign entities from their local currencies to U.S. dollars using period-end exchange rates and translate income and expense accounts at monthly average rates. The resulting translation adjustments are recorded in other comprehensive income (loss) as “Foreign currency translation adjustments” in our consolidated statements of operations and comprehensive income (loss). We have not recorded deferred income taxes related to our foreign currency translation adjustments.</w:t>
      </w:r>
    </w:p>
    <w:p>
      <w:pPr>
        <w:spacing w:after="0" w:line="18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Gains and losses resulting from re-measurement of monetary assets and liabilities denominated in foreign currencies into the functional currency are recognized in “Other, net” in our consolidated statements of operations and comprehensive income (loss). We recognized net foreign currency transaction gains of $0.1 million for the year ended December 31, 2016 and losses of $3.6 million and $1.6 million for the years ended December 31, 2015 and 2014, respectively.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consider all liquid investments purchased with an original maturity of 90 days or less to be cash equivalents. Cash equivalents as of December 31, 2016 and 2015 primarily consisted of money market funds, government bonds, corporate notes, and commercial paper. The amortized cost of these investments approximates their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Investment Securities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classify our marketable investment securities as available for sale, except in uncommon instances where we have designated certain securities as trading securities. We report all marketable investment securities at fair value in our consolidated balance sheets. We recognize periodic changes in the fair value of trading securities and realized gains and losses on sale of available-for-sale securities in “Gains (losses) on marketable investment securities,” a component of net income, in our consolidated statements of operations and comprehensive income (loss). For available-for-sale securities, we recognize periodic changes in the difference between fair value and amortized cost in other comprehensive income (loss). Realized gains and losses upon sale of available-for-sale securities are reclassified from other comprehensive income (loss) and recognized in net income on the trade date. We use the first-in, first-out (“FIFO”) method to determine the cost basis on sales of marketable investment securities. Interest and dividend income from marketable investment securities is reported in “Interest income” and “Other, net,” respectively, in our consolidated statements of operations and comprehensive income (loss). Dividend income is recognized on the ex-dividend date.</w:t>
      </w:r>
    </w:p>
    <w:p>
      <w:pPr>
        <w:spacing w:after="0" w:line="18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evaluate our available-for-sale securities portfolio on a quarterly basis to determine whether declines in the fair value of these securities are other than temporary. Our evaluation consists of reviewing, among other things:</w:t>
      </w:r>
    </w:p>
    <w:p>
      <w:pPr>
        <w:spacing w:after="0" w:line="170"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fair value of each security compared to its amortized cost;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length of time and the extent to which the fair value of a security has been lower than amortized cost;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historical volatility of the price of each security;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market and company-specific factors related to each security;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intent and ability to hold the investment to recovery.</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Where the fair value of a debt security has declined below its amortized cost, we consider the decline to be other than temporary if any of the following factors apply:</w:t>
      </w:r>
    </w:p>
    <w:p>
      <w:pPr>
        <w:spacing w:after="0" w:line="170"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intend to sell the security,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more likely than not that we will be required to sell the security before maturity or recovery,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do not expect to recover the security’s entire amortized cost basis, even if there is no intent to sell the security.</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Declines in the fair value of available-for-sale securities that are determined to be other than temporary are reclassified from other comprehensive income (loss) and recognized in net income, thus establishing a new cost basis for the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Entities — Cost and Equity Method</w:t>
      </w:r>
    </w:p>
    <w:p>
      <w:pPr>
        <w:spacing w:after="0" w:line="22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We use the equity method to account for equity investments in entities that we do not control but have the ability to significantly influence the operating decisions of the investee. We use the cost method when we do not have the ability to significantly influence the operating decisions of the investee.</w:t>
      </w:r>
    </w:p>
    <w:p>
      <w:pPr>
        <w:spacing w:after="0" w:line="12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Generally, our equity investments accounted for using either the equity method or cost method are not publicly traded and it is not practicable to regularly estimate the fair value of such investments. We evaluate these equity investments on a quarterly basis to determine whether an event or changes in circumstances has occurred that may have a significant adverse effect on the fair value of the investment. As part of our evaluation, we review available information such as business plans and current financial statements of these companies for factors that may indicate an impairment of our investments. Such factors may include, but are not limited to, unprofitable operations, negative cash flow, material litigation, violations of debt covenants, bankruptcy and changes in business strategy. When we determine that an investment is impaired, and the impairment is other than temporary, we adjust the carrying amount of the investment to its estimated fair value and recognize the impairment loss in net income.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Generally, equity method investments are initially recorded at cost and subsequently adjusted for our proportionate share of the net earnings or loss of the investee, which is reported in “Equity in earnings of unconsolidated affiliate” in our consolidated statements of operations and comprehensive income (loss). The carrying amount of our investments may include a component of goodwill if the cost of our investment exceeds the fair value of the underlying identifiable assets and liabilities of the investee. Dividends received from equity method investees reduce the carrying amount of the investment. We defer, to the extent of our ownership interest in the investee, recognition of intra-entity profits on sales of equipment to the investee until the investee has charged the cost of the equipment to expense in a subsequent sale to a third party or through depreciation. In these circumstances, we report the gross amounts of revenue and cost of sales in the statement of operations and include the intra-entity profit eliminations within “Equity in earnings of unconsolidated affiliate.”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estimate allowances for uncollectible accounts receivable based upon past collection experience and consideration of other relevant factors. Past experience may not be indicative of future collections and therefore additional adjustments could be recognized in the future to reflect differences between estimated and actual collections.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Inventory is stated at the lower of cost, determined using the FIFO method, or net realizable value. Cost of inventory consists primarily of materials, direct labor and indirect overhead incurred in the procurement and manufacturing of our products. We use standard costing methodologies in determining the cost of certain of our finished goods and work-in-process inventories. We determine net realizable value using our best estimates of future use or recovery, considering the aging and composition of inventory balances, the effects of technological and/or design changes, forecasted future product demand based on firm or near-firm customer orders, and alternative means of disposition of excess or obsolete items. We recognize losses within operating income when we determine that the cost of inventory and commitments to purchase inventory exceed net realizable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Property and equipment is stated at cost, less accumulated depreciation. The cost of our satellites includes construction costs, including the present value of in-orbit incentives payable to the satellite manufacturer, launch costs, capitalized interest, and related insurance premiums. Depreciation is recorded on a straight-line basis over lives ranging from one to 30 years. Repair and maintenance costs are charged to expense when incurred. Costs of renewals and betterments are capitalized.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review our long-lived assets for recoverability whenever events or changes in circumstances indicate that their carrying amounts may not be recoverable. The evaluation is performed at the lowest level for which identifiable cash flows are largely independent of the cash flows of other assets and liabilities. For assets held and used in operations, the asset is not recoverable if the carrying amount of the asset exceeds its undiscounted estimated future net cash flows. When an asset is not recoverable, we adjust the carrying amount of such asset to its estimated fair value and recognize the impairment loss in net income.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Assets to be disposed of by sale are reported at the lower of the carrying amount or fair value less costs to sell.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Goodwill represents the excess of the cost of acquired businesses over the estimated fair value assigned to the identifiable assets acquired and liabilities assumed. We do not amortize goodwill, but test goodwill for impairment annually, or more frequently if circumstances indicate impairment may exist. Our goodwill as of December 31, 2016 and 2015 is assigned to reporting units of our Hughes segment. We test Hughes goodwill for impairment in the second fiscal quarter. There are two steps to the goodwill impairment test. Step one compares the fair value of a reporting unit with its carrying amount, including goodwill. We typically estimate fair value of the reporting units using discounted cash flow techniques, which includes significant assumptions about prospective financial information, terminal value and discount rates (Level 3 inputs). If the reporting unit’s carrying amount exceeds its estimated fair value, it is necessary to perform the second step of the impairment test, which compares the implied fair value of reporting unit goodwill with the carrying amount of such goodwill to determine the amount of impairment loss. We may bypass the two-step goodwill impairment test if we determine, based on a qualitative assessment, that it is more likely than not that the fair value of a reporting unit exceeds its carrying amount including goodwill.</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Authorizations and Other Intangible Assets</w:t>
      </w:r>
    </w:p>
    <w:p>
      <w:pPr>
        <w:spacing w:after="0" w:line="22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At acquisition and periodically thereafter, we evaluate our intangible assets to determine whether their useful lives are finite or indefinite. We consider our intangible assets to have indefinite lives when no significant legal, regulatory, contractual, competitive, economic, or other factors limit the useful life.</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Intangible assets that have finite lives are amortized over their estimated useful lives, ranging from approximately one to 20 years. When we expect to incur significant costs to renew or extend finite-lived intangible assets, we amortize the total initial and estimated renewal costs over the combined initial and expected renewal terms. In such instances, actual renewal costs are capitalized when they are incurred. We test intangible assets with finite lives for impairment whenever events or changes in circumstances indicate that the carrying amount of the asset may not be recoverable, as discussed above under “Impairment of Long-lived Assets.”</w:t>
      </w:r>
    </w:p>
    <w:p>
      <w:pPr>
        <w:spacing w:after="0" w:line="18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do not amortize our indefinite-lived intangible assets, but test those assets for impairment annually or more frequently if circumstances indicate that it is more likely than not that the asset may be impaired. Costs incurred to maintain or renew indefinite-lived intangible assets are expensed as incurred.</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indefinite-lived intangible assets include Federal Communications Commission (“FCC”) authorizations and certain other contractual or regulatory rights to use spectrum at specified orbital locations (collectively “Regulatory Authorizations”). We have determined that our FCC authorizations generally have indefinite useful lives due to the following:</w:t>
      </w:r>
    </w:p>
    <w:p>
      <w:pPr>
        <w:spacing w:after="0" w:line="18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FCC authorizations are non-depleting assets;</w:t>
      </w:r>
    </w:p>
    <w:p>
      <w:pPr>
        <w:spacing w:after="0" w:line="9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renewal satellite applications generally are authorized by the FCC subject to certain conditions, without substantial cost under a stable regulatory, legislative, and legal environment;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expenditures required to maintain the authorization are not significant;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intend to use these authorizations indefinitely.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included in the consolidated federal income tax return of EchoStar. We recognize a provision or benefit for income taxes currently payable or receivable and for income tax amounts deferred to future periods based upon a separate return allocation method which results in income tax expense that approximates the expense that would result if we were a stand-alone entity. Deferred tax assets and liabilities are recorded for the estimated future tax effects of differences that exist between the financial reporting carrying amount and tax basis of assets and liabilities. Deferred tax assets are offset by valuation allowances when we determine it is more likely than not that such deferred tax assets will not be realized in the foreseeable future. We determine deferred tax assets and liabilities separately for each taxing jurisdiction and report the net amount for each jurisdiction as a noncurrent asset or liability in our consolidated balance sheets.</w:t>
      </w:r>
    </w:p>
    <w:p>
      <w:pPr>
        <w:spacing w:after="0" w:line="18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From time to time, we engage in transactions where the income tax consequences are uncertain. We recognize tax benefits when, in management’s judgment, a tax filing position is more likely than not to be sustained if challenged by the tax authorities. For tax positions that meet the more-likely-than-not threshold, we may not recognize a portion of a tax benefit depending on management’s assessment of how the tax position will ultimately be settled. Unrecognized tax benefits generally are netted against the deferred tax assets associated with our net operating loss carryforwards. We adjust our estimates periodically based on ongoing examinations by and settlements with various taxing authorities, as well as changes in tax laws, regulations and precedent. We classify interest and penalties, if any, associated with our unrecognized tax benefits as a component of income tax provision or benefit.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utilize the highest level of inputs available according to the following hierarchy in determining fair value:</w:t>
      </w:r>
    </w:p>
    <w:p>
      <w:pPr>
        <w:spacing w:after="0" w:line="187" w:lineRule="exact"/>
        <w:rPr>
          <w:sz w:val="20"/>
          <w:szCs w:val="20"/>
          <w:color w:val="auto"/>
        </w:rPr>
      </w:pPr>
    </w:p>
    <w:p>
      <w:pPr>
        <w:ind w:left="5540" w:right="3860" w:hanging="5208"/>
        <w:spacing w:after="0" w:line="653" w:lineRule="auto"/>
        <w:tabs>
          <w:tab w:leader="none" w:pos="6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1, defined as observable inputs being quoted prices in active markets for identical assets; F-11</w:t>
      </w:r>
    </w:p>
    <w:p>
      <w:pPr>
        <w:sectPr>
          <w:pgSz w:w="11900" w:h="16838" w:orient="portrait"/>
          <w:cols w:equalWidth="0" w:num="1">
            <w:col w:w="11360"/>
          </w:cols>
          <w:pgMar w:left="240" w:top="125" w:right="2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660" w:right="14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quoted prices for identical or similar instruments in markets that are not active; and model-derived valuations in which significant inputs and significant value drivers are observable in active markets; and</w:t>
      </w:r>
    </w:p>
    <w:p>
      <w:pPr>
        <w:spacing w:after="0" w:line="46"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3, defined as unobservable inputs for which little or no market data exists, consistent with characteristics of the asset or liability that would be considered by market participants in a transaction to purchase or sell the asset or liability.</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Transfers between levels in the fair value hierarchy are considered to occur at the beginning of the quarterly accounting period. There were no transfers between levels for each of the years ended December 31, 2016 or 2015.</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As of December 31, 2016 and 2015, the carrying amounts of our cash and cash equivalents, trade accounts receivable, net of allowance for doubtful accounts, accounts payable and accrued liabilities were equal to or approximated fair value due to their short-term nature or proximity to current market rates.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values of our marketable investment securities are based on a variety of observable market inputs. For our investments in publicly traded equity securities and U.S. government securities, fair value ordinarily is determined based on a Level 1 measurement that reflects quoted prices for identical securities in active markets. Fair values of our investments in other marketable debt securities generally are based on Level 2 measurements, as the markets for such debt securities are less active. Trades of identical debt securities on or near the measurement date are considered a strong indication of fair value. Matrix pricing techniques that consider par value, coupon rate, credit quality, maturity and other relevant features also may be used to determine fair value of our investments in marketable debt securities.</w:t>
      </w:r>
    </w:p>
    <w:p>
      <w:pPr>
        <w:spacing w:after="0" w:line="274"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Fair values for our 2019 Senior Secured Notes, 2021 Senior Unsecured Notes and 2026 Notes (see Note 10) are based on quoted market prices in less active markets and are categorized as Level 2 measurements. The fair values of our other debt are Level 2 measurements and are estimated to approximate their carrying amounts based on the proximity of their interest rates to current market rates. As of December 31, 2016 and 2015, the fair values of our in-orbit incentive obligations, based on measurements categorized within Level 2 of the fair value hierarchy, approximated their carrying amounts of $74.1 million and $79.3 million, respectively. We use fair value measurements from time to time in connection with asset impairment testing and the assignment of purchase consideration to assets and liabilities of acquired companies. Those fair value measurements typically include significant unobservable inputs and are categorized within Level 3 of the fair value hierarchy.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Revenue from the sale of equipment and services generally is recognized when persuasive evidence of an arrangement exists, prices are fixed or determinable, collectibility is reasonably assured, and the goods have been delivered or services have been rendered. If any of these criteria are not met, revenue recognition is deferred until such time as all of the criteria are met. Revenue from equipment sales generally is recognized upon shipment to customers. Revenue from recurring services generally is recognized ratably over the service term. Upfront fees collected in connection with services to consumer subscribers in our Hughes segment are deferred and recognized as revenue over the estimated subscriber life. We may offer rebates to qualifying new consumer subscribers in our Hughes segment. We reduce related revenue at inception of the subscriber contract based on an estimate of the number of rebates that will be redeemed. Our estimates are based on historical experience and actual sales during the promotion. Services and other revenue includes revenue from leases of satellite capacity and equipment. We typically determine based on applicable criteria that our leasing arrangements are operating leases and recognize related revenue on a straight-line basis over the lease term.</w:t>
      </w:r>
    </w:p>
    <w:p>
      <w:pPr>
        <w:spacing w:after="0" w:line="18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situations where customer offerings represent an arrangement for both services and equipment, revenue elements with standalone value to the customer are separated for revenue recognition purposes based on their selling prices if sold separately. We determine selling prices under a hierarchy that considers vendor-specific objective evidence (“VSOE”), third-party evidence and estimated selling prices. Typically, we derive VSOE from service renewal rates and optional equipment prices specified in customer contracts or we estimate prices based on the gross margin that we ordinarily realize in transactions with similarly situated customers.</w:t>
      </w:r>
    </w:p>
    <w:p>
      <w:pPr>
        <w:spacing w:after="0" w:line="18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addition to equipment and service offerings, our Hughes segment also enters into contracts to design, develop, and deliver complex telecommunication networks to customers in its enterprise and mobile satellite systems markets. Those contracts require significant effort to develop and construct the network over an extended time period. Revenue from such contracts 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recognized using the percentage-of-completion method. Depending on the nature of the arrangement, we measure progress toward contract completion using the cost-to-cost method or the units-of-delivery method. Under the cost-to-cost method, revenue reflects the ratio of costs incurred to estimated total costs at completion multiplied by the total estimated contract revenue. Under the units-of-delivery method, revenue and related costs are recognized as products are delivered based on the expected profit for the entire agreement. Profit margins on long-term contracts are based on estimates of revenue and costs at completion. We review and revise our estimates periodically and recognize related adjustments in the period in which the revisions are made. Estimated losses on contracts are recorded in the period in which they are identified.</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report revenue net of sales taxes imposed on our goods and services in our consolidated statements of operations and comprehensive income (loss). Since we primarily act as an agent for the governmental authorities, the amount charged to the customer is collected and remitted directly to the appropriate jurisdictional entity.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Costs of issuing debt generally are deferred and amortized utilizing the effective interest method with amortization included in “Interest expense, net of amounts capitalized” in our consolidated statements of operations and comprehensive income (loss). We report unamortized debt issuance costs as a reduction of the related long-term debt in our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 Services and Equipment</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Cost of sales - services primarily consists of costs of digital broadcast operations, satellite capacity and services, hub infrastructure, customer care, wireline and wireless capacity, and direct labor costs associated with the services provided. Costs of sales - services generally are charged to expense as incurred. Cost of sales - equipment primarily consists of inventory costs, including freight and royalties. Cost of sales - equipment generally is recognized as products are delivered to customers and related revenue is recognized.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Costs incurred in research and development activities generally are expensed as incurred. A significant portion of our research and development costs are incurred in connection with the specific requirements of a customer’s order. In such instances, the amounts for these customer funded development efforts are included in cost of sales.</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Cost of sales includes research and development costs incurred in connection with customer’s orders of approximately $23.7 million, $19.6 million and $25.1 million for the years ended December 31, 2016, 2015 and 2014, respectively. In addition, we incurred other research and development expenses of approximately $31.2 million, $26.4 million and $20.2 million for the years ended December 31, 2016, 2015 and 2014,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Subscriber Acquisition Costs</w:t>
      </w:r>
    </w:p>
    <w:p>
      <w:pPr>
        <w:spacing w:after="0" w:line="22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Subscriber Acquisition Costs (“SAC”) consists of costs paid to third-party dealers and customer service representative commissions on new service activations and hardware upgrades and, in certain cases, the cost of hardware and installation services provided to non-wholesale consumer customers at the inception of service or hardware upgrade. SAC is deferred when a customer enters into a service agreement and is subsequently amortized over the service agreement term in proportion to when the related service revenue is recognized. We monitor the recoverability of deferred SAC and are entitled to an early termination fee if the subscriber cancels service prior to the end of the service agreement term. The recoverability of deferred SAC is reasonably assured through the monthly service fee charged to customers, our ability to recover the equipment, and/or our ability to charge an early termination fee. Deferred SAC is included in “Other noncurrent assets, net” in our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229" w:lineRule="exact"/>
        <w:rPr>
          <w:sz w:val="20"/>
          <w:szCs w:val="20"/>
          <w:color w:val="auto"/>
        </w:rPr>
      </w:pPr>
    </w:p>
    <w:p>
      <w:pPr>
        <w:ind w:right="480"/>
        <w:spacing w:after="0" w:line="297" w:lineRule="auto"/>
        <w:rPr>
          <w:sz w:val="20"/>
          <w:szCs w:val="20"/>
          <w:color w:val="auto"/>
        </w:rPr>
      </w:pPr>
      <w:r>
        <w:rPr>
          <w:rFonts w:ascii="Arial" w:cs="Arial" w:eastAsia="Arial" w:hAnsi="Arial"/>
          <w:sz w:val="16"/>
          <w:szCs w:val="16"/>
          <w:color w:val="auto"/>
        </w:rPr>
        <w:t>Costs related to the procurement and development of software for internal-use and externally marketed software are capitalized and amortized using the straight-line method over the estimated useful life of the software, not in excess of five years. Capitalized costs of internal-use software are included in “Property and equipment, net” and capitalized costs of externally marketed software are included in “Other noncurrent assets, net” in our consolidated balance sheets. Externally marketed software generally is installed in the equipment we sell to customers. We conduct software program reviews for externally marketed capitalized software costs at least annually, or as events and circumstances warrant such a review, to determine if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capitalized software development costs are recoverable and to ensure that costs associated with programs that are no longer generating revenue are expensed. As of December 31, 2016 and 2015, the net carrying amount of externally marketed software was $76.3 million and $62.8 million, respectively, of which $50.1 million and $32.6 million, respectively, is under development and not yet placed in service. We capitalized costs related to the development of externally marketed software of $23.3 million, $22.4 million and $23.1 million for the years ended December 31, 2016, 2015 and 2014, respectively. We recorded amortization expense relating to the development of externally marketed software of $9.7 million, $8.4 million and $5.4 million for the years ended December 31, 2016, 2015 and 2014, respectively. The weighted average useful life of our externally marketed software was approximately three years as of December 31,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Advertising costs are expensed as incurred and are included in “Selling, general and administrative expenses” in our consolidated statements of operations and comprehensive income (loss). We incurred advertising expense of $43.9 million, $44.2 million and $45.2 million for the years ended December 31, 2016, 2015 and 2014,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Revenue from Contracts with Customers (“ASU 2014-09”). It outlines a single comprehensive model, codified in Topic 606 of the FASB Accounting Standards Codification,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In August 2015, the FASB issued ASU No. 2015-14, which deferred the mandatory effective date of ASU 2014-09 by one year. As a result, public entities are required to adopt the new revenue standard in annual periods beginning after December 15, 2017 and in interim periods within those annual periods. The standard may be applied either retrospectively to prior periods or as a cumulative-effect adjustment as of the date of adoption. Early adoption is permitted, but not before annual periods beginning after December 15, 2016. In March 2016, the FASB issued ASU No. 2016-08, Principal versus Agent Considerations, which clarifies the implementation guidance on principal versus agent considerations. In April 2016, the FASB issued ASU No. 2016-10, Identifying Performance Obligations and Licensing, which amends guidance on identifying performance obligations and accounting for licenses of intellectual property. In May 2016, the FASB issued ASU No. 2016-12, Narrow-Scope Improvements and Practical Expedients, which addresses collectibility, noncash consideration, completed contracts at transition, a practical expedient for contract modifications at transition, and an accounting policy election related to the presentation of sales taxes and other similar taxes collected from customers. In January 2017, the FASB issued ASU No. 2016-20, Technical Corrections to Topic 606, which clarifies, but does not fundamentally change, certain aspects of the new revenue standard. We have not selected the transition method that we will apply upon adoption. We continue to evaluate the impact of the new standard and available adoption methods on our consolidated financial statements. We are in the process of evaluating arrangements with customers and identifying differences in accounting between new and existing standards.</w:t>
      </w:r>
    </w:p>
    <w:p>
      <w:pPr>
        <w:spacing w:after="0" w:line="17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February 2015, the FASB issued Accounting Standards Update No. 2015-02, Consolidation (Topic 810): Amendments to the Consolidation Analysis (“ASU 2015-02”). This standard amends the consolidation guidance for variable interest entities and general partners’ investments in limited partnerships and similar entities. ASU 2015-02 was effective for annual periods beginning after December 15, 2015 and interim periods within those annual periods, and required either a retrospective or a modified retrospective approach as of the beginning of the fiscal year of adoption. We adopted ASU 2015-02 in the first quarter of 2016. The adoption of the standard did not impact our consolidated financial statements.</w:t>
      </w:r>
    </w:p>
    <w:p>
      <w:pPr>
        <w:spacing w:after="0" w:line="17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April 2015, the FASB issued Accounting Standards Update No. 2015-03, Simplifying the Presentation of Debt Issuance Costs (“ASU 2015-03”). This standard requires that debt issuance costs related to a recognized debt liability be presented in the balance sheet as a direct deduction from the carrying amount of debt liability, consistent with debt discounts or premiums. ASU 2015-03 was effective for annual periods beginning after December 15, 2015 and interim periods within those annual periods, and required a retrospective approach to adoption. We adopted ASU 2015-03 in the first quarter of 2016. Upon adoption, we presented unamortized debt issuance cost previously reported in “Other noncurrent assets, net” with a carrying amount of $31.3 million as of December 31, 2015, as a reduction of our “Long-term debt and capital lease obligations, net of unamortized debt issuance costs.”</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January 2016, the FASB issued Accounting Standards Update No. 2016-01, Recognition and Measurement of Financial Assets and Financial Liabilities (“ASU 2016-01”). This update substantially revises standards for the recognition, measurement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and presentation of financial instruments, including requiring all equity investments to be measured at fair value with changes in the fair value recognized through net income. It also amends certain disclosure requirements associated with the fair value of financial instruments. ASU 2016-01 is effective for annual periods beginning after December 15, 2017, including interim periods within those annual periods, with early adoption permitted for certain requirements. We are assessing the impact of adopting this new accounting standard on our consolidated financial statements and related disclosures.</w:t>
      </w:r>
    </w:p>
    <w:p>
      <w:pPr>
        <w:spacing w:after="0" w:line="15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February 2016, the FASB issued Accounting Standards Update No. 2016-02, Leases (“ASU 2016-02”). This standard requires lessees to recognize assets and liabilities for all leases with lease terms more than 12 months, including leases classified as operating leases. The standard also modifies the definition of a lease and the criteria for classifying leases as operating leases or financing leases. ASU 2016-02 is effective for annual periods beginning after December 15, 2018 and interim periods within those periods. Early adoption is permitted. We are assessing the impact of adopting this new accounting standard on our consolidated financial statements and related disclosures.</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June 2016, the FASB issued Accounting Standards Update No. 2016-13, Measurement of Credit Losses on Financial Instruments (“ASU 2016-13”), which introduces an approach based on expected losses to estimate credit losses on certain types of financial instruments. It also modifies the impairment model for available-for-sale debt securities and provides for a simplified accounting model for purchased financial assets with credit deterioration since their origination. ASU 2016-13 is effective for annual periods beginning after December 15, 2019 and interim periods within those periods. Early adoption is permitted. We are assessing the impact of adopting this new accounting standard on our consolidated financial statements and related disclosures.</w:t>
      </w:r>
    </w:p>
    <w:p>
      <w:pPr>
        <w:spacing w:after="0" w:line="15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October 2016, the FASB issued Accounting Standards Update No. 2016-16, Intra-Entity Transfers of Assets Other Than Inventory (“ASU 2016-16”), which improves the accounting for the income tax consequences of intra-entity transfers of assets other than inventory. ASU 2016-16 is effective for annual periods beginning after December 15, 2017 and interim periods within those periods. Early adoption is permitted. We are assessing the impact of adopting this new accounting standard on our consolidated financial statements and related disclosures.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November 2016, the FASB issued Accounting Standards No. 2016-18, Statement of Cash Flows (Topic 230): Restricted Cash (“ASU 2016-18”). This standard clarifies the guidance on the classification and presentation of restricted cash in the statement of cash flows, along with other cash-flow-related issues. ASU 2016-18 is effective for annual periods beginning after December 15, 2017 and interim periods within those periods. Early adoption is permitted, which must apply the guidance retrospectively to all periods presented. We are assessing the impact of adopting this new accounting standard on our consolidated financial statements and related disclosures.</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January 2017, the FASB issued Accounting Standards No. 2017-04, Intangibles - Goodwill and Other (Topic 350): Simplifying the Test for Goodwill Impairment (“ASU 2017-04”). The standard simplifies the accounting for goodwill impairment by removing Step 2 of the goodwill impairment test, which requires a hypothetical purchase price allocation. A goodwill impairment will now be the amount by which a reporting unit’s carrying amount, including goodwill, exceeds its fair value, not to exceed the carrying amount of goodwill. ASU 2017-04 is effective for annual or any interim goodwill impairment tests in fiscal years beginning after December 15, 2019 and to be applied on a prospective basis. Early adoption is permitted for interim or annual goodwill impairment tests performed on testing dates after January 1, 2017. We will apply this new accounting standard in future periods if we determine that the carrying amount of any reporting units including goodwill exceeds fair value of the reporting unit.</w:t>
      </w:r>
    </w:p>
    <w:p>
      <w:pPr>
        <w:spacing w:after="0" w:line="1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Hughes Retail Preferred Tracking Stock</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January 31, 2017, EchoStar and certain of its subsidiaries entered into the Share Exchange Agreement. The Share Exchange Agreement provides, among other things, that EchoStar and its subsidiaries will receive all of the shares of the EchoStar Tracking Stock (as defined below) and HSS Tracking Stock (as defined below) in exchange for 100% of the equity interests of certain subsidiaries of EchoStar that will hold its EchoStar Technologies businesses. Following consummation of the Share Exchange, the EchoStar Tracking Stock and HSS Tracking Stock will be retired and all agreements, arrangements and policy statements with respect to, and terms of, such tracking stock will terminate and be of no further effect. See Note 18 for further discussion of the Share Exchange.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and Tracking Stock Transaction</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February 2014, HSS and EchoStar entered into agreements with certain subsidiaries of DISH Network pursuant to which, effective March 1, 2014, (i) EchoStar issued shares of its newly authorized Hughes Retail Preferred Tracking Stock (the “EchoStar Tracking Stock”) and HSS issued shares of its newly authorized Hughes Retail Preferred Tracking Stock (the “HSS Tracking Stock” and together with the EchoStar Tracking Stock, the “Tracking Stock”) to DISH Network in exchange for five satellites (EchoStar I, EchoStar VII, EchoStar X, EchoStar XI, and EchoStar XIV), including the assumption of related in-orbit incentive obligations, and $11.4 million in cash and (ii) DISH Network began receiving certain satellite services on these five satellites from us (the “Satellite and Tracking Stock Transaction”). Immediately upon receipt of net assets (consisting of two of the five satellites and related in-orbit incentive obligations) from DISH Network in exchange for EchoStar Tracking Stock, EchoStar transferred such net assets to us. The Tracking Stock tracks the economic performance of the residential retail satellite broadband business of our Hughes segment, including certain operations, assets and liabilities attributed to such business (collectively, the “Hughes Retail Group” or “HRG”). The Satellite and Tracking Stock Transaction was consistent with the long-term strategy of the Company to increase the scale of its satellite services business, which provides high-margin revenues, while continuing to benefit from the growth of the satellite broadband business. As a result of the additional satellites received in the Satellite and Tracking Stock Transaction, HSS increased short-term cash flow that it believes has better positioned it to achieve its strategic objectives.</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HSS has adopted a policy statement (the “Policy Statement”) setting forth management and allocation policies for purposes of attributing all of the business and operations of HSS to either the Hughes Retail Group or the “HSSC Group,” which is defined as all other operations of HSS, including all existing and future businesses, other than the Hughes Retail Group. Among other things, the Policy Statement governs how assets, liabilities, revenue and expenses are attributed or allocated between HRG and the HSSC Group. Such attributions and allocations generally do not affect the amounts reported in our consolidated financial statements, except for the attribution of shareholders’ equity and net income or loss between the holders of Tracking Stock and common stock. The Policy Statement also does not significantly affect the way that management assesses operating performance and allocates resources within our Hughes segment.</w:t>
      </w:r>
    </w:p>
    <w:p>
      <w:pPr>
        <w:spacing w:after="0" w:line="18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provide unaudited attributed financial information for HRG and the HSSC Group in an exhibit to our periodic reports on Form 10-Q and Annual Report on Form 10-K. Set forth below is information about certain terms of the Tracking Stock and the initial recording of the Satellite and Tracking Stock Transaction in our consolidated financial statements, as well as the purpose and effect of the transaction on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Tracking Stock</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Tracking stock is a type of capital stock that the issuing company intends to reflect or “track” the economic performance of a particular business component within the company, rather than reflect the economic performance of the company as a whole. The Tracking Stock is intended to track the economic performance of the Hughes Retail Group. The shares of the Tracking Stock issued to DISH Network represent an aggregate 80.0% economic interest in the Hughes Retail Group (the shares issued as HSS Tracking Stock represent a 28.11% economic interest in the Hughes Retail Group and the shares issued as EchoStar Tracking Stock represent a 51.89% economic interest in the Hughes Retail Group). In addition to the remaining 20.0% economic interest in the Hughes Retail Group, HSS retains all economic interest in the wholesale satellite broadband business and other businesses of HSS. The 80.0% economic interest was determined at the time of issuance based on the estimated fair value of the consideration received from DISH Network in exchange for the Tracking Stock, consisting of the five satellites and $11.4 million in cash, relative to the estimated fair value of the Hughes Retail Group. The allocation of economic interest represented by the Tracking Stock of 51.89% issued as EchoStar Tracking Stock and 28.11% issued as HSS Tracking Stock reflected the relative assignment to HSS Tracking Stock and EchoStar Tracking Stock of the aggregate increase in equity resulting from DISH Network’s contribution of the satellites and cash. The tracking stock structure and the allocation of the tracking stock economic interest between EchoStar and HSS was advantageous to EchoStar from an economic and tax perspective by allowing the Company to increase cash flow by using the value of the Hughes Retail Group to purchase the satellites from DISH Network.</w:t>
      </w:r>
    </w:p>
    <w:p>
      <w:pPr>
        <w:spacing w:after="0" w:line="18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While DISH Network, as the holder of the Tracking Stock, holds an aggregate 80.0% economic interest in the Hughes Retail Group, the Hughes Retail Group is not a separate legal entity and therefore cannot own assets, issue securities or enter into legally binding agreements. Holders of the Tracking Stock have no direct claim to the assets of the Hughes Retail Group; rather, holders of the Tracking Stock are stockholders of its respective issuer (EchoStar or HSS) and are subject to all risks and liabilities of the issuer.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HSS Tracking Stock is a series of HSS preferred stock consisting of 300 authorized shares with a par value of $0.001 per share, of which 81.128 shares were issued to DISH Network on March 1, 2014. The EchoStar Tracking Stock is a series of EchoStar preferred stock consisting of 13,000,000 authorized shares with a par value of $0.001 per share, of which 6,290,499 shares were issued to DISH Network on March 1, 2014. As of December 31, 2016, DISH Network held 6.3% and 7.5% of the aggregate number of outstanding shares of EchoStar and HSS capital stock, respectively.</w:t>
      </w:r>
    </w:p>
    <w:p>
      <w:pPr>
        <w:spacing w:after="0" w:line="15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Holders of shares of the Tracking Stock vote with holders of the outstanding shares of common stock of its respective issuer, as a single class, with respect to any and all matters presented to stockholders for their action or consideration. Each share of the Tracking Stock is entitled to one tenth (1/10th) of one vote. In the event of a liquidation of HSS, holders of shares of HSS common stock and HSS Tracking Stock are entitled to receive their respective proportionate interests in the net assets of HSS, if any, remaining for distribution upon liquidation, pro rata based upon the aggregate market value of outstanding shares of HSS Tracking Stock as compared to the aggregate market value of outstanding shares of HSS common stock. Market values of HSS Tracking Stock and HSS common stock are to be determined by an independent appraisal to the extent such shares are not then listed or quoted on any U.S. national or regional securities exchange or quotation system.</w:t>
      </w:r>
    </w:p>
    <w:p>
      <w:pPr>
        <w:spacing w:after="0" w:line="17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Should our board of directors, or the board of directors of EchoStar, make a future determination to pay a dividend on any shares of capital stock, the respective board of directors may, in its sole discretion, declare dividends only on shares of common stock, only on shares of the Tracking Stock or on shares of both the common stock and the Tracking Stock of the respective company. No dividend or other distribution may be paid on any shares of EchoStar Tracking Stock unless a dividend or distribution in an equivalent amount is paid on shares of HSS Tracking Stock and no dividend or other distribution may be paid on any shares of HSS Tracking Stock unless a dividend or distribution in an equivalent amount is paid on shares of EchoStar Tracking Stock.</w:t>
      </w:r>
    </w:p>
    <w:p>
      <w:pPr>
        <w:spacing w:after="0" w:line="158"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EchoStar and HSS may each, at its option, redeem all of the outstanding shares of its Tracking Stock in exchange for shares of common stock in an HRG Holding Company (as defined below), which EchoStar is required to establish pursuant to the Investor Rights Agreement discussed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Satellite and Tracking Stock Transaction, EchoStar, HSS and DISH Network entered into an agreement (the “Investor Rights Agreement”) setting forth certain rights and obligations of the parties with respect to the Tracking Stock. Among other provisions, the Investor Rights Agreement provides: (i) certain information and consultation rights for DISH Network; (ii) certain transfer restrictions on the Tracking Stock and certain rights and obligations to offer and sell under certain circumstances (including a right of first offer in favor of EchoStar), an obligation to sell the Tracking Stock to us in connection with a change of control of DISH Network and a right to require us to repurchase the Tracking Stock in connection with a change of control of EchoStar, in each case subject to certain terms and conditions; (iii) certain protective covenants afforded to holders of the Tracking Stock; and (iv) a requirement for EchoStar to establish a holding company subsidiary (an “HRG Holding Company”) that is directly or indirectly wholly owned by EchoStar and that will hold the Hughes Retail Group.</w:t>
      </w:r>
    </w:p>
    <w:p>
      <w:pPr>
        <w:spacing w:after="0" w:line="19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addition, the Investor Rights Agreement provides that DISH Network may, at any time on or after September 1, 2016, require EchoStar to use its commercially reasonable efforts to register some or all of the outstanding shares of the Tracking Stock under the Securities Act of 1933, as amended, subject to certain terms and conditions (including our right, upon the receipt of a demand for registration, to offer to repurchase all of the Tracking Stock). In connection with any demand for registration, DISH Network may require any outstanding shares of the HSS Tracking Stock to be exchanged for shares of the EchoStar Tracking Stock with an equivalent economic interest in the Hughes Retail Group. In the event that a registration of shares of Tracking Stock is effected, EchoStar is required to use its reasonable best efforts to amend the terms of the Tracking Stock so that the Tracking Stock will be convertible or exchangeable for shares of EchoStar Class A common stock with equivalent market value.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Recording of the Satellite and Tracking Stock Transaction</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HSS, EchoStar and DISH Network are entities under common control. In accordance with accounting principles that apply to transfers of assets between entities under common control, HSS recorded the net assets received from DISH Network in the Satellite and Tracking Stock Transaction (directly or indirectly through EchoStar) at their historical carrying amounts as reflected in DISH Network’s consolidated financial statements as of February 28, 2014, the day prior to the effective date of the Satellite and Tracking Stock Transaction. DISH Network transferred the EchoStar I, EchoStar VII, and EchoStar X satellites to HSS and transferred the EchoStar XI and EchoStar XIV satellites to EchoStar. All of the net assets received by EchoStar as part of the Satellite and Tracking Stock Transaction were immediately transferred to HSS and are being used by our EchoStar Satellite Services segment. The historical carrying amounts of net assets transferred to HSS, inclusive of the net assets received by EchoStar at the date of transfer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2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Net Assets Transferred</w:t>
            </w:r>
          </w:p>
        </w:tc>
      </w:tr>
      <w:tr>
        <w:trPr>
          <w:trHeight w:val="27"/>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8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20" w:type="dxa"/>
            <w:vAlign w:val="bottom"/>
          </w:tcPr>
          <w:p>
            <w:pPr>
              <w:jc w:val="right"/>
              <w:ind w:right="890"/>
              <w:spacing w:after="0"/>
              <w:rPr>
                <w:sz w:val="20"/>
                <w:szCs w:val="20"/>
                <w:color w:val="auto"/>
              </w:rPr>
            </w:pPr>
            <w:r>
              <w:rPr>
                <w:rFonts w:ascii="Arial" w:cs="Arial" w:eastAsia="Arial" w:hAnsi="Arial"/>
                <w:sz w:val="18"/>
                <w:szCs w:val="18"/>
                <w:color w:val="auto"/>
              </w:rPr>
              <w:t>(In thousands)</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11,404</w:t>
            </w: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432,080</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(6,555)</w:t>
            </w: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60" w:type="dxa"/>
            <w:vAlign w:val="bottom"/>
          </w:tcPr>
          <w:p>
            <w:pPr>
              <w:spacing w:after="0"/>
              <w:rPr>
                <w:sz w:val="21"/>
                <w:szCs w:val="21"/>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(38,834)</w:t>
            </w:r>
          </w:p>
        </w:tc>
      </w:tr>
      <w:tr>
        <w:trPr>
          <w:trHeight w:val="27"/>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69"/>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Transferred net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398,095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transferred net assets increased HSS shareholders’ equity by amounts that reflect the carrying amounts of net assets that would be distributed to holders of the Tracking Stock and common stock in a hypothetical liquidation, which would be in proportion to the relative market values (as defined in applicable agreements) of each class of stock. The amounts credited to equity were reduced by direct costs of the Tracking Stock issuance and deferred income tax liabilities arising from differences between the financial reporting carrying amounts and the tax bases of the transferred satellites. The net amounts credited to HSS’ shareholders’ equity (primarily additional paid-in capital) were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Transferred net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Offering costs, net of tax</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income taxes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increase in shareholders’ equity</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Increase (Decrease)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1886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6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31750</wp:posOffset>
            </wp:positionV>
            <wp:extent cx="698944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line="43" w:lineRule="exact"/>
        <w:rPr>
          <w:sz w:val="20"/>
          <w:szCs w:val="20"/>
          <w:color w:val="auto"/>
        </w:rPr>
      </w:pPr>
    </w:p>
    <w:p>
      <w:pPr>
        <w:spacing w:after="0"/>
        <w:tabs>
          <w:tab w:leader="none" w:pos="22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398,095</w:t>
      </w:r>
    </w:p>
    <w:p>
      <w:pPr>
        <w:spacing w:after="0" w:line="75"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31750</wp:posOffset>
            </wp:positionV>
            <wp:extent cx="698944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line="43"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(144,496)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18865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spacing w:after="0"/>
        <w:tabs>
          <w:tab w:leader="none" w:pos="22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252,990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39370</wp:posOffset>
            </wp:positionV>
            <wp:extent cx="1886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56515</wp:posOffset>
            </wp:positionV>
            <wp:extent cx="18865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60" w:space="720"/>
            <w:col w:w="3340"/>
          </w:cols>
          <w:pgMar w:left="240" w:top="125" w:right="239" w:bottom="1440" w:gutter="0" w:footer="0" w:header="0"/>
          <w:type w:val="continuous"/>
        </w:sectPr>
      </w:pPr>
    </w:p>
    <w:p>
      <w:pPr>
        <w:spacing w:after="0" w:line="3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Other Comprehensive Income (Loss) and Related Tax Effects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have not recognized any tax effects on foreign currency translation adjustments because they are not expected to result in future taxable income or deductions. We have not recognized any tax effects on unrealized gains or losses on available-for-sale securities because such gains or losses would affect the amount of existing capital loss carryforwards for which the related deferred tax asset has been fully offset by a valuation allowance.</w:t>
      </w:r>
    </w:p>
    <w:p>
      <w:pPr>
        <w:spacing w:after="0" w:line="16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Accumulated other comprehensive loss includes cumulative foreign currency translation losses of $59.0 million, $53.8 million and $29.2 million as of December 31, 2016, 2015 and 2014,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5"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for the years ended December 31, 2016, 2015 and 2014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Affected Line Item in our</w:t>
            </w:r>
          </w:p>
        </w:tc>
        <w:tc>
          <w:tcPr>
            <w:tcW w:w="280" w:type="dxa"/>
            <w:vAlign w:val="bottom"/>
          </w:tcPr>
          <w:p>
            <w:pPr>
              <w:spacing w:after="0"/>
              <w:rPr>
                <w:sz w:val="18"/>
                <w:szCs w:val="18"/>
                <w:color w:val="auto"/>
              </w:rPr>
            </w:pPr>
          </w:p>
        </w:tc>
        <w:tc>
          <w:tcPr>
            <w:tcW w:w="3680" w:type="dxa"/>
            <w:vAlign w:val="bottom"/>
            <w:gridSpan w:val="7"/>
            <w:vMerge w:val="restart"/>
          </w:tcPr>
          <w:p>
            <w:pPr>
              <w:jc w:val="center"/>
              <w:ind w:right="190"/>
              <w:spacing w:after="0"/>
              <w:rPr>
                <w:sz w:val="20"/>
                <w:szCs w:val="20"/>
                <w:color w:val="auto"/>
              </w:rPr>
            </w:pPr>
            <w:r>
              <w:rPr>
                <w:rFonts w:ascii="Arial" w:cs="Arial" w:eastAsia="Arial" w:hAnsi="Arial"/>
                <w:sz w:val="18"/>
                <w:szCs w:val="18"/>
                <w:b w:val="1"/>
                <w:bCs w:val="1"/>
                <w:color w:val="auto"/>
                <w:w w:val="90"/>
              </w:rPr>
              <w:t>For the Years Ended December 31,</w:t>
            </w:r>
          </w:p>
        </w:tc>
        <w:tc>
          <w:tcPr>
            <w:tcW w:w="0" w:type="dxa"/>
            <w:vAlign w:val="bottom"/>
          </w:tcPr>
          <w:p>
            <w:pPr>
              <w:spacing w:after="0"/>
              <w:rPr>
                <w:sz w:val="1"/>
                <w:szCs w:val="1"/>
                <w:color w:val="auto"/>
              </w:rPr>
            </w:pPr>
          </w:p>
        </w:tc>
      </w:tr>
      <w:tr>
        <w:trPr>
          <w:trHeight w:val="86"/>
        </w:trPr>
        <w:tc>
          <w:tcPr>
            <w:tcW w:w="43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31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Consolidated</w:t>
            </w:r>
          </w:p>
        </w:tc>
        <w:tc>
          <w:tcPr>
            <w:tcW w:w="280" w:type="dxa"/>
            <w:vAlign w:val="bottom"/>
          </w:tcPr>
          <w:p>
            <w:pPr>
              <w:spacing w:after="0"/>
              <w:rPr>
                <w:sz w:val="7"/>
                <w:szCs w:val="7"/>
                <w:color w:val="auto"/>
              </w:rPr>
            </w:pPr>
          </w:p>
        </w:tc>
        <w:tc>
          <w:tcPr>
            <w:tcW w:w="36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340" w:type="dxa"/>
            <w:vAlign w:val="bottom"/>
            <w:gridSpan w:val="2"/>
            <w:vMerge w:val="continue"/>
          </w:tcPr>
          <w:p>
            <w:pPr>
              <w:spacing w:after="0"/>
              <w:rPr>
                <w:sz w:val="2"/>
                <w:szCs w:val="2"/>
                <w:color w:val="auto"/>
              </w:rPr>
            </w:pPr>
          </w:p>
        </w:tc>
        <w:tc>
          <w:tcPr>
            <w:tcW w:w="3100" w:type="dxa"/>
            <w:vAlign w:val="bottom"/>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4340" w:type="dxa"/>
            <w:vAlign w:val="bottom"/>
            <w:gridSpan w:val="2"/>
            <w:vMerge w:val="continue"/>
          </w:tcPr>
          <w:p>
            <w:pPr>
              <w:spacing w:after="0"/>
              <w:rPr>
                <w:sz w:val="7"/>
                <w:szCs w:val="7"/>
                <w:color w:val="auto"/>
              </w:rPr>
            </w:pPr>
          </w:p>
        </w:tc>
        <w:tc>
          <w:tcPr>
            <w:tcW w:w="31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34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Components</w:t>
            </w:r>
          </w:p>
        </w:tc>
        <w:tc>
          <w:tcPr>
            <w:tcW w:w="3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Statements of Operations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(In thousands)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Recognition of realized gains (losses) on available-for-</w:t>
            </w: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Gains (losses) on marketable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sale securities in net income (1)</w:t>
            </w:r>
          </w:p>
        </w:tc>
        <w:tc>
          <w:tcPr>
            <w:tcW w:w="3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investment securities,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340" w:type="dxa"/>
            <w:vAlign w:val="bottom"/>
            <w:gridSpan w:val="2"/>
          </w:tcPr>
          <w:p>
            <w:pPr>
              <w:ind w:left="40"/>
              <w:spacing w:after="0"/>
              <w:rPr>
                <w:sz w:val="20"/>
                <w:szCs w:val="20"/>
                <w:color w:val="auto"/>
              </w:rPr>
            </w:pPr>
            <w:r>
              <w:rPr>
                <w:rFonts w:ascii="Arial" w:cs="Arial" w:eastAsia="Arial" w:hAnsi="Arial"/>
                <w:sz w:val="18"/>
                <w:szCs w:val="18"/>
                <w:color w:val="auto"/>
                <w:w w:val="96"/>
              </w:rPr>
              <w:t>Recognition of other-than-temporary impairment loss on</w:t>
            </w:r>
          </w:p>
        </w:tc>
        <w:tc>
          <w:tcPr>
            <w:tcW w:w="3100" w:type="dxa"/>
            <w:vAlign w:val="bottom"/>
            <w:gridSpan w:val="2"/>
          </w:tcPr>
          <w:p>
            <w:pPr>
              <w:ind w:left="40"/>
              <w:spacing w:after="0"/>
              <w:rPr>
                <w:sz w:val="20"/>
                <w:szCs w:val="20"/>
                <w:color w:val="auto"/>
              </w:rPr>
            </w:pPr>
            <w:r>
              <w:rPr>
                <w:rFonts w:ascii="Arial" w:cs="Arial" w:eastAsia="Arial" w:hAnsi="Arial"/>
                <w:sz w:val="18"/>
                <w:szCs w:val="18"/>
                <w:color w:val="auto"/>
                <w:w w:val="99"/>
              </w:rPr>
              <w:t>Other-than-temporary impairment loss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ind w:left="200"/>
              <w:spacing w:after="0"/>
              <w:rPr>
                <w:sz w:val="20"/>
                <w:szCs w:val="20"/>
                <w:color w:val="auto"/>
              </w:rPr>
            </w:pPr>
            <w:r>
              <w:rPr>
                <w:rFonts w:ascii="Arial" w:cs="Arial" w:eastAsia="Arial" w:hAnsi="Arial"/>
                <w:sz w:val="18"/>
                <w:szCs w:val="18"/>
                <w:color w:val="auto"/>
              </w:rPr>
              <w:t>available-for-sale securities in net income (2)</w:t>
            </w:r>
          </w:p>
        </w:tc>
        <w:tc>
          <w:tcPr>
            <w:tcW w:w="3100" w:type="dxa"/>
            <w:vAlign w:val="bottom"/>
            <w:gridSpan w:val="2"/>
          </w:tcPr>
          <w:p>
            <w:pPr>
              <w:ind w:left="200"/>
              <w:spacing w:after="0"/>
              <w:rPr>
                <w:sz w:val="20"/>
                <w:szCs w:val="20"/>
                <w:color w:val="auto"/>
              </w:rPr>
            </w:pPr>
            <w:r>
              <w:rPr>
                <w:rFonts w:ascii="Arial" w:cs="Arial" w:eastAsia="Arial" w:hAnsi="Arial"/>
                <w:sz w:val="18"/>
                <w:szCs w:val="18"/>
                <w:color w:val="auto"/>
              </w:rPr>
              <w:t>on available-for-sale securities</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reclassifications, net of tax and noncontrolling</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6,124</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340" w:right="320" w:hanging="332"/>
        <w:spacing w:after="0" w:line="250"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When available-for-sale securities are sold, the related unrealized gains and losses that were previously recognized in other comprehensive income (loss) are reclassified and recognized as “Gains (losses) on marketable investment securities, net” in our consolidated statements of operations and comprehensive income (loss).</w:t>
      </w: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 recorded other-than-temporary impairment losses on shares of certain common stock included in our strategic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-311785</wp:posOffset>
            </wp:positionV>
            <wp:extent cx="25126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Note 5.  Investment Securities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8120" w:type="dxa"/>
            <w:vAlign w:val="bottom"/>
          </w:tcPr>
          <w:p>
            <w:pPr>
              <w:spacing w:after="0"/>
              <w:rPr>
                <w:sz w:val="20"/>
                <w:szCs w:val="20"/>
                <w:color w:val="auto"/>
              </w:rPr>
            </w:pPr>
            <w:r>
              <w:rPr>
                <w:rFonts w:ascii="Arial" w:cs="Arial" w:eastAsia="Arial" w:hAnsi="Arial"/>
                <w:sz w:val="18"/>
                <w:szCs w:val="18"/>
                <w:color w:val="auto"/>
                <w:w w:val="95"/>
              </w:rPr>
              <w:t>Our marketable investment securities and investments in unconsolidated entities consisted of the following:</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2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04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investment securities—current, at fair value: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164,619</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228,770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Strategic equity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18,297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12,995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6,276</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investment securities—current</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187,923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253,343</w:t>
            </w:r>
          </w:p>
        </w:tc>
      </w:tr>
      <w:tr>
        <w:trPr>
          <w:trHeight w:val="22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Investments in unconsolidated entities—noncurrent:</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method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27,122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26,043</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investments in unconsolidated entities—noncurrent</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42,560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41,481</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marketable investment securities and investments in unconsolidated entities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230,483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294,824</w:t>
            </w:r>
          </w:p>
        </w:tc>
      </w:tr>
      <w:tr>
        <w:trPr>
          <w:trHeight w:val="27"/>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Investment Securities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marketable investment securities portfolio consists of various debt and equity instruments, which generally are classified as available-for-sale or trading securities depending on our investment strategy for those securities. The value of our investment portfolio depends on the value of such securities and other instruments comprising the portfolio.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Bonds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corporate bond portfolio includes debt instruments issued by individual corporations, primarily in the industrial and financial services industries.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Equity Securities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Our strategic investment portfolio consists of investments in shares of common stock of public companies, which are highly speculative and have experienced and continue to experience volatility. We did not receive any dividend income for the years ended December 31, 2016, 2015 and 2014.</w:t>
      </w:r>
    </w:p>
    <w:p>
      <w:pPr>
        <w:spacing w:after="0" w:line="14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As of December 31, 2016 and 2015, our strategic equity securities included shares of common stock of one of our customers that we received in satisfaction of certain milestone payments that were required to be paid to us under an existing long-term contract. “Gains (losses) on marketable investment securities, net” for the years ended December 31, 2016 and 2015 included gains of $0.6 million and losses of $6.5 million, respectively, related to trading securities that we held as of December 31, 2016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and 2015, respectively. The fair values of our trading securities were $7.2 million and $10.3 million as of December 31, 2016 and 2015,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other current marketable investment securities portfolio includes investments in various debt instruments, including U.S. government bonds and commercial paper.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Gains (Losses) on Available-for-Sale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available-for-sale securities are summarized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Amortized</w:t>
            </w:r>
          </w:p>
        </w:tc>
        <w:tc>
          <w:tcPr>
            <w:tcW w:w="320" w:type="dxa"/>
            <w:vAlign w:val="bottom"/>
          </w:tcPr>
          <w:p>
            <w:pPr>
              <w:spacing w:after="0"/>
              <w:rPr>
                <w:sz w:val="20"/>
                <w:szCs w:val="20"/>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Unrealized</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Estimated</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Cost</w:t>
            </w:r>
          </w:p>
        </w:tc>
        <w:tc>
          <w:tcPr>
            <w:tcW w:w="32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b w:val="1"/>
                <w:bCs w:val="1"/>
                <w:color w:val="auto"/>
              </w:rPr>
              <w:t>Gains</w:t>
            </w:r>
          </w:p>
        </w:tc>
        <w:tc>
          <w:tcPr>
            <w:tcW w:w="48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Losses</w:t>
            </w:r>
          </w:p>
        </w:tc>
        <w:tc>
          <w:tcPr>
            <w:tcW w:w="24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164,619</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12,994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12,995</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 strategic</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3,110</w:t>
            </w:r>
          </w:p>
        </w:tc>
      </w:tr>
      <w:tr>
        <w:trPr>
          <w:trHeight w:val="237"/>
        </w:trPr>
        <w:tc>
          <w:tcPr>
            <w:tcW w:w="4460" w:type="dxa"/>
            <w:vAlign w:val="bottom"/>
          </w:tcPr>
          <w:p>
            <w:pPr>
              <w:ind w:left="380"/>
              <w:spacing w:after="0"/>
              <w:rPr>
                <w:sz w:val="20"/>
                <w:szCs w:val="20"/>
                <w:color w:val="auto"/>
              </w:rPr>
            </w:pPr>
            <w:r>
              <w:rPr>
                <w:rFonts w:ascii="Arial" w:cs="Arial" w:eastAsia="Arial" w:hAnsi="Arial"/>
                <w:sz w:val="18"/>
                <w:szCs w:val="18"/>
                <w:color w:val="auto"/>
              </w:rPr>
              <w:t>Total available-for-sale securities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182,391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180,724</w:t>
            </w:r>
          </w:p>
        </w:tc>
      </w:tr>
      <w:tr>
        <w:trPr>
          <w:trHeight w:val="67"/>
        </w:trPr>
        <w:tc>
          <w:tcPr>
            <w:tcW w:w="44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44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 of December 31, 2015</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229,004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228,770</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6,279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6,276</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 strategic</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7,955</w:t>
            </w:r>
          </w:p>
        </w:tc>
      </w:tr>
      <w:tr>
        <w:trPr>
          <w:trHeight w:val="237"/>
        </w:trPr>
        <w:tc>
          <w:tcPr>
            <w:tcW w:w="4460" w:type="dxa"/>
            <w:vAlign w:val="bottom"/>
          </w:tcPr>
          <w:p>
            <w:pPr>
              <w:ind w:left="380"/>
              <w:spacing w:after="0"/>
              <w:rPr>
                <w:sz w:val="20"/>
                <w:szCs w:val="20"/>
                <w:color w:val="auto"/>
              </w:rPr>
            </w:pPr>
            <w:r>
              <w:rPr>
                <w:rFonts w:ascii="Arial" w:cs="Arial" w:eastAsia="Arial" w:hAnsi="Arial"/>
                <w:sz w:val="18"/>
                <w:szCs w:val="18"/>
                <w:color w:val="auto"/>
              </w:rPr>
              <w:t>Total available-for-sale securities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243,320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243,001</w:t>
            </w:r>
          </w:p>
        </w:tc>
      </w:tr>
      <w:tr>
        <w:trPr>
          <w:trHeight w:val="27"/>
        </w:trPr>
        <w:tc>
          <w:tcPr>
            <w:tcW w:w="4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December 31, 2016, restricted and non-restricted available-for-sale securities included debt securities of $177.6 million with contractual maturities of one year or less and zero with contractual maturities greater than one year. We may realize proceeds from certain investments prior to their contractual maturity as a result of our ability to sell these securities prior to their contractual maturity.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 Securities in a Loss Position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table reflects the length of time that our available-for-sale securities have been in an unrealized loss position. We do not intend to sell these securities before they recover or mature, and it is more likely than not that we will hold these securities until they recover or mature. We believe that changes in the estimated fair values of these securities are primarily related to temporary market conditions.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gridSpan w:val="5"/>
          </w:tcPr>
          <w:p>
            <w:pPr>
              <w:ind w:left="680"/>
              <w:spacing w:after="0"/>
              <w:rPr>
                <w:sz w:val="20"/>
                <w:szCs w:val="20"/>
                <w:color w:val="auto"/>
              </w:rPr>
            </w:pPr>
            <w:r>
              <w:rPr>
                <w:rFonts w:ascii="Arial" w:cs="Arial" w:eastAsia="Arial" w:hAnsi="Arial"/>
                <w:sz w:val="18"/>
                <w:szCs w:val="18"/>
                <w:b w:val="1"/>
                <w:bCs w:val="1"/>
                <w:color w:val="auto"/>
              </w:rPr>
              <w:t>As of December 31,</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134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4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Unrealized</w:t>
            </w:r>
          </w:p>
        </w:tc>
        <w:tc>
          <w:tcPr>
            <w:tcW w:w="540" w:type="dxa"/>
            <w:vAlign w:val="bottom"/>
          </w:tcPr>
          <w:p>
            <w:pPr>
              <w:spacing w:after="0"/>
              <w:rPr>
                <w:sz w:val="18"/>
                <w:szCs w:val="18"/>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18"/>
                <w:szCs w:val="18"/>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Unrealized</w:t>
            </w:r>
          </w:p>
        </w:tc>
      </w:tr>
      <w:tr>
        <w:trPr>
          <w:trHeight w:val="234"/>
        </w:trPr>
        <w:tc>
          <w:tcPr>
            <w:tcW w:w="4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Value</w:t>
            </w:r>
          </w:p>
        </w:tc>
        <w:tc>
          <w:tcPr>
            <w:tcW w:w="26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540" w:type="dxa"/>
            <w:vAlign w:val="bottom"/>
          </w:tcPr>
          <w:p>
            <w:pPr>
              <w:spacing w:after="0"/>
              <w:rPr>
                <w:sz w:val="20"/>
                <w:szCs w:val="20"/>
                <w:color w:val="auto"/>
              </w:rPr>
            </w:pPr>
          </w:p>
        </w:tc>
        <w:tc>
          <w:tcPr>
            <w:tcW w:w="11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Value</w:t>
            </w:r>
          </w:p>
        </w:tc>
        <w:tc>
          <w:tcPr>
            <w:tcW w:w="260" w:type="dxa"/>
            <w:vAlign w:val="bottom"/>
          </w:tcPr>
          <w:p>
            <w:pPr>
              <w:spacing w:after="0"/>
              <w:rPr>
                <w:sz w:val="20"/>
                <w:szCs w:val="20"/>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Losses</w:t>
            </w:r>
          </w:p>
        </w:tc>
      </w:tr>
      <w:tr>
        <w:trPr>
          <w:trHeight w:val="27"/>
        </w:trPr>
        <w:tc>
          <w:tcPr>
            <w:tcW w:w="4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12 months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148,629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12 months or more</w:t>
            </w:r>
          </w:p>
        </w:tc>
        <w:tc>
          <w:tcPr>
            <w:tcW w:w="3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67,751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4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Available-for-Sale Securities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recognized gains from the sales of our available-for-sale securities of $3.0 million for the year ended December 31, 2016, and de minimis gains for each of the years ended December 31, 2015 and 2014. We recognized de minimis losses from the sales of our available-for-sale securities for each of the years ended December 31, 2016, 2015 and 2014.</w:t>
      </w: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20"/>
          </w:cols>
          <w:pgMar w:left="24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Proceeds from sales of our available-for-sale securities totaled $20.1 million, $21.4 million and $42.8 million for the years ended December 31, 2016,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current marketable investment securities are measured at fair value on a recurring basis as summarized in the table below. As of December 31, 2016 and 2015, we did not have investments that were categorized within Level 3 of the fair value hierarchy.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As of December 31,</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(In thousands)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1,991,949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1,977,938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303,152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302,939</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Debt securities: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164,619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228,770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228,770</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12,995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12,995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 strategic</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18,297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8"/>
                <w:szCs w:val="18"/>
                <w:color w:val="auto"/>
                <w:w w:val="98"/>
              </w:rPr>
              <w:t>Total marketable investment securities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187,923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10,309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177,614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253,343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18,297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235,046</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Unconsolidated Entities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Noncurrent</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have a few strategic investments in certain non-publicly traded equity securities that are accounted for using either the equity or the cost method of accounting. Our ability to realize value from our strategic investments in companies that are not publicly traded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54"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We recorded cash distributions from one of these investments accounted for using the equity method of $10.0 million, zero and $2.4 million for the years ended December 31, 2016, 2015 and 2014, respectively. These cash distributions were determined to be a return on investment and reported in cash flows from operating activities in our consolidated statements of cash flows.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Arial" w:cs="Arial" w:eastAsia="Arial" w:hAnsi="Arial"/>
                <w:sz w:val="18"/>
                <w:szCs w:val="18"/>
                <w:b w:val="1"/>
                <w:bCs w:val="1"/>
                <w:color w:val="auto"/>
              </w:rPr>
              <w:t>Note 6.  Trade Accounts Receivable</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7900" w:type="dxa"/>
            <w:vAlign w:val="bottom"/>
          </w:tcPr>
          <w:p>
            <w:pPr>
              <w:spacing w:after="0"/>
              <w:rPr>
                <w:sz w:val="20"/>
                <w:szCs w:val="20"/>
                <w:color w:val="auto"/>
              </w:rPr>
            </w:pPr>
            <w:r>
              <w:rPr>
                <w:rFonts w:ascii="Arial" w:cs="Arial" w:eastAsia="Arial" w:hAnsi="Arial"/>
                <w:sz w:val="18"/>
                <w:szCs w:val="18"/>
                <w:color w:val="auto"/>
              </w:rPr>
              <w:t>Our trade accounts receivable consisted of the following:</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7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2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80" w:type="dxa"/>
            <w:vAlign w:val="bottom"/>
            <w:gridSpan w:val="3"/>
          </w:tcPr>
          <w:p>
            <w:pPr>
              <w:jc w:val="right"/>
              <w:ind w:right="10"/>
              <w:spacing w:after="0"/>
              <w:rPr>
                <w:sz w:val="20"/>
                <w:szCs w:val="20"/>
                <w:color w:val="auto"/>
              </w:rPr>
            </w:pPr>
            <w:r>
              <w:rPr>
                <w:rFonts w:ascii="Arial" w:cs="Arial" w:eastAsia="Arial" w:hAnsi="Arial"/>
                <w:sz w:val="18"/>
                <w:szCs w:val="18"/>
                <w:color w:val="auto"/>
              </w:rPr>
              <w:t>(In thousands)</w:t>
            </w:r>
          </w:p>
        </w:tc>
        <w:tc>
          <w:tcPr>
            <w:tcW w:w="114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159,094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127,946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Contracts in process, net</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36,170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23,011</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trade accounts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195,264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150,957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(12,752)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(11,447)</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 DISH Network</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19,323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21,258</w:t>
            </w: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Total trade accounts receivable, net</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201,835</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160,768</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2016 and 2015, progress billings offset against contracts in process amounted to $14.6 million and $2.9 million, respectively.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Note 7.  Inventory</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color w:val="auto"/>
              </w:rPr>
              <w:t>Our inventory consisted of the following:</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2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89"/>
              </w:rPr>
              <w:t>As of December 31,</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center"/>
              <w:ind w:left="650"/>
              <w:spacing w:after="0"/>
              <w:rPr>
                <w:sz w:val="20"/>
                <w:szCs w:val="20"/>
                <w:color w:val="auto"/>
              </w:rPr>
            </w:pPr>
            <w:r>
              <w:rPr>
                <w:rFonts w:ascii="Arial" w:cs="Arial" w:eastAsia="Arial" w:hAnsi="Arial"/>
                <w:sz w:val="18"/>
                <w:szCs w:val="18"/>
                <w:color w:val="auto"/>
                <w:w w:val="88"/>
              </w:rPr>
              <w:t>(In thousands)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49,773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39,642</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Raw materials</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6,678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5,280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Total inventory</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62,638</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48,797</w:t>
            </w:r>
          </w:p>
        </w:tc>
        <w:tc>
          <w:tcPr>
            <w:tcW w:w="0" w:type="dxa"/>
            <w:vAlign w:val="bottom"/>
          </w:tcPr>
          <w:p>
            <w:pPr>
              <w:spacing w:after="0"/>
              <w:rPr>
                <w:sz w:val="1"/>
                <w:szCs w:val="1"/>
                <w:color w:val="auto"/>
              </w:rPr>
            </w:pPr>
          </w:p>
        </w:tc>
      </w:tr>
      <w:tr>
        <w:trPr>
          <w:trHeight w:val="27"/>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Note 8.  Property and Equipment</w:t>
            </w: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0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color w:val="auto"/>
              </w:rPr>
              <w:t>Property and equipment consisted of the following:</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80" w:type="dxa"/>
            <w:vAlign w:val="bottom"/>
          </w:tcPr>
          <w:p>
            <w:pPr>
              <w:spacing w:after="0"/>
              <w:rPr>
                <w:sz w:val="24"/>
                <w:szCs w:val="24"/>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0"/>
              </w:rPr>
              <w:t>Depreciable Life</w:t>
            </w:r>
          </w:p>
        </w:tc>
        <w:tc>
          <w:tcPr>
            <w:tcW w:w="400" w:type="dxa"/>
            <w:vAlign w:val="bottom"/>
          </w:tcPr>
          <w:p>
            <w:pPr>
              <w:spacing w:after="0"/>
              <w:rPr>
                <w:sz w:val="24"/>
                <w:szCs w:val="24"/>
                <w:color w:val="auto"/>
              </w:rPr>
            </w:pPr>
          </w:p>
        </w:tc>
        <w:tc>
          <w:tcPr>
            <w:tcW w:w="312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88"/>
              </w:rPr>
              <w:t>As of December 31,</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820" w:type="dxa"/>
            <w:vAlign w:val="bottom"/>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(In Years)</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center"/>
              <w:ind w:left="670"/>
              <w:spacing w:after="0"/>
              <w:rPr>
                <w:sz w:val="20"/>
                <w:szCs w:val="20"/>
                <w:color w:val="auto"/>
              </w:rPr>
            </w:pPr>
            <w:r>
              <w:rPr>
                <w:rFonts w:ascii="Arial" w:cs="Arial" w:eastAsia="Arial" w:hAnsi="Arial"/>
                <w:sz w:val="18"/>
                <w:szCs w:val="18"/>
                <w:color w:val="auto"/>
                <w:w w:val="90"/>
              </w:rPr>
              <w:t>(In thousands)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13,273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12,055</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1 - 30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79,765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73,949</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equipment and other</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1 - 12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430,078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371,889</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Customer rental equipment</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2 - 4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689,579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588,430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Satellites - owned</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2 - 15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2,381,120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2,381,120</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Satellites acquired under capital leases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10 - 15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781,761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665,518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422,337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311,083</w:t>
            </w:r>
          </w:p>
        </w:tc>
        <w:tc>
          <w:tcPr>
            <w:tcW w:w="0" w:type="dxa"/>
            <w:vAlign w:val="bottom"/>
          </w:tcPr>
          <w:p>
            <w:pPr>
              <w:spacing w:after="0"/>
              <w:rPr>
                <w:sz w:val="1"/>
                <w:szCs w:val="1"/>
                <w:color w:val="auto"/>
              </w:rPr>
            </w:pP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4,797,913</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4,404,044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(2,503,187)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(2,138,642)</w:t>
            </w:r>
          </w:p>
        </w:tc>
        <w:tc>
          <w:tcPr>
            <w:tcW w:w="0" w:type="dxa"/>
            <w:vAlign w:val="bottom"/>
          </w:tcPr>
          <w:p>
            <w:pPr>
              <w:spacing w:after="0"/>
              <w:rPr>
                <w:sz w:val="1"/>
                <w:szCs w:val="1"/>
                <w:color w:val="auto"/>
              </w:rPr>
            </w:pP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2,294,726</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2,265,402</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December 31, 2016 and 2015, accumulated depreciation included amounts for satellites acquired under capital leases of $328.2 million and $268.1 million,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Construction in progress consisted of the following:</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7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2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80" w:type="dxa"/>
            <w:vAlign w:val="bottom"/>
            <w:gridSpan w:val="3"/>
          </w:tcPr>
          <w:p>
            <w:pPr>
              <w:jc w:val="right"/>
              <w:ind w:right="10"/>
              <w:spacing w:after="0"/>
              <w:rPr>
                <w:sz w:val="20"/>
                <w:szCs w:val="20"/>
                <w:color w:val="auto"/>
              </w:rPr>
            </w:pPr>
            <w:r>
              <w:rPr>
                <w:rFonts w:ascii="Arial" w:cs="Arial" w:eastAsia="Arial" w:hAnsi="Arial"/>
                <w:sz w:val="18"/>
                <w:szCs w:val="18"/>
                <w:color w:val="auto"/>
              </w:rPr>
              <w:t>(In thousands)</w:t>
            </w:r>
          </w:p>
        </w:tc>
        <w:tc>
          <w:tcPr>
            <w:tcW w:w="114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Progress amounts for satellite construction, including prepayments under capital leases and launch</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services costs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244,234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187,253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Satellite related equipment</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152,683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104,566</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25,420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19,264</w:t>
            </w: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422,337</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311,083</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Construction in progress included the following owned and leased satellites under construction or undergoing in-orbit testing as of December 31, 2016.</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0" w:type="dxa"/>
            <w:vAlign w:val="bottom"/>
            <w:gridSpan w:val="2"/>
          </w:tcPr>
          <w:p>
            <w:pPr>
              <w:ind w:left="20"/>
              <w:spacing w:after="0"/>
              <w:rPr>
                <w:sz w:val="20"/>
                <w:szCs w:val="20"/>
                <w:color w:val="auto"/>
              </w:rPr>
            </w:pPr>
            <w:r>
              <w:rPr>
                <w:rFonts w:ascii="Arial" w:cs="Arial" w:eastAsia="Arial" w:hAnsi="Arial"/>
                <w:sz w:val="18"/>
                <w:szCs w:val="18"/>
                <w:b w:val="1"/>
                <w:bCs w:val="1"/>
                <w:color w:val="auto"/>
              </w:rPr>
              <w:t>Satellites</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Segment</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Expected Launch Date</w:t>
            </w:r>
          </w:p>
        </w:tc>
      </w:tr>
      <w:tr>
        <w:trPr>
          <w:trHeight w:val="27"/>
        </w:trPr>
        <w:tc>
          <w:tcPr>
            <w:tcW w:w="5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EchoStar 105/SES-11</w:t>
            </w:r>
          </w:p>
        </w:tc>
        <w:tc>
          <w:tcPr>
            <w:tcW w:w="2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ESS</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Second quarter of 2017</w:t>
            </w:r>
          </w:p>
        </w:tc>
      </w:tr>
      <w:tr>
        <w:trPr>
          <w:trHeight w:val="243"/>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Telesat T19V (“63 West”) (1)</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Hughes</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Second quarter of 2018</w:t>
            </w:r>
          </w:p>
        </w:tc>
      </w:tr>
    </w:tbl>
    <w:p>
      <w:pPr>
        <w:spacing w:after="0" w:line="8"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We entered into a satellite services agreement for certain capacity on this satellite once launched, but are not party to the construction contract.</w:t>
      </w:r>
    </w:p>
    <w:p>
      <w:pPr>
        <w:spacing w:after="0" w:line="22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recorded capitalized interest related to our satellites, satellite payloads and related ground facilities under construction of $30.2 million, $15.9 million and $2.2 million for the years ended December 31, 2016, 2015 and 2014,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977"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associated with our property and equipment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8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90"/>
              </w:rPr>
              <w:t>For the Years Ended December 31,</w:t>
            </w:r>
          </w:p>
        </w:tc>
        <w:tc>
          <w:tcPr>
            <w:tcW w:w="110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r>
      <w:tr>
        <w:trPr>
          <w:trHeight w:val="27"/>
        </w:trPr>
        <w:tc>
          <w:tcPr>
            <w:tcW w:w="5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 thousands)</w:t>
            </w: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Satellites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191,729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197,469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210,763</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Furniture, fixtures, equipment and other</w:t>
            </w: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58,535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70,962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50,492</w:t>
            </w: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rental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114,568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105,725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116,685</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5,111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5,357</w:t>
            </w:r>
          </w:p>
        </w:tc>
      </w:tr>
      <w:tr>
        <w:trPr>
          <w:trHeight w:val="27"/>
        </w:trPr>
        <w:tc>
          <w:tcPr>
            <w:tcW w:w="5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depreciation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369,026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379,267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383,297</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Satellites depreciation expense includes amortization of satellites under capital lease agreements of $56.2 million, $56.2 million and $59.7 million for the years ended December 31, 2016,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December 31, 2016, we utilized in support of our operations, 17 of our owned and leased satellites in geosynchronous orbit, approximately 22,300 miles above the equator. We depreciate our owned satellites on a straight-line basis over the estimated useful life of each satellite. Three of our satellites are accounted for as capital leases and are depreciated on a straight-line basis over their respective lease terms. We utilized one satellite that is accounted for as an operating lease and not included in property and equipment as of December 31, 2016.</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Our operating satellite fleet consists of both owned and leased satellites detailed in the table below as of December 31,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Nominal Degree</w:t>
            </w:r>
          </w:p>
        </w:tc>
        <w:tc>
          <w:tcPr>
            <w:tcW w:w="182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Orbital Locations</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Depreciable Life</w:t>
            </w:r>
          </w:p>
        </w:tc>
      </w:tr>
      <w:tr>
        <w:trPr>
          <w:trHeight w:val="234"/>
        </w:trPr>
        <w:tc>
          <w:tcPr>
            <w:tcW w:w="3780" w:type="dxa"/>
            <w:vAlign w:val="bottom"/>
            <w:gridSpan w:val="2"/>
          </w:tcPr>
          <w:p>
            <w:pPr>
              <w:ind w:left="40"/>
              <w:spacing w:after="0"/>
              <w:rPr>
                <w:sz w:val="20"/>
                <w:szCs w:val="20"/>
                <w:color w:val="auto"/>
              </w:rPr>
            </w:pPr>
            <w:r>
              <w:rPr>
                <w:rFonts w:ascii="Arial" w:cs="Arial" w:eastAsia="Arial" w:hAnsi="Arial"/>
                <w:sz w:val="18"/>
                <w:szCs w:val="18"/>
                <w:b w:val="1"/>
                <w:bCs w:val="1"/>
                <w:color w:val="auto"/>
              </w:rPr>
              <w:t>Satellites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Segment</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Launch Date</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(West Longitude)</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2"/>
              </w:rPr>
              <w:t>(In Years)</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Owned:</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SPACEWAY 3 (1)</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Hughes</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August 2007</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95</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EchoStar XVII</w:t>
            </w: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Hughes</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July 2012</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EchoStar I (2)(3)(4)</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1995</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EchoStar III (4)</w:t>
            </w: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1997</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EchoStar VI (4)</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2000</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96.2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EchoStar VII (2)(3)</w:t>
            </w: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February 2002</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EchoStar VIII (2)(4)</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August 2002</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EchoStar IX (2)(4)</w:t>
            </w: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August 2003</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EchoStar X (2)(3)</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February 2006</w:t>
            </w: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110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EchoStar XI (2)(3)</w:t>
            </w: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July 2008</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EchoStar XII (2)(4)(5)</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2003</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61.5</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EchoStar XIV (2)(3)</w:t>
            </w: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2010</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EchoStar XVI (2)</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November 2012</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61.5</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Capital Leases:</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Nimiq 5 (2)</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2009</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72.7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QuetzSat-1 (2)</w:t>
            </w: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September 2011</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Eutelsat 65 West A</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Hughes</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2016</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Lease:</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AMC-15</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2004</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105</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8"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June 8, 2011, the date EchoStar completed its acquisition of Hughes Communications, Inc. and its subsidiaries.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See Note 16 for discussion of related party transactions with DISH Network.</w:t>
      </w:r>
    </w:p>
    <w:p>
      <w:pPr>
        <w:spacing w:after="0" w:line="1" w:lineRule="exact"/>
        <w:rPr>
          <w:rFonts w:ascii="Arial" w:cs="Arial" w:eastAsia="Arial" w:hAnsi="Arial"/>
          <w:sz w:val="14"/>
          <w:szCs w:val="14"/>
          <w:color w:val="auto"/>
        </w:rPr>
      </w:pPr>
    </w:p>
    <w:p>
      <w:pPr>
        <w:ind w:left="340" w:right="460" w:hanging="332"/>
        <w:spacing w:after="0" w:line="24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March 1, 2014, the effective date of our receipt of the satellites from DISH Network as part of the Satellite and Tracking Stock Transaction (See Note 3).</w:t>
      </w: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Fully depreciated assets.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June 30, 2013, the date the EchoStar XII satellite was impaired.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EchoStar XIX</w:t>
      </w:r>
      <w:r>
        <w:rPr>
          <w:rFonts w:ascii="Arial" w:cs="Arial" w:eastAsia="Arial" w:hAnsi="Arial"/>
          <w:sz w:val="18"/>
          <w:szCs w:val="18"/>
          <w:color w:val="auto"/>
        </w:rPr>
        <w:t>. The EchoStar XIX satellite was launched in December 2016 and we expect the satellite to be placed into service late in the first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We expect the EchoStar XIX satellite to provide additional capacity for the Hughes broadband services to our customers in North America and added capacity in Mexico and certain Latin American countries and to add capability for aeronautical, enterprise and international broadband services. EchoStar contributed the EchoStar XIX satellite to us in February 2017.</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 xml:space="preserve">Eutelsat 65 West A. </w:t>
      </w:r>
      <w:r>
        <w:rPr>
          <w:rFonts w:ascii="Arial" w:cs="Arial" w:eastAsia="Arial" w:hAnsi="Arial"/>
          <w:sz w:val="18"/>
          <w:szCs w:val="18"/>
          <w:color w:val="auto"/>
        </w:rPr>
        <w:t>The Eutelsat 65 West A satellite was launched in March 2016 and our Hughes segment began to offer consumer broadband services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Brazil using our leased Ka-band payload on the satellite in July 2016.</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 xml:space="preserve">EchoStar 105/SES-11. </w:t>
      </w:r>
      <w:r>
        <w:rPr>
          <w:rFonts w:ascii="Arial" w:cs="Arial" w:eastAsia="Arial" w:hAnsi="Arial"/>
          <w:sz w:val="16"/>
          <w:szCs w:val="16"/>
          <w:color w:val="auto"/>
        </w:rPr>
        <w:t>Due to anomalies experienced by our launch provider, the expected launch date of our EchoStar 105/SES-11 satellite has been delayed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until the second quarter of 2017. Our Ku-band payload on the EchoStar 105/SES-11 satellite will replace our current capacity on the AMC-15 satellite.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AMC-15 and AMC-16. </w:t>
      </w:r>
      <w:r>
        <w:rPr>
          <w:rFonts w:ascii="Arial" w:cs="Arial" w:eastAsia="Arial" w:hAnsi="Arial"/>
          <w:sz w:val="18"/>
          <w:szCs w:val="18"/>
          <w:color w:val="auto"/>
        </w:rPr>
        <w:t>one year following expiration of the initial term in February 2015 and the agreement terminated according to its terms in</w:t>
      </w:r>
    </w:p>
    <w:p>
      <w:pPr>
        <w:spacing w:after="0" w:line="2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February 2016.In August 2014, in connection with the execution of agreements related to the EchoStar 105/SES-11 satellite, we entered into amendments that extend the terms of our existing agreements with SES Americom Colorado, Inc. (“SES”) for satellite services on the AMC-15 and AMC-16 satellites. As amended, the term of our agreement for satellite services on certain transponders on the AMC-15 satellite was extended from December 2014 through a certain period following the in-service date of the EchoStar 105/SES-11 satellite and is being accounted for as an operating lease. The amended agreement for the AMC-16 satellite services extended the term for the satellite’s entire communications capacity, subject to available power, for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one year following expiration of the initial term in February 2015 and the agreement terminated according to its terms in February 2016.</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a result of anomalies that affected the operation of the AMC-15 and AMC-16 satellites, our monthly recurring payments were reduced under the related capital lease agreements during the year ending December 31, 2015. We have accounted for these lease modifications generally by reducing the carrying amounts of the satellite and related capital lease obligation by the present value of the payment reduction. In such instances where the carrying amount of the satellite had been reduced to zero as a result of accumulated depreciation or impairments, we have recognized the reductions in the capital lease obligations as gains in “ Other, net” in our consolidated statements of operations and comprehensive income (loss). For the years ended December 31, 2016, 2015 and 2014, we recognized such gains of zero, $4.5 million and zero,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Anomalies and Impairments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satellites may experience anomalies from time to time, some of which may have a significant adverse impact on their remaining useful lives, the commercial operation of the satellites or our operating results. We are not aware of any anomalies with respect to our owned or leased satellites that have had any such material adverse effect during the year ended December 31, 2016. There can be no assurance, however, that anomalies will not have any such adverse impacts in the future. In addition, there can be no assurance that we can recover critical transmission capacity in the event one or more of our in-orbit satellites were to fail.</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historically have not carried in-orbit insurance on our satellites because we assessed that the cost of insurance was uneconomical relative to the risk of failures. Therefore, we generally bear the risk of any in-orbit failures. Pursuant to the terms of the agreements governing certain portions of our indebtedness, we are required, subject to certain limitations on coverage, to maintain in-orbit insurance for our SPACEWAY 3, EchoStar XVI, and EchoStar XVII satellites. Based on economic analysis of the current insurance market we have elected to obtain, subject to certain limitations on coverage, launch and in-orbit insurance for SPACEWAY 3 and our interest in the EchoStar 105/SES-11 satellite. All other satellites, either in orbit or under construction, are not covered by launch or in-orbit insurance. We will continue to assess circumstances going forward and make insurance decisions on a case by case basis.</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evaluate our satellites for impairment and test for recoverability whenever events or changes in circumstances indicate that their carrying amount may not be recoverable. Certain of the anomalies previously disclosed, may be considered to represent a significant adverse change in the physical condition of a particular satellite. However, based on the redundancy designed within each satellite, certain of these anomalies are not necessarily considered to be significant events that would require a test of recoverability.</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Goodwill, Regulatory Authorizations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excess of the cost of an acquired business over the fair values of net tangible and identifiable intangible assets at the time of the acquisition is recorded as goodwill. Goodwill is assigned to the reporting units within our operating segments and is subject to impairment testing annually, or more frequently when events or changes in circumstances indicate the fair value of a reporting unit is more likely than not less than its carrying amount.</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2016 and 2015, all of our goodwill was assigned to reporting units of our Hughes segment. We test this goodwill for impairment annually in the second quarter. Based on our qualitative assessment of impairment of reporting units’ goodwill in the second quarter of 2016, we determined that it was not more likely than not that the fair values of the Hughes segment reporting units were less than the corresponding carrying amounts, including goodwill.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Authorizations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Regulatory Authorizations consisted of FCC authorizations and other regulatory rights with indefinite useful lives totaling $471.7 million as of December 31, 2016 and 2015.</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125"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other intangible assets, which are subject to amortization,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As of December 31,</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20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80" w:type="dxa"/>
            <w:vAlign w:val="bottom"/>
          </w:tcPr>
          <w:p>
            <w:pPr>
              <w:spacing w:after="0"/>
              <w:rPr>
                <w:sz w:val="14"/>
                <w:szCs w:val="14"/>
                <w:color w:val="auto"/>
              </w:rPr>
            </w:pPr>
          </w:p>
        </w:tc>
        <w:tc>
          <w:tcPr>
            <w:tcW w:w="1260" w:type="dxa"/>
            <w:vAlign w:val="bottom"/>
            <w:gridSpan w:val="2"/>
            <w:vMerge w:val="restart"/>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Average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8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Useful Life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(in Years)</w:t>
            </w:r>
          </w:p>
        </w:tc>
        <w:tc>
          <w:tcPr>
            <w:tcW w:w="26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5"/>
          </w:tcPr>
          <w:p>
            <w:pPr>
              <w:jc w:val="center"/>
              <w:ind w:right="280"/>
              <w:spacing w:after="0"/>
              <w:rPr>
                <w:sz w:val="20"/>
                <w:szCs w:val="20"/>
                <w:color w:val="auto"/>
              </w:rPr>
            </w:pPr>
            <w:r>
              <w:rPr>
                <w:rFonts w:ascii="Arial" w:cs="Arial" w:eastAsia="Arial" w:hAnsi="Arial"/>
                <w:sz w:val="18"/>
                <w:szCs w:val="18"/>
                <w:color w:val="auto"/>
                <w:w w:val="90"/>
              </w:rPr>
              <w:t>(In thousands)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270,300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(214,544)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80,390</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Contract-based</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64,800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64,800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Technology-based</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12,136</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Trademark portfolio</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29,700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21,409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29,700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22,894</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intangible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416,217</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(335,483)</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80,734</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416,217</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(300,797)</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115,420</w:t>
            </w: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assets</w:t>
            </w: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Customer relationships are amortized predominantly in relation to the expected contribution of cash flow to the business over the life of the intangible asset. Other intangible assets are amortized on a straight-line basis over the periods the assets are expected to contribute to our cash flows. Intangible asset amortization expense, including amortization of externally marketed capitalized software, was $45.1 million, $50.9 million and $68.8 million for the years ended December 31, 2016, 2015 and 2014,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Amortization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our estimated future amortization of intangible assets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430"/>
              <w:spacing w:after="0"/>
              <w:rPr>
                <w:sz w:val="20"/>
                <w:szCs w:val="20"/>
                <w:color w:val="auto"/>
              </w:rPr>
            </w:pPr>
            <w:r>
              <w:rPr>
                <w:rFonts w:ascii="Arial" w:cs="Arial" w:eastAsia="Arial" w:hAnsi="Arial"/>
                <w:sz w:val="18"/>
                <w:szCs w:val="18"/>
                <w:b w:val="1"/>
                <w:bCs w:val="1"/>
                <w:color w:val="auto"/>
              </w:rPr>
              <w:t>Amount</w:t>
            </w:r>
          </w:p>
        </w:tc>
      </w:tr>
      <w:tr>
        <w:trPr>
          <w:trHeight w:val="27"/>
        </w:trPr>
        <w:tc>
          <w:tcPr>
            <w:tcW w:w="37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color w:val="auto"/>
                <w:w w:val="97"/>
              </w:rPr>
              <w:t>(In thousands)</w:t>
            </w:r>
          </w:p>
        </w:tc>
      </w:tr>
      <w:tr>
        <w:trPr>
          <w:trHeight w:val="27"/>
        </w:trPr>
        <w:tc>
          <w:tcPr>
            <w:tcW w:w="37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spacing w:after="0"/>
              <w:rPr>
                <w:sz w:val="21"/>
                <w:szCs w:val="21"/>
                <w:color w:val="auto"/>
              </w:rPr>
            </w:pPr>
          </w:p>
        </w:tc>
        <w:tc>
          <w:tcPr>
            <w:tcW w:w="59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For the Years Ending December 31,</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2017</w:t>
            </w:r>
          </w:p>
        </w:tc>
        <w:tc>
          <w:tcPr>
            <w:tcW w:w="59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22,152</w:t>
            </w:r>
          </w:p>
        </w:tc>
      </w:tr>
      <w:tr>
        <w:trPr>
          <w:trHeight w:val="27"/>
        </w:trPr>
        <w:tc>
          <w:tcPr>
            <w:tcW w:w="37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14,631</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2019</w:t>
            </w:r>
          </w:p>
        </w:tc>
        <w:tc>
          <w:tcPr>
            <w:tcW w:w="5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14,631</w:t>
            </w:r>
          </w:p>
        </w:tc>
      </w:tr>
      <w:tr>
        <w:trPr>
          <w:trHeight w:val="27"/>
        </w:trPr>
        <w:tc>
          <w:tcPr>
            <w:tcW w:w="37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10,981</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2021</w:t>
            </w:r>
          </w:p>
        </w:tc>
        <w:tc>
          <w:tcPr>
            <w:tcW w:w="5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4,356</w:t>
            </w:r>
          </w:p>
        </w:tc>
      </w:tr>
      <w:tr>
        <w:trPr>
          <w:trHeight w:val="27"/>
        </w:trPr>
        <w:tc>
          <w:tcPr>
            <w:tcW w:w="37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57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13,983</w:t>
            </w:r>
          </w:p>
        </w:tc>
      </w:tr>
      <w:tr>
        <w:trPr>
          <w:trHeight w:val="237"/>
        </w:trPr>
        <w:tc>
          <w:tcPr>
            <w:tcW w:w="3760" w:type="dxa"/>
            <w:vAlign w:val="bottom"/>
          </w:tcPr>
          <w:p>
            <w:pPr>
              <w:ind w:left="180"/>
              <w:spacing w:after="0"/>
              <w:rPr>
                <w:sz w:val="20"/>
                <w:szCs w:val="20"/>
                <w:color w:val="auto"/>
              </w:rPr>
            </w:pPr>
            <w:r>
              <w:rPr>
                <w:rFonts w:ascii="Arial" w:cs="Arial" w:eastAsia="Arial" w:hAnsi="Arial"/>
                <w:sz w:val="18"/>
                <w:szCs w:val="18"/>
                <w:color w:val="auto"/>
              </w:rPr>
              <w:t>Total</w:t>
            </w:r>
          </w:p>
        </w:tc>
        <w:tc>
          <w:tcPr>
            <w:tcW w:w="57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80,734</w:t>
            </w:r>
          </w:p>
        </w:tc>
      </w:tr>
      <w:tr>
        <w:trPr>
          <w:trHeight w:val="27"/>
        </w:trPr>
        <w:tc>
          <w:tcPr>
            <w:tcW w:w="37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37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Debt and Capital Lease Obligations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As of December 31, 2015, our debt primarily consisted of the 2019 Senior Secured Notes and the 2021 Senior Unsecured Notes, each as defined below, and our capital lease obligations. As of December 31, 2016, our debt also included the 2026 Senior Secured Notes and the 2026 Senior Unsecured Notes, each as defined below, which were issued in July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3"/>
          </w:tcPr>
          <w:p>
            <w:pPr>
              <w:spacing w:after="0"/>
              <w:rPr>
                <w:sz w:val="20"/>
                <w:szCs w:val="20"/>
                <w:color w:val="auto"/>
              </w:rPr>
            </w:pPr>
            <w:r>
              <w:rPr>
                <w:rFonts w:ascii="Arial" w:cs="Arial" w:eastAsia="Arial" w:hAnsi="Arial"/>
                <w:sz w:val="18"/>
                <w:szCs w:val="18"/>
                <w:color w:val="auto"/>
                <w:w w:val="94"/>
              </w:rPr>
              <w:t>The following table summarizes the carrying amounts and fair values of our debt:</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As of December 31,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2016</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2015</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0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Effective</w:t>
            </w:r>
          </w:p>
        </w:tc>
        <w:tc>
          <w:tcPr>
            <w:tcW w:w="20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Carrying</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Interest Rate</w:t>
            </w:r>
          </w:p>
        </w:tc>
        <w:tc>
          <w:tcPr>
            <w:tcW w:w="20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4"/>
          </w:tcPr>
          <w:p>
            <w:pPr>
              <w:jc w:val="right"/>
              <w:ind w:right="69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Notes: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6 1/2% Senior Secured Notes due 2019</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6.959%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990,000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1,084,050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990,000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1,071,675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5 1/4% Senior Secured Notes due 2026</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5.316%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739,688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Senior Unsecured Notes: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7 5/8% Senior Unsecured Notes due 2021</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8.062%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990,189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954,000</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6 5/8% Senior Unsecured Notes due 2026</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6.685%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760,245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Unamortized debt issuance costs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3,358,179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3,574,172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1,859,527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2,026,478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Capital lease obligations</w:t>
            </w: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rPr>
              <w:t>297,268</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rPr>
              <w:t>325,745</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 and capital lease obligations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3,655,447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2,185,272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and capital lease obligations, net of</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3,622,463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2,154,988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unamortized debt issuance costs</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debt are estimates categorized within Level 2 of the fair value hierarchy.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Senior Secured Notes and 2021 Senior Unsecured Notes</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June 1, 2011, we issued $1.10 billion aggregate principal amount of 6 1/2% Senior Secured Notes due 2019 (the “2019 Senior Secured Notes”) at an issue price of 100.0%, pursuant to a Secured Indenture dated June 1, 2011, (as amended the “2011 Secured Indenture”). The 2019 Senior Secured Notes mature on June 15, 2019. Interest accrues at an annual rate of 6 1/2% and is payable semi-annually in cash, in arrears on June 15 and December 15 of each year. As of December 31, 2016 and 2015, the outstanding principal balance on the 2019 Senior Secured Notes was $990.0 million.</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1, 2011, we also issued $900.0 million aggregate principal amount of 7 5/8% Senior Unsecured Notes due 2021 (the “2021 Senior Unsecured Notes,”) at an issue price of 100.0%, pursuant to an Unsecured Indenture dated June 1, 2011 (together with the “2011 Secured Indenture”, the “2011 Indentures”). The 2021 Senior Unsecured Notes mature on June 15, 2021. Interest accrues at an annual rate of 7 5/8% and is payable semi-annually in cash, in arrears on June 15 and December 15 of each year. As of December 31, 2016 and 2015, the outstanding principal balance on the 2021 Senior Unsecured Notes was $900.0 million.</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June 12, 2015, we redeemed $110.0 million of the 2019 Senior Secured Notes at a redemption price equal to 103.0% of the principal amount plus accrued and unpaid interest. As a result, we recorded a $5.0 million loss consisting of the $3.3 million redemption premium and a $1.7 million write-off of related unamortized debt issuance costs.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Senior Secured Notes and 2026 Senior Unsecured Notes</w:t>
      </w:r>
    </w:p>
    <w:p>
      <w:pPr>
        <w:spacing w:after="0" w:line="22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On July 27, 2016, we issued $750 million aggregate principal amount of 5 1/4% Senior Secured Notes due 2026 (the “2026 Senior Secured Notes” and, together with the 2019 Senior Secured Notes, the “Secured Notes”) at an issue price of 100.0%, pursuant to an indenture dated July 27, 2016 (the “2016 Secured Indenture”) and $750 million aggregate principal amount of 6 5/8% Senior Unsecured Notes due 2026 (the “2026 Senior Unsecured Notes” and, together with the 2021 Senior Unsecured Notes, the “Unsecured Notes”) at an issue price of 100.0%, pursuant to an indenture dated July 27, 2016 (together with the 2011 Indentures and the 2016 Secured Indenture, the “Indentures”). The 2019 Senior Secured Notes, the 2021 Senior Unsecured Notes, the 2026 Senior Secured Notes and the 2026 Senior Unsecured Notes are referred to collectively as the “Notes” and individually as a series of the Notes. The 2026 Senior Secured Notes and the 2026 Senior Unsecured Notes (collectively, the “2026 Notes”) mature on August 1, 2026. Interest on the 2026 Senior Secured Notes accrues at an annual rate of 5 1/4% and interest on the 2026 Senior Unsecured Notes accrues at an annual rate of 6 5/8%. Interest on the 2026 Notes is payable semi-annually in cash, in arrears on February 1 and August 1 of each year commencing February 1, 2017. As of December 31, 2016, the outstanding principal balance on each of the 2026 Senior Secured Notes and the 2026 Senior Unsecured Notes was $750.0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Relating to the Notes</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Each series of the Notes is redeemable, in whole or in part, at any time at a redemption price equal to 100.0% of the principal amount thereof plus a “make-whole” premium, as defined in the applicable Indenture, together with accrued and unpaid interest, if any, to the date of redemption. We may also redeem up to 10% of the outstanding 2026 Senior Secured Notes per year prior to August 1, 2020 at a redemption price equal to 103% of the principal amount thereof plus accrued and unpaid interest to the date of redemption. In addition, we may, at any time prior to August 1, 2019, with the net cash proceeds from certain equity offerings or capital contributions, redeem up to 35% of the 2026 Senior Secured Notes, at 105.250% of the principal amount, and up to 35% of the 2026 Senior Unsecured Notes, at a redemption price equal to 106.625% of the principal amount plus, in each case, accrued and unpaid interest on the 2026 Notes being redeemed to the date of redemption.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Secured Notes are:</w:t>
      </w:r>
    </w:p>
    <w:p>
      <w:pPr>
        <w:spacing w:after="0" w:line="22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secured obligations;</w:t>
      </w:r>
    </w:p>
    <w:p>
      <w:pPr>
        <w:spacing w:after="0" w:line="9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secured by security interests in substantially all of our and certain of our subsidiaries, existing and future tangible and intangible assets on a first priority basis, subject to certain exceptions;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ranked equally and ratably as between the 2019 Senior Secured Notes and the 2026 Senior Secured Notes;</w:t>
      </w:r>
    </w:p>
    <w:p>
      <w:pPr>
        <w:spacing w:after="0" w:line="9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effectively junior to our obligations that are secured by assets that are not part of the collateral that secures the respective Secured Notes, in each case, to the extent of the value of the collateral securing such obligations;</w:t>
      </w:r>
    </w:p>
    <w:p>
      <w:pPr>
        <w:spacing w:after="0" w:line="3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effectively senior to our existing and future unsecured obligations to the extent of the value of the collateral securing the respective Secured Notes, after giving effect to permitted liens as provided in the Indenture governing the respective Secured Notes;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senior in right of payment to all of our existing and future obligations that are expressly subordinated to the respective Secured Notes;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structurally junior to any existing and future obligations of any of our subsidiaries that do not guarantee the respective Secured Notes; and</w:t>
      </w:r>
    </w:p>
    <w:p>
      <w:pPr>
        <w:spacing w:after="0" w:line="101" w:lineRule="exact"/>
        <w:rPr>
          <w:rFonts w:ascii="Arial" w:cs="Arial" w:eastAsia="Arial" w:hAnsi="Arial"/>
          <w:sz w:val="17"/>
          <w:szCs w:val="17"/>
          <w:color w:val="auto"/>
        </w:rPr>
      </w:pPr>
    </w:p>
    <w:p>
      <w:pPr>
        <w:jc w:val="both"/>
        <w:ind w:left="660" w:right="2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unconditionally guaranteed, jointly and severally, on a general senior secured basis by certain of our subsidiaries, which guarantees rank equally with all of the guarantors’ existing and future unsubordinated indebtedness and effectively senior to such guarantors’ existing and future obligations to the extent of the value of the assets securing the respective Secured Notes.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Unsecured Notes are:</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unsecured senior obligations;</w:t>
      </w:r>
    </w:p>
    <w:p>
      <w:pPr>
        <w:spacing w:after="0" w:line="9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ranked equally with all existing and future unsubordinated indebtedness (including as between the 2021 Senior Unsecured Notes and the 2026 Senior Unsecured Notes) and effectively junior to any secured indebtedness up to the value of the assets securing such indebtedness;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effectively junior to our obligations that are secured to the extent of the value of the collateral securing such obligations;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senior in right of payment to all of our existing and future obligations that are expressly subordinated to the respective Unsecured Notes;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structurally junior to any existing and future obligations of any of our subsidiaries that do not guarantee the respective Unsecured Notes; and</w:t>
      </w:r>
    </w:p>
    <w:p>
      <w:pPr>
        <w:spacing w:after="0" w:line="101" w:lineRule="exact"/>
        <w:rPr>
          <w:rFonts w:ascii="Arial" w:cs="Arial" w:eastAsia="Arial" w:hAnsi="Arial"/>
          <w:sz w:val="17"/>
          <w:szCs w:val="17"/>
          <w:color w:val="auto"/>
        </w:rPr>
      </w:pPr>
    </w:p>
    <w:p>
      <w:pPr>
        <w:ind w:left="66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unconditionally guaranteed, jointly and severally, on a general senior secured basis by certain of our subsidiaries, which guarantees rank equally with all of the guarantors’ existing and future unsubordinated indebtedness, and effectively junior to any secured indebtedness of the guarantors up to the value of the assets securing such indebtedness.</w:t>
      </w:r>
    </w:p>
    <w:p>
      <w:pPr>
        <w:spacing w:after="0" w:line="2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Subject to certain exceptions, the Indentures contain restrictive covenants that, among other things, impose limitations on our ability and, in certain instances, the ability of certain of our subsidiaries to:</w:t>
      </w:r>
    </w:p>
    <w:p>
      <w:pPr>
        <w:spacing w:after="0" w:line="170"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pay dividends or make distributions on our capital stock or repurchase our capital stock;</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create liens or enter into sale and leaseback transactions;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transfer and sell assets; and</w:t>
      </w:r>
    </w:p>
    <w:p>
      <w:pPr>
        <w:spacing w:after="0" w:line="9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allow to exist certain restrictions on the ability of certain of our subsidiaries to pay dividends, make distributions, make other payments, or transfer assets to us or our subsidiaries.</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the event of a Change of Control, as defined in the respective Indentures, we would be required to make an offer to repurchase all or any part of a holder’s Notes at a purchase price equal to 101.0% of the aggregate principal amount thereof, together with accrued and unpaid interest to the date of repurchase.</w:t>
      </w:r>
    </w:p>
    <w:p>
      <w:pPr>
        <w:spacing w:after="0" w:line="12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Indentures provide for customary events of default for each series of the Notes, including, among other things, nonpayment, breach of the covenants in the applicable Indentures, payment defaults or acceleration of other indebtedness, a failure to pay certain judgments and certain events of bankruptcy, insolvency and reorganization. If any event of default occurs and is continuing with respect to any series of the Notes, the trustee or the holders of at least 25% in principal amount of the then outstanding Notes of such series may declare all the Notes of such series to be due and payable immediately, together with any accrued and unpaid interest.</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terms of a registration rights agreement, we have agreed to register under the Securities Act of 1933, as amended, notes having substantially identical terms as the 2026 Notes as part of an offer to exchange freely tradable exchange notes for the 2026 Notes that is required to be declared effective by July 27, 2017. In the event that the registration statement is not declared effective by July 27, 2017 and under certain other conditions (a “registration default”), we are required to pay each holder of the 2026 Notes additional interest up to $0.25 per week per $1,000 in principal amount of the 2026 Notes until the registration default is cured.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January 1, 2016 we adopted ASU 2015-3 (see Note 2). As a result, we report unamortized debt issuance costs in “Long-term debt and capital lease obligations, net of unamortized debt issuance costs” in our consolidated balance sheets retrospectively. In connection with the issuance of the 2026 Notes, we incurred $7.1 million of debt issuance costs. For the years ended December 31, 2016, 2015 and 2014, we amortized $6.6 million, $6.0 million and $5.8 million of debt issuance costs, respectively, which are included in “Interest expense, net of amounts capitalized” in our consolidated statements of operations and comprehensive income (loss).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 Obligations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capital lease obligations reflect the present value of future minimum lease payments under noncancelable lease agreements, primarily for certain of our satellites (see Note 8). These agreements require monthly recurring payments, which generally include principal, interest, an amount for use of the orbital location and estimated executory costs, such as insurance and maintenance. The monthly recurring payments generally are subject to reduction in the event of failures that reduce the satellite transponder capacity. Certain of these agreements provide for extension of the initial lease term at our option. The effective interest rates for our satellite capital lease obligations range from 9.1% to 11.2%, with a weighted average of 10.6% as of December 31, 2016.</w:t>
      </w:r>
    </w:p>
    <w:p>
      <w:pPr>
        <w:spacing w:after="0" w:line="1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capital lease obligations consist primarily of our payment obligations under agreements for the Nimiq 5 and QuetzSat-1 satellites, which have remaining noncancelable terms ending in September 2024 and November 2021, respectively. As discussed in Note 16, we have subleased transponders on these satellites to DISH Network.</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Future minimum lease payments under our capital lease obligations, together with the present value of the net minimum lease payments as of December 31, 2016,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Amount</w:t>
            </w:r>
          </w:p>
        </w:tc>
      </w:tr>
      <w:tr>
        <w:trPr>
          <w:trHeight w:val="27"/>
        </w:trPr>
        <w:tc>
          <w:tcPr>
            <w:tcW w:w="9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9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92"/>
              </w:rPr>
              <w:t>(In thousands)</w:t>
            </w:r>
          </w:p>
        </w:tc>
      </w:tr>
      <w:tr>
        <w:trPr>
          <w:trHeight w:val="27"/>
        </w:trPr>
        <w:tc>
          <w:tcPr>
            <w:tcW w:w="9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7040"/>
              <w:spacing w:after="0"/>
              <w:rPr>
                <w:sz w:val="20"/>
                <w:szCs w:val="20"/>
                <w:color w:val="auto"/>
              </w:rPr>
            </w:pPr>
            <w:r>
              <w:rPr>
                <w:rFonts w:ascii="Arial" w:cs="Arial" w:eastAsia="Arial" w:hAnsi="Arial"/>
                <w:sz w:val="18"/>
                <w:szCs w:val="18"/>
                <w:b w:val="1"/>
                <w:bCs w:val="1"/>
                <w:color w:val="auto"/>
                <w:w w:val="90"/>
              </w:rPr>
              <w:t>For the Years Ending December 31,</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9800" w:type="dxa"/>
            <w:vAlign w:val="bottom"/>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88,709</w:t>
            </w:r>
          </w:p>
        </w:tc>
      </w:tr>
      <w:tr>
        <w:trPr>
          <w:trHeight w:val="27"/>
        </w:trPr>
        <w:tc>
          <w:tcPr>
            <w:tcW w:w="9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88,503</w:t>
            </w:r>
          </w:p>
        </w:tc>
      </w:tr>
      <w:tr>
        <w:trPr>
          <w:trHeight w:val="243"/>
        </w:trPr>
        <w:tc>
          <w:tcPr>
            <w:tcW w:w="9800" w:type="dxa"/>
            <w:vAlign w:val="bottom"/>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88,221</w:t>
            </w:r>
          </w:p>
        </w:tc>
      </w:tr>
      <w:tr>
        <w:trPr>
          <w:trHeight w:val="27"/>
        </w:trPr>
        <w:tc>
          <w:tcPr>
            <w:tcW w:w="9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88,033</w:t>
            </w:r>
          </w:p>
        </w:tc>
      </w:tr>
      <w:tr>
        <w:trPr>
          <w:trHeight w:val="243"/>
        </w:trPr>
        <w:tc>
          <w:tcPr>
            <w:tcW w:w="9800" w:type="dxa"/>
            <w:vAlign w:val="bottom"/>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83,995</w:t>
            </w:r>
          </w:p>
        </w:tc>
      </w:tr>
      <w:tr>
        <w:trPr>
          <w:trHeight w:val="27"/>
        </w:trPr>
        <w:tc>
          <w:tcPr>
            <w:tcW w:w="9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174,240</w:t>
            </w:r>
          </w:p>
        </w:tc>
      </w:tr>
      <w:tr>
        <w:trPr>
          <w:trHeight w:val="237"/>
        </w:trPr>
        <w:tc>
          <w:tcPr>
            <w:tcW w:w="9800" w:type="dxa"/>
            <w:vAlign w:val="bottom"/>
          </w:tcPr>
          <w:p>
            <w:pPr>
              <w:ind w:left="40"/>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611,701</w:t>
            </w:r>
          </w:p>
        </w:tc>
      </w:tr>
      <w:tr>
        <w:trPr>
          <w:trHeight w:val="27"/>
        </w:trPr>
        <w:tc>
          <w:tcPr>
            <w:tcW w:w="9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9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Less: Amount representing lease of the orbital location and estimated executory costs (primarily insurance and maintenance) including</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57"/>
        </w:trPr>
        <w:tc>
          <w:tcPr>
            <w:tcW w:w="9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profit thereon, included in total minimum lease payments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(188,216)</w:t>
            </w:r>
          </w:p>
        </w:tc>
      </w:tr>
      <w:tr>
        <w:trPr>
          <w:trHeight w:val="237"/>
        </w:trPr>
        <w:tc>
          <w:tcPr>
            <w:tcW w:w="9800" w:type="dxa"/>
            <w:vAlign w:val="bottom"/>
          </w:tcPr>
          <w:p>
            <w:pPr>
              <w:ind w:left="40"/>
              <w:spacing w:after="0"/>
              <w:rPr>
                <w:sz w:val="20"/>
                <w:szCs w:val="20"/>
                <w:color w:val="auto"/>
              </w:rPr>
            </w:pPr>
            <w:r>
              <w:rPr>
                <w:rFonts w:ascii="Arial" w:cs="Arial" w:eastAsia="Arial" w:hAnsi="Arial"/>
                <w:sz w:val="18"/>
                <w:szCs w:val="18"/>
                <w:color w:val="auto"/>
              </w:rPr>
              <w:t>Net minimum lease payments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423,485</w:t>
            </w:r>
          </w:p>
        </w:tc>
      </w:tr>
      <w:tr>
        <w:trPr>
          <w:trHeight w:val="27"/>
        </w:trPr>
        <w:tc>
          <w:tcPr>
            <w:tcW w:w="9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 representing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(126,217)</w:t>
            </w:r>
          </w:p>
        </w:tc>
      </w:tr>
      <w:tr>
        <w:trPr>
          <w:trHeight w:val="237"/>
        </w:trPr>
        <w:tc>
          <w:tcPr>
            <w:tcW w:w="9800" w:type="dxa"/>
            <w:vAlign w:val="bottom"/>
          </w:tcPr>
          <w:p>
            <w:pPr>
              <w:ind w:left="40"/>
              <w:spacing w:after="0"/>
              <w:rPr>
                <w:sz w:val="20"/>
                <w:szCs w:val="20"/>
                <w:color w:val="auto"/>
              </w:rPr>
            </w:pPr>
            <w:r>
              <w:rPr>
                <w:rFonts w:ascii="Arial" w:cs="Arial" w:eastAsia="Arial" w:hAnsi="Arial"/>
                <w:sz w:val="18"/>
                <w:szCs w:val="18"/>
                <w:color w:val="auto"/>
              </w:rPr>
              <w:t>Present value of net minimum lease payments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297,268</w:t>
            </w:r>
          </w:p>
        </w:tc>
      </w:tr>
      <w:tr>
        <w:trPr>
          <w:trHeight w:val="27"/>
        </w:trPr>
        <w:tc>
          <w:tcPr>
            <w:tcW w:w="9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(32,984)</w:t>
            </w:r>
          </w:p>
        </w:tc>
      </w:tr>
      <w:tr>
        <w:trPr>
          <w:trHeight w:val="237"/>
        </w:trPr>
        <w:tc>
          <w:tcPr>
            <w:tcW w:w="9800" w:type="dxa"/>
            <w:vAlign w:val="bottom"/>
          </w:tcPr>
          <w:p>
            <w:pPr>
              <w:ind w:left="40"/>
              <w:spacing w:after="0"/>
              <w:rPr>
                <w:sz w:val="20"/>
                <w:szCs w:val="20"/>
                <w:color w:val="auto"/>
              </w:rPr>
            </w:pPr>
            <w:r>
              <w:rPr>
                <w:rFonts w:ascii="Arial" w:cs="Arial" w:eastAsia="Arial" w:hAnsi="Arial"/>
                <w:sz w:val="18"/>
                <w:szCs w:val="18"/>
                <w:color w:val="auto"/>
              </w:rPr>
              <w:t>Long-term portion of capital lease obligations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264,284</w:t>
            </w:r>
          </w:p>
        </w:tc>
      </w:tr>
      <w:tr>
        <w:trPr>
          <w:trHeight w:val="27"/>
        </w:trPr>
        <w:tc>
          <w:tcPr>
            <w:tcW w:w="9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9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received rental income from the sublease of our capital lease satellites of approximately $132.4 million for each of the years ended December 31, 2016, 2015 and 2014. As of December 31, 2016, our future minimum sublease rental income was $480.9 million relating to such satellites. The subleases have a remaining weighted average term of four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Note 11.  Income Taxes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6180" w:type="dxa"/>
            <w:vAlign w:val="bottom"/>
          </w:tcPr>
          <w:p>
            <w:pPr>
              <w:spacing w:after="0"/>
              <w:rPr>
                <w:sz w:val="20"/>
                <w:szCs w:val="20"/>
                <w:color w:val="auto"/>
              </w:rPr>
            </w:pPr>
            <w:r>
              <w:rPr>
                <w:rFonts w:ascii="Arial" w:cs="Arial" w:eastAsia="Arial" w:hAnsi="Arial"/>
                <w:sz w:val="18"/>
                <w:szCs w:val="18"/>
                <w:color w:val="auto"/>
              </w:rPr>
              <w:t>The components of income before income taxes are as follows: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6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6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90"/>
              </w:rPr>
              <w:t>For the Years Ended December 31,</w:t>
            </w:r>
          </w:p>
        </w:tc>
        <w:tc>
          <w:tcPr>
            <w:tcW w:w="1020" w:type="dxa"/>
            <w:vAlign w:val="bottom"/>
          </w:tcPr>
          <w:p>
            <w:pPr>
              <w:spacing w:after="0"/>
              <w:rPr>
                <w:sz w:val="24"/>
                <w:szCs w:val="24"/>
                <w:color w:val="auto"/>
              </w:rPr>
            </w:pPr>
          </w:p>
        </w:tc>
      </w:tr>
      <w:tr>
        <w:trPr>
          <w:trHeight w:val="27"/>
        </w:trPr>
        <w:tc>
          <w:tcPr>
            <w:tcW w:w="6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2014</w:t>
            </w:r>
          </w:p>
        </w:tc>
      </w:tr>
      <w:tr>
        <w:trPr>
          <w:trHeight w:val="27"/>
        </w:trPr>
        <w:tc>
          <w:tcPr>
            <w:tcW w:w="6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(In thousands)</w:t>
            </w: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202,905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203,217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132,081</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8,131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10,596</w:t>
            </w:r>
          </w:p>
        </w:tc>
      </w:tr>
      <w:tr>
        <w:trPr>
          <w:trHeight w:val="27"/>
        </w:trPr>
        <w:tc>
          <w:tcPr>
            <w:tcW w:w="6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211,348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142,677</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380"/>
          </w:cols>
          <w:pgMar w:left="240" w:top="125" w:right="27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The components of the provision for income taxes are as follows:</w:t>
            </w: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5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00" w:type="dxa"/>
            <w:vAlign w:val="bottom"/>
            <w:gridSpan w:val="6"/>
          </w:tcPr>
          <w:p>
            <w:pPr>
              <w:jc w:val="center"/>
              <w:ind w:left="50"/>
              <w:spacing w:after="0"/>
              <w:rPr>
                <w:sz w:val="20"/>
                <w:szCs w:val="20"/>
                <w:color w:val="auto"/>
              </w:rPr>
            </w:pPr>
            <w:r>
              <w:rPr>
                <w:rFonts w:ascii="Arial" w:cs="Arial" w:eastAsia="Arial" w:hAnsi="Arial"/>
                <w:sz w:val="18"/>
                <w:szCs w:val="18"/>
                <w:b w:val="1"/>
                <w:bCs w:val="1"/>
                <w:color w:val="auto"/>
                <w:w w:val="90"/>
              </w:rPr>
              <w:t>For the Years Ended December 31,</w:t>
            </w:r>
          </w:p>
        </w:tc>
        <w:tc>
          <w:tcPr>
            <w:tcW w:w="1140" w:type="dxa"/>
            <w:vAlign w:val="bottom"/>
          </w:tcPr>
          <w:p>
            <w:pPr>
              <w:spacing w:after="0"/>
              <w:rPr>
                <w:sz w:val="24"/>
                <w:szCs w:val="24"/>
                <w:color w:val="auto"/>
              </w:rPr>
            </w:pPr>
          </w:p>
        </w:tc>
      </w:tr>
      <w:tr>
        <w:trPr>
          <w:trHeight w:val="27"/>
        </w:trPr>
        <w:tc>
          <w:tcPr>
            <w:tcW w:w="59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r>
      <w:tr>
        <w:trPr>
          <w:trHeight w:val="27"/>
        </w:trPr>
        <w:tc>
          <w:tcPr>
            <w:tcW w:w="59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 thousands)</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benefit (provision):</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Federal</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(989)</w:t>
            </w:r>
          </w:p>
        </w:tc>
      </w:tr>
      <w:tr>
        <w:trPr>
          <w:trHeight w:val="27"/>
        </w:trPr>
        <w:tc>
          <w:tcPr>
            <w:tcW w:w="5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Foreign</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(4,231)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(5,463)</w:t>
            </w:r>
          </w:p>
        </w:tc>
      </w:tr>
      <w:tr>
        <w:trPr>
          <w:trHeight w:val="27"/>
        </w:trPr>
        <w:tc>
          <w:tcPr>
            <w:tcW w:w="59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provision</w:t>
            </w:r>
          </w:p>
        </w:tc>
        <w:tc>
          <w:tcPr>
            <w:tcW w:w="10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(6,603)</w:t>
            </w:r>
          </w:p>
        </w:tc>
      </w:tr>
      <w:tr>
        <w:trPr>
          <w:trHeight w:val="223"/>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Deferred benefit (provision):</w:t>
            </w:r>
          </w:p>
        </w:tc>
        <w:tc>
          <w:tcPr>
            <w:tcW w:w="10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41"/>
        </w:trPr>
        <w:tc>
          <w:tcPr>
            <w:tcW w:w="5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(67,035)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(38,575)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State</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4,238</w:t>
            </w:r>
          </w:p>
        </w:tc>
      </w:tr>
      <w:tr>
        <w:trPr>
          <w:trHeight w:val="27"/>
        </w:trPr>
        <w:tc>
          <w:tcPr>
            <w:tcW w:w="5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845</w:t>
            </w:r>
          </w:p>
        </w:tc>
      </w:tr>
      <w:tr>
        <w:trPr>
          <w:trHeight w:val="237"/>
        </w:trPr>
        <w:tc>
          <w:tcPr>
            <w:tcW w:w="5960" w:type="dxa"/>
            <w:vAlign w:val="bottom"/>
          </w:tcPr>
          <w:p>
            <w:pPr>
              <w:ind w:left="180"/>
              <w:spacing w:after="0"/>
              <w:rPr>
                <w:sz w:val="20"/>
                <w:szCs w:val="20"/>
                <w:color w:val="auto"/>
              </w:rPr>
            </w:pPr>
            <w:r>
              <w:rPr>
                <w:rFonts w:ascii="Arial" w:cs="Arial" w:eastAsia="Arial" w:hAnsi="Arial"/>
                <w:sz w:val="18"/>
                <w:szCs w:val="18"/>
                <w:color w:val="auto"/>
              </w:rPr>
              <w:t>Total deferred provision</w:t>
            </w: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(70,901)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(68,011)</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(33,492)</w:t>
            </w:r>
          </w:p>
        </w:tc>
      </w:tr>
      <w:tr>
        <w:trPr>
          <w:trHeight w:val="27"/>
        </w:trPr>
        <w:tc>
          <w:tcPr>
            <w:tcW w:w="59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income tax provision, net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(73,759)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(72,364)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(40,095)</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actual tax provisions for the years ended December 31, 2016, 2015 and 2014 reconcile to the amounts computed by applying the statutory federal tax rate to income before income taxes as shown below:</w:t>
      </w:r>
    </w:p>
    <w:p>
      <w:pPr>
        <w:spacing w:after="0" w:line="112"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34290</wp:posOffset>
            </wp:positionV>
            <wp:extent cx="34988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gridSpan w:val="2"/>
          </w:tcPr>
          <w:p>
            <w:pPr>
              <w:ind w:left="6400"/>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rate</w:t>
            </w: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35.0 %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effect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21"/>
                <w:szCs w:val="21"/>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Permanent differences</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0.8 %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Tax credits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21"/>
                <w:szCs w:val="21"/>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effective tax rate</w:t>
            </w:r>
          </w:p>
        </w:tc>
        <w:tc>
          <w:tcPr>
            <w:tcW w:w="1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37.7 %</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34.2 %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28.1 %</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840" w:type="dxa"/>
            <w:vAlign w:val="bottom"/>
            <w:gridSpan w:val="2"/>
          </w:tcPr>
          <w:p>
            <w:pPr>
              <w:spacing w:after="0"/>
              <w:rPr>
                <w:sz w:val="20"/>
                <w:szCs w:val="20"/>
                <w:color w:val="auto"/>
              </w:rPr>
            </w:pPr>
            <w:r>
              <w:rPr>
                <w:rFonts w:ascii="Arial" w:cs="Arial" w:eastAsia="Arial" w:hAnsi="Arial"/>
                <w:sz w:val="18"/>
                <w:szCs w:val="18"/>
                <w:color w:val="auto"/>
              </w:rPr>
              <w:t>The components of our deferred tax assets and liabilities are as follows:</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6"/>
          </w:tcPr>
          <w:p>
            <w:pPr>
              <w:jc w:val="center"/>
              <w:ind w:left="810"/>
              <w:spacing w:after="0"/>
              <w:rPr>
                <w:sz w:val="20"/>
                <w:szCs w:val="20"/>
                <w:color w:val="auto"/>
              </w:rPr>
            </w:pPr>
            <w:r>
              <w:rPr>
                <w:rFonts w:ascii="Arial" w:cs="Arial" w:eastAsia="Arial" w:hAnsi="Arial"/>
                <w:sz w:val="18"/>
                <w:szCs w:val="18"/>
                <w:b w:val="1"/>
                <w:bCs w:val="1"/>
                <w:color w:val="auto"/>
                <w:w w:val="89"/>
              </w:rPr>
              <w:t>As of December 31,</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jc w:val="right"/>
              <w:ind w:right="690"/>
              <w:spacing w:after="0"/>
              <w:rPr>
                <w:sz w:val="20"/>
                <w:szCs w:val="20"/>
                <w:color w:val="auto"/>
              </w:rPr>
            </w:pPr>
            <w:r>
              <w:rPr>
                <w:rFonts w:ascii="Arial" w:cs="Arial" w:eastAsia="Arial" w:hAnsi="Arial"/>
                <w:sz w:val="18"/>
                <w:szCs w:val="18"/>
                <w:b w:val="1"/>
                <w:bCs w:val="1"/>
                <w:color w:val="auto"/>
                <w:w w:val="94"/>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6"/>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6"/>
          </w:tcPr>
          <w:p>
            <w:pPr>
              <w:jc w:val="center"/>
              <w:ind w:left="790"/>
              <w:spacing w:after="0"/>
              <w:rPr>
                <w:sz w:val="20"/>
                <w:szCs w:val="20"/>
                <w:color w:val="auto"/>
              </w:rPr>
            </w:pPr>
            <w:r>
              <w:rPr>
                <w:rFonts w:ascii="Arial" w:cs="Arial" w:eastAsia="Arial" w:hAnsi="Arial"/>
                <w:sz w:val="18"/>
                <w:szCs w:val="18"/>
                <w:color w:val="auto"/>
                <w:w w:val="90"/>
              </w:rPr>
              <w:t>(In thousands)</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Net operating losses, credit and other carryforwards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153,807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5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314,202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Unrealized losses on investments, net</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Accrued expenses</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31,036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29,487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7,445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5,118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205,768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362,348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Valuation allowance</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(26,447)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 after valuation allowance</w:t>
            </w:r>
          </w:p>
        </w:tc>
        <w:tc>
          <w:tcPr>
            <w:tcW w:w="4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179,321</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334,474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840" w:type="dxa"/>
            <w:vAlign w:val="bottom"/>
            <w:gridSpan w:val="2"/>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84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(697,314)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(781,370)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deferred tax liabilities</w:t>
            </w:r>
          </w:p>
        </w:tc>
        <w:tc>
          <w:tcPr>
            <w:tcW w:w="4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(698,633)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(783,008)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840" w:type="dxa"/>
            <w:vAlign w:val="bottom"/>
            <w:gridSpan w:val="2"/>
          </w:tcPr>
          <w:p>
            <w:pPr>
              <w:ind w:left="380"/>
              <w:spacing w:after="0"/>
              <w:rPr>
                <w:sz w:val="20"/>
                <w:szCs w:val="20"/>
                <w:color w:val="auto"/>
              </w:rPr>
            </w:pPr>
            <w:r>
              <w:rPr>
                <w:rFonts w:ascii="Arial" w:cs="Arial" w:eastAsia="Arial" w:hAnsi="Arial"/>
                <w:sz w:val="18"/>
                <w:szCs w:val="18"/>
                <w:color w:val="auto"/>
              </w:rPr>
              <w:t>Total net deferred tax liabilities</w:t>
            </w:r>
          </w:p>
        </w:tc>
        <w:tc>
          <w:tcPr>
            <w:tcW w:w="4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(519,312)</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(448,534)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6840" w:type="dxa"/>
            <w:vAlign w:val="bottom"/>
            <w:tcBorders>
              <w:bottom w:val="single" w:sz="8" w:color="CCEEFF"/>
            </w:tcBorders>
            <w:gridSpan w:val="2"/>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gridSpan w:val="2"/>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7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Noncurrent portion of net deferred tax liabilities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(519,312)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(448,534)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net deferred tax liabilities</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(519,312)</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(448,534)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gridSpan w:val="2"/>
            <w:vMerge w:val="restart"/>
          </w:tcPr>
          <w:p>
            <w:pPr>
              <w:ind w:left="5540"/>
              <w:spacing w:after="0"/>
              <w:rPr>
                <w:sz w:val="20"/>
                <w:szCs w:val="20"/>
                <w:color w:val="auto"/>
              </w:rPr>
            </w:pPr>
            <w:r>
              <w:rPr>
                <w:rFonts w:ascii="Arial" w:cs="Arial" w:eastAsia="Arial" w:hAnsi="Arial"/>
                <w:sz w:val="18"/>
                <w:szCs w:val="18"/>
                <w:color w:val="auto"/>
              </w:rPr>
              <w:t>F-31</w:t>
            </w: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8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373"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Deferred tax assets and liabilities reflect the effects of tax losses, credits, and the future income tax effects of temporary differences between the consolidated financial statement carrying amounts of existing assets and liabilities and their respective tax bases and are measured using enacted tax rates that apply to taxable income in the years in which those temporary differences are expected to be recovered or settled.</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evaluate our deferred tax assets for realization and record a valuation allowance when we determine that it is more likely than not that the amounts will not be realized. Overall, our net deferred tax assets were offset by a valuation allowance of $26.4 million and $27.9 million as of December 31, 2016 and 2015, respectively. The change in the valuation allowance primarily relates to an increase in realized and unrealized gains that are capital in nature, partially offset by a decrease in the net operating loss carryforwards of certain foreign subsidiaries.</w:t>
      </w:r>
    </w:p>
    <w:p>
      <w:pPr>
        <w:spacing w:after="0" w:line="18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Tax benefits of net operating loss and tax credit carryforwards are evaluated on an ongoing basis, including a review of historical and projected future operating results, the eligible carryforward period, and other circumstances. As of December 31, 2016, we had net operating loss carryforwards of $327.6 million, including $68.4 million of foreign net operating loss carryforwards. A substantial portion of these net operating loss carryforwards will begin to expire in 2029. As of December 31, 2016, we have tax credit carryforwards of $32.8 million and $2.3 million for federal and state income tax purposes, respectively. If not utilized, the federal tax credit carryforwards will begin to expire in 2026 and the state tax credit carryforwards will begin to expire in 2018.</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December 31, 2016, we had undistributed earnings attributable to foreign subsidiaries for which no provision for U.S. income taxes or foreign withholding taxes has been made because it is expected that such earnings will be reinvested outside the U.S. indefinitely. It is not practicable to determine the amount of the unrecognized deferred tax liability at this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Uncertainty in Income Taxes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addition to filing U.S. federal income tax returns with EchoStar, we file income tax returns in all states that impose an income tax. We also file income tax returns in the United Kingdom, Brazil, India and a number of other foreign jurisdictions. We generally are open to income tax examination in these foreign jurisdictions for taxable years beginning in 2003. As of December 31, 2016, we are currently being audited by the Indian tax authorities for fiscal years 2003 through 2012. We have no other on-going significant income tax examinations in process in our foreign jurisdictions.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income tax benefits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80" w:type="dxa"/>
            <w:vAlign w:val="bottom"/>
            <w:gridSpan w:val="6"/>
          </w:tcPr>
          <w:p>
            <w:pPr>
              <w:jc w:val="center"/>
              <w:ind w:left="510"/>
              <w:spacing w:after="0"/>
              <w:rPr>
                <w:sz w:val="20"/>
                <w:szCs w:val="20"/>
                <w:color w:val="auto"/>
              </w:rPr>
            </w:pPr>
            <w:r>
              <w:rPr>
                <w:rFonts w:ascii="Arial" w:cs="Arial" w:eastAsia="Arial" w:hAnsi="Arial"/>
                <w:sz w:val="18"/>
                <w:szCs w:val="18"/>
                <w:b w:val="1"/>
                <w:bCs w:val="1"/>
                <w:color w:val="auto"/>
                <w:w w:val="90"/>
              </w:rPr>
              <w:t>For the Years Ended December 31,</w:t>
            </w:r>
          </w:p>
        </w:tc>
        <w:tc>
          <w:tcPr>
            <w:tcW w:w="900" w:type="dxa"/>
            <w:vAlign w:val="bottom"/>
          </w:tcPr>
          <w:p>
            <w:pPr>
              <w:spacing w:after="0"/>
              <w:rPr>
                <w:sz w:val="20"/>
                <w:szCs w:val="20"/>
                <w:color w:val="auto"/>
              </w:rPr>
            </w:pPr>
          </w:p>
        </w:tc>
      </w:tr>
      <w:tr>
        <w:trPr>
          <w:trHeight w:val="27"/>
        </w:trPr>
        <w:tc>
          <w:tcPr>
            <w:tcW w:w="654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Unrecognized tax benefit</w:t>
            </w: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84"/>
              </w:rPr>
              <w:t>2014</w:t>
            </w:r>
          </w:p>
        </w:tc>
      </w:tr>
      <w:tr>
        <w:trPr>
          <w:trHeight w:val="27"/>
        </w:trPr>
        <w:tc>
          <w:tcPr>
            <w:tcW w:w="6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 thousands)</w:t>
            </w: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3,632</w:t>
            </w: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Additions based on tax positions related to the current year</w:t>
            </w: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Additions based on tax positions related to prior years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Reductions based on tax positions related to prior years</w:t>
            </w:r>
          </w:p>
        </w:tc>
        <w:tc>
          <w:tcPr>
            <w:tcW w:w="3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Reductions based on tax settlements</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Balance as of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7,057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3,508</w:t>
            </w: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December 31, 2016, we had $7.1 million of unrecognized income tax benefits, all of which, if recognized, would affect our effective tax rate. As of December 31, 2015, we had $3.5 million of unrecognized income tax benefits, all of which, if recognized, would affect our effective tax rate. We do not believe that the total amount of unrecognized income tax benefits will significantly increase or decrease within the next twelve months due to the lapse of statute of limitations or settlement with tax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2016, 2015 and 2014, our income tax provision included an insignificant amount of interest and penalties.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Estimates of our uncertain tax positions are made based upon prior experience and are updated in light of changes in facts and circumstances. However, due to the uncertain and complex application of tax regulations, it is possible that the ultimate</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20"/>
          </w:cols>
          <w:pgMar w:left="240" w:top="125"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resolution of audits may result in liabilities which could be materially different from these estimates. In such an event, we will record additional income tax provision or benefit in the period in which such resolution occurs.</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Employee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EchoStar has an employee stock purchase plan (the “ESPP”), under which it is authorized to issue 2.5 million shares of EchoStar Class A common stock. As of December 31, 2016, EchoStar had 0.4 million shares of Class A common stock which remain available for issuance under this plan. Substantially all full-time employees who have been employed by us for at least one calendar quarter are eligible to participate in the ESPP. Employee stock purchases are made through payroll deductions. Under the terms of the ESPP, each employee’s deductions are limited so that the maximum they may purchase under the ESPP is $25,000 in fair value of Class A common stock per year. Stock purchases are made on the last business day of each calendar quarter at 85.0% of the closing price of the Class A common stock on that date. For the years ended December 31, 2016, 2015 and 2014, employee purchases of EchoStar Class A common stock through the ESPP totaled approximately 209,000 shares, 198,000 shares and 152,000 shares,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Employee Savings Plans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EchoStar 401(k) Plan (“the Plan”), eligible employees are entitled to contribute up to 75.0% of their compensation subject to the maximum limit provided by the Internal Revenue Code of 1986, as amended (the “Code”). Eligible employees have the option to make after-tax contributions to the Plan so that they may contribute up to 75% of their compensation on a pre-tax and/or after-tax basis subject to the Code limits. All employee contributions to the Plan are immediately vested. EchoStar matches 50 cents on the dollar for the first 6.0% of each employee’s salary contributions to the Plan for a total of 3.0% match on a pre-tax basis up to a maximum of $7,500 annually. EchoStar’s match is calculated each pay period there is an employee contribution. In addition, EchoStar may make an annual discretionary contribution to the 401 (k) plan to be made in cash or EchoStar’s stock. Company contributions under the Plan vest at 20.0% per year and are 100.0% vested after an eligible employee has completed five years of employment. Forfeitures of unvested participant balances may be used to fund matching and discretionary contributions.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2016, 2015 and 2014, we recognized matching contributions, net of forfeitures, of $4.4 million, $4.0 million and</w:t>
      </w:r>
    </w:p>
    <w:p>
      <w:pPr>
        <w:spacing w:after="0" w:line="3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$3.3 million, respectively, and EchoStar made discretionary contributions of shares of its Class A common stock, net of forfeitures, with a fair value of $5.6 million, $5.2 million and $5.0 million, respectively, to the Plan.</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at December 31,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40" w:type="dxa"/>
            <w:vAlign w:val="bottom"/>
            <w:gridSpan w:val="10"/>
          </w:tcPr>
          <w:p>
            <w:pPr>
              <w:ind w:left="60"/>
              <w:spacing w:after="0"/>
              <w:rPr>
                <w:sz w:val="20"/>
                <w:szCs w:val="20"/>
                <w:color w:val="auto"/>
              </w:rPr>
            </w:pPr>
            <w:r>
              <w:rPr>
                <w:rFonts w:ascii="Arial" w:cs="Arial" w:eastAsia="Arial" w:hAnsi="Arial"/>
                <w:sz w:val="18"/>
                <w:szCs w:val="18"/>
                <w:b w:val="1"/>
                <w:bCs w:val="1"/>
                <w:color w:val="auto"/>
                <w:w w:val="91"/>
              </w:rPr>
              <w:t>Payments Due in the Year Ending December 31,</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2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2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r>
      <w:tr>
        <w:trPr>
          <w:trHeight w:val="27"/>
        </w:trPr>
        <w:tc>
          <w:tcPr>
            <w:tcW w:w="2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2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2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1,500,000</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297,268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32,984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36,511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40,370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44,733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46,131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96,539</w:t>
            </w:r>
          </w:p>
        </w:tc>
      </w:tr>
      <w:tr>
        <w:trPr>
          <w:trHeight w:val="27"/>
        </w:trPr>
        <w:tc>
          <w:tcPr>
            <w:tcW w:w="2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on long-term debt and</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2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capital lease obligations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1,487,520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252,940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248,424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212,318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175,799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136,673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461,366</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Satellite-related obligations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636,702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192,878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131,741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59,254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56,233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41,063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155,533</w:t>
            </w:r>
          </w:p>
        </w:tc>
      </w:tr>
      <w:tr>
        <w:trPr>
          <w:trHeight w:val="27"/>
        </w:trPr>
        <w:tc>
          <w:tcPr>
            <w:tcW w:w="2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9,827</w:t>
            </w:r>
          </w:p>
        </w:tc>
      </w:tr>
      <w:tr>
        <w:trPr>
          <w:trHeight w:val="237"/>
        </w:trPr>
        <w:tc>
          <w:tcPr>
            <w:tcW w:w="276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5,876,507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505,577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425,449</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1,308,892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283,450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1,129,874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2,223,265</w:t>
            </w:r>
          </w:p>
        </w:tc>
      </w:tr>
      <w:tr>
        <w:trPr>
          <w:trHeight w:val="27"/>
        </w:trPr>
        <w:tc>
          <w:tcPr>
            <w:tcW w:w="2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2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“Satellite-related obligations” primarily include payments pursuant to agreements for the construction of the EchoStar XIX, EchoStar XXI, EchoStar XXIII, and EchoStar 105/SES-11 satellites, payments pursuant to launch services contracts and regulatory authorizations, executory costs for our capital lease satellites, costs under satellite service agreements and in-orbit incentives relating to certain satellites; as well as commitments for long-term satellite operating leases and satellite service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arrangements. We incurred satellite-related expenses of $144.2 million, $116.5 million and $127.4 million for the years ended December 31, 2016, 2015 and 2014, respectively.</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table above does not include amounts related to deferred tax liabilities, unrecognized tax positions and certain other amounts recorded in our noncurrent liabilities as the timing of any payments is uncertain. The table also excludes long-term deferred revenue and other long-term liabilities that do not require future cash payments.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 Expense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years ended December 31, 2016, 2015 and 2014, we recorded $19.1 million, $17.5 million and $17.2 million, respectively, of operating lease expense relating to the leases of office space, equipment, and other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Intellectual Property</w:t>
      </w:r>
    </w:p>
    <w:p>
      <w:pPr>
        <w:spacing w:after="0" w:line="22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Many entities, including some of our competitors, have or may in the future obtain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trebled.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components within our direct broadcast satellite (“DBS”) products and services. We cannot be certain that these persons do not own the rights they claim, that these rights are not valid or that our products and services do not infringe on these rights. Further, we cannot be certain that we would be able to obtain licenses from these persons on commercially reasonable terms or, if we were unable to obtain such licenses, that we would be able to redesign our products and services to avoid infringement.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2008, DISH Network Corporation contributed its digital set-top box business and certain infrastructure and other assets, including certain of its satellites, uplink and satellite transmission assets, real estate, and other assets and related liabilities to EchoStar (the “Spin-off”). In connection with the Spin-off, EchoStar entered into a separation agreement with DISH Network that provides, among other things, for the division of certain liabilities, including liabilities resulting from litigation. Under the terms of the separation agreement, EchoStar has assumed certain liabilities that relate to its business, including certain designated liabilities for acts or omissions that occurred prior to the Spin-off. Certain specific provisions govern intellectual property related claims under which, generally, EchoStar will only be liable for its acts or omissions following the Spin-off and DISH Network will indemnify EchoStar for any liabilities or damages resulting from intellectual property claims relating to the period prior to the Spin-off, as well as DISH Network’s acts or omissions following the Spin-off.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involved in a number of legal proceedings (including those described below)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litigation are charged to expense as incurred.</w:t>
      </w:r>
    </w:p>
    <w:p>
      <w:pPr>
        <w:spacing w:after="0" w:line="16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certain cases described below, management is unable to predict with any degree of certainty the outcome or provide a meaningful estimate of the possible loss or range of possible loss because, among other reasons, (i) the proceedings are in various stages; (ii) damages have not been sought or specified;</w:t>
      </w:r>
    </w:p>
    <w:p>
      <w:pPr>
        <w:ind w:right="200" w:firstLine="8"/>
        <w:spacing w:after="0" w:line="261" w:lineRule="auto"/>
        <w:tabs>
          <w:tab w:leader="none" w:pos="3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damages are unsupported, indeterminate and/or exaggerated in management’s opinion; (iv) there is uncertainty as to the outcome of pending appeals or motions; (v) there are significant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factual issues to be resolved; and/or (vi) there are novel legal issues or unsettled legal theories to be presented or a large number of parties are involved (as with many patent-related cases). For these cases, however, management does not believe, based on currently available information, that the outcomes of these proceedings will have a material adverse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17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intend to vigorously defend the proceedings against us. In the event that a court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 In addition, adverse decisions against DISH Network in the proceedings described below could decrease the number of products and components we sell to DISH Network, which could have a material adverse effect on our business operations and our financial condition, results of operations and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Institute of Technology</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October 1, 2013, the California Institute of Technology (“Caltech”) filed suit against two of our subsidiaries, Hughes Communications, Inc. and Hughes Network Systems, LLC (“HNS”), as well as against DISH Network, DISH Network L.L.C., and dishNET Satellite Broadband L.L.C., in the United States District Court for the Central District of California alleging infringement of United States Patent Nos. 7,116,710; 7,421,032; 7,916,781; and 8,284,833, each of which is entitled “Serial Concatenation of Interleaved Convolutional Codes forming Turbo-Like Codes.” Caltech asserted that encoding data as specified by the DVB-S2 standard infringes each of the asserted patents. In the operative Amended Complaint, served on March 6, 2014, Caltech claimed that certain of our Hughes segment’s satellite broadband products and services infringed the asserted patents by implementing the DVB-S2 standard. On February 17, 2015, Caltech filed a second complaint in the same district against the same defendants alleging that HNS’ Gen4 HT1000 and HT1100 products infringed the same patents asserted in the first case. On May 25, 2016, we, the DISH Network defendants and Caltech entered into a settlement agreement pursuant to which the Court dismissed with prejudice all of the claims in these actions on May 31,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Elbit</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January 23, 2015, Elbit Systems Land and C4I LTD and Elbit Systems of America Ltd. (together referred to as “Elbit”) filed a complaint against our subsidiary HNS, as well as against Black Elk Energy Offshore Operations, LLC, Bluetide Communications, Inc. and Helm Hotels Group, in the United States District Court for the Eastern District of Texas, alleging infringement of United States Patent Nos. 6,240,073 (the “073 patent”) and 7,245,874 (“874 patent”). The 073 patent is entitled “Reverse Link for a Satellite Communication Network” and the 874 patent is entitled “Infrastructure for Telephony Network.” Elbit alleges that the 073 patent is infringed by broadband satellite systems that practice the Internet Protocol Over Satellite standard. Elbit alleges that the 874 patent is infringed by the manufacture and sale of broadband satellite systems that provide cellular backhaul service via connections to E1 or T1 interfaces at cellular backhaul base stations. On April 2, 2015, Elbit filed an amended complaint removing Helm Hotels Group as a defendant, but making similar allegations against a new defendant, Country Home Investments, Inc. On November 3 and 4, 2015, and January 22, 2016, the defendants filed petitions before the United States Patent and Trademark Office challenging the validity of the patents in suit, which the Patent and Trademark Office subsequently declined to institute. On April 13, 2016, the defendants answered Elbit’s complaint. Trial is scheduled to commence on July 31,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Realtime Data LLC</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May 8, 2015, Realtime Data LLC (“Realtime”) filed suit against EchoStar Corporation and our subsidiary HNS in the United States District Court for the Eastern District of Texas alleging infringement of United States Patent Nos. 7,378,992, entitled “Content Independent Data Compression Method and System”; 7,415,530, entitled “System and Methods for Accelerated Data Storage and Retrieval”; and 8,643,513, entitled “Data Compression System and Methods.” On September 14, 2015, Realtime amended its complaint, additionally alleging infringement of United States Patent No. 9,116,908, entitled “System and Methods for Accelerated Data Storage and Retrieval.” Realtime generally alleges that the asserted patents are infringed by certain HNS data compression products and services. Over April 29, 2016 and May 5, 2016, the defendants filed petitions before the United States Patent and Trademark Office challenging the validity of the asserted patents. The United States Patent and Trademark Office has instituted proceedings on each of those petitions, but the litigation has not been stayed. On February 14, 2017, Realtime filed a second suit against EchoStar Corporation and our subsidiary HNS in the same District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Court, alleging infringement of four additional United States Patents, Nos. 7,358,867, entitled “Content Independent Data Compression Method and System;” 8,502,707, entitled “Data Compression Systems and Methods;” 8,717,204, entitled “Methods for Encoding and Decoding Data;” and 9,054,728, entitled “Data Compression System and Methods.” The cases have been consolidated and no trial date has been set. Realtime is an entity that seeks to license an acquired patent portfolio without itself practicing any of the claims recited therein.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TQ Beta LLC</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June 30, 2014, TQ Beta LLC (“TQ Beta”) filed suit against DISH Network, DISH DBS Corporation, DISH Network L.L.C., as well as HSS, EchoStar Corporation, EchoStar Technologies, L.L.C, and Sling Media, Inc., a subsidiary of EchoStar, in the United States District Court for the District of Delaware, alleging infringement of United States Patent No. 7,203,456 (the “456 patent”), which is entitled “Method and Apparatus for Time and Space Domain Shifting of Broadcast Signals.” TQ Beta alleges that the Hopper, Hopper with Sling, ViP 722 and ViP 722k DVR devices, as well as the DISH Anywhere service and DISH Anywhere mobile application, infringe the 456 patent, but has not specified the amount of damages that it seeks. TQ Beta is an entity that seeks to license an acquired patent portfolio without itself practicing any of the claims recited therein. During August 2015, EchoStar Corporation and DISH Network L.L.C. filed petitions before the United States Patent and Trademark Office challenging the validity of certain claims of the 456 patent, and in February 2016, the United States Patent and Trademark Office agreed to institute proceedings on our petitions. On February 25, 2016, the case was stayed pending resolution of these proceedings before the United States Patent and Trademark Office, and the Court vacated all pending court dates and deadlines. On January 30, 2017, the United States Patent and Trademark Office issued its final written decisions on our petitions, invalidating all claims of the 456 patent that were asserted in the litigation, which decisions may be appealed by TQ Beta.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Two-Way Media Ltd.</w:t>
      </w:r>
    </w:p>
    <w:p>
      <w:pPr>
        <w:spacing w:after="0" w:line="22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On February 17, 2016, Two-Way Media Ltd. (“TWM”) filed a complaint against EchoStar Corporation and its subsidiaries, EchoStar Technologies L.L.C., EchoStar Satellite Services L.L.C., and Sling Media, Inc., as well as against DISH Network Corporation, DISH DBS Corporation, DISH Network L.L.C., DISH Network Service L.L.C., Sling TV Holding L.L.C., Sling TV L.L.C., and Sling TV Purchasing L.L.C. TWM brought the suit in the United States District Court for the District of Colorado, alleging infringement of United States Patent Nos. 5,778,187; 5,983,005; 6,434,622; and 7,266,686, each entitled “Multicasting Method and Apparatus”; and 9,124,607, entitled “Methods and Systems for Playing Media.” TWM alleged that the Sling TV, Sling International, DISH Anywhere, and DISHWorld services, as well as the Slingbox units and DISH DVRs incorporating Slingbox technology, infringed the asserted patents. TWM is an entity that seeks to license a patent portfolio without itself practicing any of the claims recited therein. Effective December 8, 2016, we, DISH Network Corporation and TWM entered into a settlement agreement pursuant to which the Court dismissed with prejudice all claims in the action on December 15,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to the above actions, we are subject to various other legal proceedings and claims, which arise in the ordinary course of our business. As part of our ongoing operations, the Company is subject to various inspections, audits, inquiries, investigations and similar actions by third parties, as well as by governmental/regulatory authorities responsible for enforcing the laws and regulations to which the Company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the Company from time to time receives inquiries from federal, state and foreign agencies regarding compliance with various laws and regulations.</w:t>
      </w:r>
    </w:p>
    <w:p>
      <w:pPr>
        <w:spacing w:after="0" w:line="16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our opinion, the amount of ultimate liability with respect to any of these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18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indemnifies its directors, officers and employees for certain liabilities that might arise from the performance of their responsibilities for the Company. Additionally, in the normal course of its business, the Company enters into contracts pursuant to which the Company may make a variety of representations and warranties and indemnify the counterparty for certain losses. The Company’s possible exposure under these arrangements cannot be reasonably estimated as this involves the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125" w:right="27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resolution of claims made, or future claims that may be made, against the Company or its officers, directors or employees, the outcomes of which are unknown and not currently predictable or estimable.</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Segment Reporting</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Operating segments are business components of an enterprise for which separate financial information is available and regularly evaluated by the chief operating decision maker (“CODM”), who for HSS, is the Company’s Chief Executive Officer. Under this definition, we operate in two primary business segments, Hughes and EchoStar Satellite Services as described in Note 1 of these consolidated financial statements.</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primary measure of segment profitability that is reported regularly to our CODM is earnings before interest, taxes, depreciation and amortization, or EBITDA. Our segment operating results do not include real estate and other activities, costs incurred in certain satellite development programs and other business development activities, expenses of various corporate departments and our centralized treasury operations, including income from our investment portfolio and interest expense on our debt. These activities are accounted for in the “All Other and Eliminations” column in the table below. Total assets by segment have not been reported herein because the information is not provided to our CODM on a regular basis. The Hughes Retail Group is included in our Hughes segment and our CODM reviews separate HRG financial information only to the extent such information is included in our periodic filings with the SEC. Therefore, we do not consider HRG to be a separate operating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Transactions between segments were not significant for the years ended December 31, 2016,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capital expenditures, and EBITDA for each of our operating segments: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EchoStar</w:t>
            </w:r>
          </w:p>
        </w:tc>
        <w:tc>
          <w:tcPr>
            <w:tcW w:w="26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rPr>
              <w:t>All</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Satellite</w:t>
            </w:r>
          </w:p>
        </w:tc>
        <w:tc>
          <w:tcPr>
            <w:tcW w:w="26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Other and</w:t>
            </w:r>
          </w:p>
        </w:tc>
        <w:tc>
          <w:tcPr>
            <w:tcW w:w="26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Consolidated</w:t>
            </w:r>
          </w:p>
        </w:tc>
      </w:tr>
      <w:tr>
        <w:trPr>
          <w:trHeight w:val="234"/>
        </w:trPr>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Hughes</w:t>
            </w:r>
          </w:p>
        </w:tc>
        <w:tc>
          <w:tcPr>
            <w:tcW w:w="32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Services</w:t>
            </w:r>
          </w:p>
        </w:tc>
        <w:tc>
          <w:tcPr>
            <w:tcW w:w="260" w:type="dxa"/>
            <w:vAlign w:val="bottom"/>
          </w:tcPr>
          <w:p>
            <w:pPr>
              <w:spacing w:after="0"/>
              <w:rPr>
                <w:sz w:val="20"/>
                <w:szCs w:val="20"/>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Eliminations</w:t>
            </w:r>
          </w:p>
        </w:tc>
        <w:tc>
          <w:tcPr>
            <w:tcW w:w="2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4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3"/>
          </w:tcPr>
          <w:p>
            <w:pPr>
              <w:jc w:val="right"/>
              <w:ind w:right="85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2016</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Net revenue:</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External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1,389,152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406,970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3,671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1,799,793</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Intersegment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3,209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690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(3,899)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1,392,361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407,660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1,799,793</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322,362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58,925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381,287</w:t>
            </w: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427,802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339,496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15,209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782,507</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For the Year Ended December 31, 2015</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External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1,344,945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489,842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2,345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1,837,132</w:t>
            </w: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1,347,340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490,591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(799)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1,837,132</w:t>
            </w: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285,499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101,215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386,714</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EBITDA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396,684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412,607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(4,699)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804,592</w:t>
            </w: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2014</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Net revenue:</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External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1,325,887</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481,579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1,807,977</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Intersegment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1,831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1,327,718</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484,455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1,807,977</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218,607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28,734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247,341</w:t>
            </w: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356,871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419,442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5,137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781,450</w:t>
            </w:r>
          </w:p>
        </w:tc>
      </w:tr>
      <w:tr>
        <w:trPr>
          <w:trHeight w:val="891"/>
        </w:trPr>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F-37</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300"/>
          </w:cols>
          <w:pgMar w:left="240" w:top="125" w:right="3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reconciles total consolidated EBITDA to reported “Income before income taxes” in our consolidated statements of operations and comprehensive income (loss):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8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90"/>
              </w:rPr>
              <w:t>For the Years Ended December 31,</w:t>
            </w:r>
          </w:p>
        </w:tc>
        <w:tc>
          <w:tcPr>
            <w:tcW w:w="110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r>
      <w:tr>
        <w:trPr>
          <w:trHeight w:val="27"/>
        </w:trPr>
        <w:tc>
          <w:tcPr>
            <w:tcW w:w="5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 thousands)</w:t>
            </w: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782,507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804,592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781,450</w:t>
            </w:r>
          </w:p>
        </w:tc>
      </w:tr>
      <w:tr>
        <w:trPr>
          <w:trHeight w:val="243"/>
        </w:trPr>
        <w:tc>
          <w:tcPr>
            <w:tcW w:w="5780" w:type="dxa"/>
            <w:vAlign w:val="bottom"/>
          </w:tcPr>
          <w:p>
            <w:pPr>
              <w:ind w:left="180"/>
              <w:spacing w:after="0"/>
              <w:rPr>
                <w:sz w:val="20"/>
                <w:szCs w:val="20"/>
                <w:color w:val="auto"/>
              </w:rPr>
            </w:pPr>
            <w:r>
              <w:rPr>
                <w:rFonts w:ascii="Arial" w:cs="Arial" w:eastAsia="Arial" w:hAnsi="Arial"/>
                <w:sz w:val="18"/>
                <w:szCs w:val="18"/>
                <w:color w:val="auto"/>
              </w:rPr>
              <w:t>Interest income and expense, net</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(164,734)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(188,024)</w:t>
            </w: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(414,133)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(430,127)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(452,138)</w:t>
            </w:r>
          </w:p>
        </w:tc>
      </w:tr>
      <w:tr>
        <w:trPr>
          <w:trHeight w:val="243"/>
        </w:trPr>
        <w:tc>
          <w:tcPr>
            <w:tcW w:w="578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1,389</w:t>
            </w:r>
          </w:p>
        </w:tc>
      </w:tr>
      <w:tr>
        <w:trPr>
          <w:trHeight w:val="27"/>
        </w:trPr>
        <w:tc>
          <w:tcPr>
            <w:tcW w:w="5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195,480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211,348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142,677</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 and Transactions with Major Customers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Geographic Information. </w:t>
      </w:r>
      <w:r>
        <w:rPr>
          <w:rFonts w:ascii="Arial" w:cs="Arial" w:eastAsia="Arial" w:hAnsi="Arial"/>
          <w:sz w:val="18"/>
          <w:szCs w:val="18"/>
          <w:color w:val="auto"/>
        </w:rPr>
        <w:t>Revenue is attributed to geographic regions based upon the location where the goods and services are provided. North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includes transactions with North America customers. All other revenue includes transactions with customers in Asia, Africa, Australia, Europe, South America, and the Middle East. The following table summarizes total long-lived assets and revenue attributed to the North America and other foreign locations.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782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82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Long-lived assets:</w:t>
            </w: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7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020" w:type="dxa"/>
            <w:vAlign w:val="bottom"/>
          </w:tcPr>
          <w:p>
            <w:pPr>
              <w:spacing w:after="0"/>
              <w:rPr>
                <w:sz w:val="20"/>
                <w:szCs w:val="20"/>
                <w:color w:val="auto"/>
              </w:rPr>
            </w:pPr>
          </w:p>
        </w:tc>
      </w:tr>
      <w:tr>
        <w:trPr>
          <w:trHeight w:val="27"/>
        </w:trPr>
        <w:tc>
          <w:tcPr>
            <w:tcW w:w="7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3,111,452</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3,266,471</w:t>
            </w:r>
          </w:p>
        </w:tc>
      </w:tr>
      <w:tr>
        <w:trPr>
          <w:trHeight w:val="27"/>
        </w:trPr>
        <w:tc>
          <w:tcPr>
            <w:tcW w:w="7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Canada and Mexico</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w:t>
            </w:r>
          </w:p>
        </w:tc>
      </w:tr>
      <w:tr>
        <w:trPr>
          <w:trHeight w:val="243"/>
        </w:trPr>
        <w:tc>
          <w:tcPr>
            <w:tcW w:w="7820" w:type="dxa"/>
            <w:vAlign w:val="bottom"/>
            <w:gridSpan w:val="2"/>
          </w:tcPr>
          <w:p>
            <w:pPr>
              <w:ind w:left="40"/>
              <w:spacing w:after="0"/>
              <w:rPr>
                <w:sz w:val="20"/>
                <w:szCs w:val="20"/>
                <w:color w:val="auto"/>
              </w:rPr>
            </w:pPr>
            <w:r>
              <w:rPr>
                <w:rFonts w:ascii="Arial" w:cs="Arial" w:eastAsia="Arial" w:hAnsi="Arial"/>
                <w:sz w:val="18"/>
                <w:szCs w:val="18"/>
                <w:color w:val="auto"/>
              </w:rPr>
              <w:t>All other</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223,209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89,106</w:t>
            </w:r>
          </w:p>
        </w:tc>
      </w:tr>
      <w:tr>
        <w:trPr>
          <w:trHeight w:val="27"/>
        </w:trPr>
        <w:tc>
          <w:tcPr>
            <w:tcW w:w="7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long-lived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3,351,291</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3,356,653</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gridSpan w:val="6"/>
          </w:tcPr>
          <w:p>
            <w:pPr>
              <w:jc w:val="center"/>
              <w:ind w:left="590"/>
              <w:spacing w:after="0"/>
              <w:rPr>
                <w:sz w:val="20"/>
                <w:szCs w:val="20"/>
                <w:color w:val="auto"/>
              </w:rPr>
            </w:pPr>
            <w:r>
              <w:rPr>
                <w:rFonts w:ascii="Arial" w:cs="Arial" w:eastAsia="Arial" w:hAnsi="Arial"/>
                <w:sz w:val="18"/>
                <w:szCs w:val="18"/>
                <w:b w:val="1"/>
                <w:bCs w:val="1"/>
                <w:color w:val="auto"/>
                <w:w w:val="90"/>
              </w:rPr>
              <w:t>For the Years Ended December 31,</w:t>
            </w:r>
          </w:p>
        </w:tc>
        <w:tc>
          <w:tcPr>
            <w:tcW w:w="1000" w:type="dxa"/>
            <w:vAlign w:val="bottom"/>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2014</w:t>
            </w:r>
          </w:p>
        </w:tc>
      </w:tr>
      <w:tr>
        <w:trPr>
          <w:trHeight w:val="27"/>
        </w:trPr>
        <w:tc>
          <w:tcPr>
            <w:tcW w:w="35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 thousands)</w:t>
            </w: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1,469,666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1,516,627</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1,470,481</w:t>
            </w:r>
          </w:p>
        </w:tc>
      </w:tr>
      <w:tr>
        <w:trPr>
          <w:trHeight w:val="27"/>
        </w:trPr>
        <w:tc>
          <w:tcPr>
            <w:tcW w:w="35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Canada and Mexico</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86,236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67,648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80,264</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All other</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243,891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252,857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257,232</w:t>
            </w:r>
          </w:p>
        </w:tc>
      </w:tr>
      <w:tr>
        <w:trPr>
          <w:trHeight w:val="27"/>
        </w:trPr>
        <w:tc>
          <w:tcPr>
            <w:tcW w:w="35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1,799,793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1,837,132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1,807,977</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872"/>
        </w:trPr>
        <w:tc>
          <w:tcPr>
            <w:tcW w:w="3580" w:type="dxa"/>
            <w:vAlign w:val="bottom"/>
          </w:tcPr>
          <w:p>
            <w:pPr>
              <w:spacing w:after="0"/>
              <w:rPr>
                <w:sz w:val="24"/>
                <w:szCs w:val="24"/>
                <w:color w:val="auto"/>
              </w:rPr>
            </w:pPr>
          </w:p>
        </w:tc>
        <w:tc>
          <w:tcPr>
            <w:tcW w:w="2960" w:type="dxa"/>
            <w:vAlign w:val="bottom"/>
            <w:gridSpan w:val="3"/>
          </w:tcPr>
          <w:p>
            <w:pPr>
              <w:jc w:val="right"/>
              <w:ind w:right="660"/>
              <w:spacing w:after="0"/>
              <w:rPr>
                <w:sz w:val="20"/>
                <w:szCs w:val="20"/>
                <w:color w:val="auto"/>
              </w:rPr>
            </w:pPr>
            <w:r>
              <w:rPr>
                <w:rFonts w:ascii="Arial" w:cs="Arial" w:eastAsia="Arial" w:hAnsi="Arial"/>
                <w:sz w:val="18"/>
                <w:szCs w:val="18"/>
                <w:color w:val="auto"/>
              </w:rPr>
              <w:t>F-38</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80"/>
          </w:cols>
          <w:pgMar w:left="240" w:top="125" w:right="4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 xml:space="preserve">Transactions with Major Customers. </w:t>
      </w:r>
      <w:r>
        <w:rPr>
          <w:rFonts w:ascii="Arial" w:cs="Arial" w:eastAsia="Arial" w:hAnsi="Arial"/>
          <w:sz w:val="18"/>
          <w:szCs w:val="18"/>
          <w:color w:val="auto"/>
        </w:rPr>
        <w:t>For the years ended December 31, 2016, 2015 and 2014, our revenue included sales to one major customer.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table summarizes sales to this customer and its percentage of total revenue.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20" w:type="dxa"/>
            <w:vAlign w:val="bottom"/>
            <w:gridSpan w:val="8"/>
          </w:tcPr>
          <w:p>
            <w:pPr>
              <w:jc w:val="center"/>
              <w:ind w:right="440"/>
              <w:spacing w:after="0"/>
              <w:rPr>
                <w:sz w:val="20"/>
                <w:szCs w:val="20"/>
                <w:color w:val="auto"/>
              </w:rPr>
            </w:pPr>
            <w:r>
              <w:rPr>
                <w:rFonts w:ascii="Arial" w:cs="Arial" w:eastAsia="Arial" w:hAnsi="Arial"/>
                <w:sz w:val="18"/>
                <w:szCs w:val="18"/>
                <w:b w:val="1"/>
                <w:bCs w:val="1"/>
                <w:color w:val="auto"/>
                <w:w w:val="89"/>
              </w:rPr>
              <w:t>For the Years Ended December 31,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 thousands)</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DISH Network:</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Hughes segment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107,300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105,181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112,692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gridSpan w:val="2"/>
          </w:tcPr>
          <w:p>
            <w:pPr>
              <w:ind w:left="180"/>
              <w:spacing w:after="0"/>
              <w:rPr>
                <w:sz w:val="20"/>
                <w:szCs w:val="20"/>
                <w:color w:val="auto"/>
              </w:rPr>
            </w:pPr>
            <w:r>
              <w:rPr>
                <w:rFonts w:ascii="Arial" w:cs="Arial" w:eastAsia="Arial" w:hAnsi="Arial"/>
                <w:sz w:val="18"/>
                <w:szCs w:val="18"/>
                <w:color w:val="auto"/>
              </w:rPr>
              <w:t>EchoStar Satellite Services segment</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349,549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423,465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407,236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All Other and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Total DISH Network</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458,387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529,605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519,928</w:t>
            </w:r>
          </w:p>
        </w:tc>
        <w:tc>
          <w:tcPr>
            <w:tcW w:w="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1,341,406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1,307,527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1,288,049</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520" w:type="dxa"/>
            <w:vAlign w:val="bottom"/>
            <w:gridSpan w:val="2"/>
          </w:tcPr>
          <w:p>
            <w:pPr>
              <w:ind w:left="18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1,799,793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1,837,132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1,807,977</w:t>
            </w:r>
          </w:p>
        </w:tc>
        <w:tc>
          <w:tcPr>
            <w:tcW w:w="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5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5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b w:val="1"/>
                <w:bCs w:val="1"/>
                <w:color w:val="auto"/>
              </w:rPr>
              <w:t>Percentage of total revenue:</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DISH Network</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All other</w:t>
            </w: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15.  Quarterly Financial Data (Unaudited)</w:t>
            </w: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20" w:type="dxa"/>
            <w:vAlign w:val="bottom"/>
            <w:gridSpan w:val="2"/>
          </w:tcPr>
          <w:p>
            <w:pPr>
              <w:spacing w:after="0"/>
              <w:rPr>
                <w:sz w:val="20"/>
                <w:szCs w:val="20"/>
                <w:color w:val="auto"/>
              </w:rPr>
            </w:pPr>
            <w:r>
              <w:rPr>
                <w:rFonts w:ascii="Arial" w:cs="Arial" w:eastAsia="Arial" w:hAnsi="Arial"/>
                <w:sz w:val="18"/>
                <w:szCs w:val="18"/>
                <w:color w:val="auto"/>
                <w:w w:val="90"/>
              </w:rPr>
              <w:t>Our quarterly results of operations are summarized as follows: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For the Three Months Ended</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c>
          <w:tcPr>
            <w:tcW w:w="46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December 31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429,126</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440,718</w:t>
            </w: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457,266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472,683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81,225</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90,561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34,030</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37,999</w:t>
            </w: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28,089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21,603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HSS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33,919</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20,843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450,234</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459,476</w:t>
            </w: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464,031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463,391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90,992</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93,671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29,376</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27,473</w:t>
            </w: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37,232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44,903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HSS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29,007</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44,292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and EchoStar have agreed that we shall have the right, but not the obligation, to receive from EchoStar certain corporate services, including among other things: treasury, tax, accounting and reporting, risk management, legal, internal audit, human resources, and information technology. These services are provided at cost. We may terminate a particular service we receive from EchoStar for any reason upon at least 30 days’ notice. We recorded expenses for services received from EchoStar of $16.7 million, $16.5 million and $13.2 million for the years ended December 31, 2016, 2015 and 2014, respectively. In addition, we occupy certain office space in buildings owned or leased by EchoStar and pay a portion of the taxes, insurance, utilities and maintenance of the premises in accordance with the percentage of the space we occupy.</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participate in certain of EchoStar’s shared services arrangements for its subsidiaries in the ordinary course of business, including arrangements for payroll, accounts payable and cash management. From time to time in connection with the processing of transactions under these arrangements, we may pay or receive amounts attributable to other domestic subsidiaries of EchoStar. We report net payments on behalf of other subsidiaries in “Advances to affiliates, net” within current assets and</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20"/>
          </w:cols>
          <w:pgMar w:left="240" w:top="125" w:right="339" w:bottom="1072"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report net receipts on behalf of other subsidiaries in “Advances from affiliates, net” within current liabilities in our consolidated balance sheets. No repayment schedule for these net advances has been determined.</w:t>
      </w:r>
    </w:p>
    <w:p>
      <w:pPr>
        <w:spacing w:after="0" w:line="170"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EchoStar and certain of its subsidiaries have provided cash advances to certain of our foreign subsidiaries to fund certain expenditures pursuant to loan agreements that mature in 2018 and 2022. Advances under these agreements bear interest at annual rates ranging from one to three percent, subject to periodic adjustment based on the one-year U.S. LIBOR rate. We report amounts payable under these agreements in “Advances from affiliates” within noncurrent liabilities in our consolidated balance sheets.</w:t>
      </w:r>
    </w:p>
    <w:p>
      <w:pPr>
        <w:spacing w:after="0" w:line="1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 xml:space="preserve">EchoStar XXI and EchoStar XXIII Launch Facilitation and Operational Control Agreements. </w:t>
      </w:r>
      <w:r>
        <w:rPr>
          <w:rFonts w:ascii="Arial" w:cs="Arial" w:eastAsia="Arial" w:hAnsi="Arial"/>
          <w:sz w:val="17"/>
          <w:szCs w:val="17"/>
          <w:color w:val="auto"/>
        </w:rPr>
        <w:t>As part of applying for our launch licenses for EchoStar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XXI and XXIII through the UK Space Agency, our subsidiary, Hughes Network Systems, Ltd. (“HNS Ltd.”) and a subsidiary of EchoStar, EchoStar Operating L.L.C. (“EOC”), entered into agreements in June 2015 and March 2016 to transfer to HNS Ltd., EOC’s launch service contracts for the EchoStar XXI and EchoStar XXIII satellites, respectively, and to grant HNS Ltd. certain rights to control the in-orbit operations of these satellites. EOC retained ownership of the satellites. In March 2016, we recorded a $70.3 million addition to “Other noncurrent assets, net” and a corresponding increase in “Additional paid-in capital” in our condensed consolidated balance sheet to reflect EOC’s cumulative payments under the EchoStar XXIII launch service contract prior to the transfer date. EOC also contracted to make future payments to HNS Ltd. for amounts that HNS Ltd. is required to pay under both launch service contracts. In March and November 2016, HNS Ltd. received a total of $23.8 million in cash from EOC to fund required payments under the EchoStar XXI launch service contract. We recorded the cash receipts as increases in “Additional paid-in capital.” HNS Ltd.’s future payments under the launch service contracts are included in our disclosure of satellite-related obligations in Note 13.</w:t>
      </w:r>
    </w:p>
    <w:p>
      <w:pPr>
        <w:spacing w:after="0" w:line="17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b w:val="1"/>
          <w:bCs w:val="1"/>
          <w:i w:val="1"/>
          <w:iCs w:val="1"/>
          <w:color w:val="auto"/>
        </w:rPr>
        <w:t xml:space="preserve">Share Exchange Agreement. </w:t>
      </w:r>
      <w:r>
        <w:rPr>
          <w:rFonts w:ascii="Arial" w:cs="Arial" w:eastAsia="Arial" w:hAnsi="Arial"/>
          <w:sz w:val="17"/>
          <w:szCs w:val="17"/>
          <w:color w:val="auto"/>
        </w:rPr>
        <w:t>Prior to consummation of the Share Exchange, EchoStar is required to complete steps necessary for the transferring assets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that are being assumed by the DISH Parties to be owned by the transferring entities and their respective subsidiaries. As part of these steps, subsidiaries of EchoStar that currently own the Uplinking Businesses and related assets and liabilities will be contributed to our subsidiary EB Corp in consideration for additional shares of the Company’s common stock that will be issued to a subsidiary of EchoStar. Certain data center assets within the Uplinking Businesses will not be included in the Share Exchange and after consummation of the Share Exchange will continue to be owned by our subsidiaries and will be pledged as collateral to support our obligations under the Indentures.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Network</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Following the Spin-off, EchoStar and DISH Network have operated as separate publicly-traded companies. However, pursuant to the Satellite and Tracking Stock Transaction, described in Note 3 and below, DISH Network owns Hughes Retail Preferred Tracking Stock representing an aggregate 80.0% economic interest in the residential retail satellite broadband business of our Hughes segment. The tracking stock is an equity security and the rights of DISH Network, as the holder of the tracking stock, in our assets are subject to the claims of our creditors. In addition, a substantial majority of the voting power of the shares of EchoStar and DISH Network is owned beneficially by Charles W. Ergen, our Chairman, and by certain trusts established by Mr. Ergen for the benefit of his family.</w:t>
      </w:r>
    </w:p>
    <w:p>
      <w:pPr>
        <w:spacing w:after="0" w:line="19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connection with and following the Spin-off, EchoStar and DISH Network have entered into certain agreements pursuant to which we and EchoStar obtain certain products, services and rights from DISH Network; DISH Network obtains certain products, services and rights from us and EchoStar; and we and DISH Network have indemnified each other against certain liabilities arising from our respective businesses. We and/or EchoStar also may enter into additional agreements with DISH Network in the future. Generally, the amounts DISH Network pays for products and services provided under the agreements are based on our cost plus a fixed margin (unless noted differently below), which varies depending on the nature of the products and services provided.</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is a summary of the terms of our principal agreements with DISH Network that may have an impact on our financial condition and results of operations.</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Following the Share Exchange, we also expect that we will enter into agreements for new transactions with DISH Network, including agreements pursuant to which we obtain certain products, services and rights from DISH Network and DISH Network obtains certain products, services and rights from us.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other revenue — DISH Network</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Satellite Services Provided to DISH Network. </w:t>
      </w:r>
      <w:r>
        <w:rPr>
          <w:rFonts w:ascii="Arial" w:cs="Arial" w:eastAsia="Arial" w:hAnsi="Arial"/>
          <w:sz w:val="17"/>
          <w:szCs w:val="17"/>
          <w:color w:val="auto"/>
        </w:rPr>
        <w:t>Since the Spin-off, we have entered into certain satellite service agreements pursuant to which DISH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receives satellite services on certain satellites owned or leased by us. The fees for the services provided under these satellite service agreements depend, among other things, upon the orbital location of the applicable satellite, the number of transponders that are providing services on the applicable satellite, and the length of the service arrangements. The terms of each service arrangement is set forth below:</w:t>
      </w:r>
    </w:p>
    <w:p>
      <w:pPr>
        <w:spacing w:after="0" w:line="171" w:lineRule="exact"/>
        <w:rPr>
          <w:sz w:val="20"/>
          <w:szCs w:val="20"/>
          <w:color w:val="auto"/>
        </w:rPr>
      </w:pPr>
    </w:p>
    <w:p>
      <w:pPr>
        <w:jc w:val="both"/>
        <w:ind w:left="340" w:right="140"/>
        <w:spacing w:after="0" w:line="290" w:lineRule="auto"/>
        <w:rPr>
          <w:sz w:val="20"/>
          <w:szCs w:val="20"/>
          <w:color w:val="auto"/>
        </w:rPr>
      </w:pPr>
      <w:r>
        <w:rPr>
          <w:rFonts w:ascii="Arial" w:cs="Arial" w:eastAsia="Arial" w:hAnsi="Arial"/>
          <w:sz w:val="16"/>
          <w:szCs w:val="16"/>
          <w:i w:val="1"/>
          <w:iCs w:val="1"/>
          <w:color w:val="auto"/>
        </w:rPr>
        <w:t xml:space="preserve">EchoStar I, EchoStar VII, EchoStar X, EchoStar XI and EchoStar XIV. </w:t>
      </w:r>
      <w:r>
        <w:rPr>
          <w:rFonts w:ascii="Arial" w:cs="Arial" w:eastAsia="Arial" w:hAnsi="Arial"/>
          <w:sz w:val="16"/>
          <w:szCs w:val="16"/>
          <w:color w:val="auto"/>
        </w:rPr>
        <w:t>As part of the Satellite and Tracking Stock Transaction discussed in Note 3, 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2014, we began providing certain satellite services to DISH Network on the EchoStar I, EchoStar VII, EchoStar X, EchoStar XI and EchoStar XIV satellites. The term of each satellite services agreement generally terminates upon the earlier of: (i) the end of life of the satellite; (ii) the date the satellite fails; or (iii) a certain date, which depends upon, among other things, the estimated useful life of the satellite. DISH Network generally has the option to renew each satellite service agreement on a year-to-year basis through the end of the respective satellite’s life. There can be no assurance that any options to renew such agreements will be exercised. DISH Network elected not to renew the satellite services agreement relative to the EchoStar I satellite. The agreement for the EchoStar I satellite expired pursuant to its terms effective November 2015. In December 2016, DISH Network renewed the satellite services agreement relative to the EchoStar VII satellite for one year to June 2018.</w:t>
      </w:r>
    </w:p>
    <w:p>
      <w:pPr>
        <w:spacing w:after="0" w:line="166" w:lineRule="exact"/>
        <w:rPr>
          <w:sz w:val="20"/>
          <w:szCs w:val="20"/>
          <w:color w:val="auto"/>
        </w:rPr>
      </w:pPr>
    </w:p>
    <w:p>
      <w:pPr>
        <w:ind w:left="340" w:right="40"/>
        <w:spacing w:after="0" w:line="264" w:lineRule="auto"/>
        <w:rPr>
          <w:sz w:val="20"/>
          <w:szCs w:val="20"/>
          <w:color w:val="auto"/>
        </w:rPr>
      </w:pPr>
      <w:r>
        <w:rPr>
          <w:rFonts w:ascii="Arial" w:cs="Arial" w:eastAsia="Arial" w:hAnsi="Arial"/>
          <w:sz w:val="18"/>
          <w:szCs w:val="18"/>
          <w:i w:val="1"/>
          <w:iCs w:val="1"/>
          <w:color w:val="auto"/>
        </w:rPr>
        <w:t xml:space="preserve">EchoStar VIII. </w:t>
      </w:r>
      <w:r>
        <w:rPr>
          <w:rFonts w:ascii="Arial" w:cs="Arial" w:eastAsia="Arial" w:hAnsi="Arial"/>
          <w:sz w:val="18"/>
          <w:szCs w:val="18"/>
          <w:color w:val="auto"/>
        </w:rPr>
        <w:t>In May 2013, DISH Network began receiving satellite services from us on the EchoStar VIII satellite as an in-orbit spare.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2014, this satellite services arrangement converted to a month-to-month service agreement with both parties having the right to terminate upon 30 days’ notice. The agreement terminated in accordance with its terms effective November 2015.</w:t>
      </w:r>
    </w:p>
    <w:p>
      <w:pPr>
        <w:spacing w:after="0" w:line="181"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i w:val="1"/>
          <w:iCs w:val="1"/>
          <w:color w:val="auto"/>
        </w:rPr>
        <w:t xml:space="preserve">EchoStar IX. </w:t>
      </w:r>
      <w:r>
        <w:rPr>
          <w:rFonts w:ascii="Arial" w:cs="Arial" w:eastAsia="Arial" w:hAnsi="Arial"/>
          <w:sz w:val="17"/>
          <w:szCs w:val="17"/>
          <w:color w:val="auto"/>
        </w:rPr>
        <w:t>Effective January 2008, DISH Network began receiving satellite services from us on the EchoStar IX satellite. Subject to availability, DISH</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generally has the right to continue to receive satellite services from us on the EchoStar IX satellite on a month-to-month basis.</w:t>
      </w:r>
    </w:p>
    <w:p>
      <w:pPr>
        <w:spacing w:after="0" w:line="147" w:lineRule="exact"/>
        <w:rPr>
          <w:sz w:val="20"/>
          <w:szCs w:val="20"/>
          <w:color w:val="auto"/>
        </w:rPr>
      </w:pPr>
    </w:p>
    <w:p>
      <w:pPr>
        <w:ind w:left="340" w:right="60"/>
        <w:spacing w:after="0" w:line="279" w:lineRule="auto"/>
        <w:rPr>
          <w:sz w:val="20"/>
          <w:szCs w:val="20"/>
          <w:color w:val="auto"/>
        </w:rPr>
      </w:pPr>
      <w:r>
        <w:rPr>
          <w:rFonts w:ascii="Arial" w:cs="Arial" w:eastAsia="Arial" w:hAnsi="Arial"/>
          <w:sz w:val="17"/>
          <w:szCs w:val="17"/>
          <w:i w:val="1"/>
          <w:iCs w:val="1"/>
          <w:color w:val="auto"/>
        </w:rPr>
        <w:t xml:space="preserve">EchoStar XII. </w:t>
      </w:r>
      <w:r>
        <w:rPr>
          <w:rFonts w:ascii="Arial" w:cs="Arial" w:eastAsia="Arial" w:hAnsi="Arial"/>
          <w:sz w:val="17"/>
          <w:szCs w:val="17"/>
          <w:color w:val="auto"/>
        </w:rPr>
        <w:t>DISH Network receives satellite services from us on the EchoStar XII satellite. The term of the satellite services agreement terminates</w:t>
      </w:r>
      <w:r>
        <w:rPr>
          <w:rFonts w:ascii="Arial" w:cs="Arial" w:eastAsia="Arial" w:hAnsi="Arial"/>
          <w:sz w:val="17"/>
          <w:szCs w:val="17"/>
          <w:i w:val="1"/>
          <w:iCs w:val="1"/>
          <w:color w:val="auto"/>
        </w:rPr>
        <w:t xml:space="preserve"> </w:t>
      </w:r>
      <w:r>
        <w:rPr>
          <w:rFonts w:ascii="Arial" w:cs="Arial" w:eastAsia="Arial" w:hAnsi="Arial"/>
          <w:sz w:val="17"/>
          <w:szCs w:val="17"/>
          <w:color w:val="auto"/>
        </w:rPr>
        <w:t>upon the earlier of: (i) the end of life of the satellite; (ii) the date the satellite fails or the date the transponder(s) on which the service was being provided under the agreement fails; or (iii) September 2017. DISH Network generally has the option to renew the agreement on a year-to-year basis through the end of the satellite’s life. There can be no assurance that any options to renew this agreement will be exercised.</w:t>
      </w:r>
    </w:p>
    <w:p>
      <w:pPr>
        <w:spacing w:after="0" w:line="171" w:lineRule="exact"/>
        <w:rPr>
          <w:sz w:val="20"/>
          <w:szCs w:val="20"/>
          <w:color w:val="auto"/>
        </w:rPr>
      </w:pPr>
    </w:p>
    <w:p>
      <w:pPr>
        <w:ind w:left="340"/>
        <w:spacing w:after="0" w:line="268" w:lineRule="auto"/>
        <w:rPr>
          <w:sz w:val="20"/>
          <w:szCs w:val="20"/>
          <w:color w:val="auto"/>
        </w:rPr>
      </w:pPr>
      <w:r>
        <w:rPr>
          <w:rFonts w:ascii="Arial" w:cs="Arial" w:eastAsia="Arial" w:hAnsi="Arial"/>
          <w:sz w:val="17"/>
          <w:szCs w:val="17"/>
          <w:i w:val="1"/>
          <w:iCs w:val="1"/>
          <w:color w:val="auto"/>
        </w:rPr>
        <w:t xml:space="preserve">EchoStar XVI. </w:t>
      </w:r>
      <w:r>
        <w:rPr>
          <w:rFonts w:ascii="Arial" w:cs="Arial" w:eastAsia="Arial" w:hAnsi="Arial"/>
          <w:sz w:val="17"/>
          <w:szCs w:val="17"/>
          <w:color w:val="auto"/>
        </w:rPr>
        <w:t>In December 2009, we entered into an initial ten-year transponder service agreement with DISH Network, pursuant to which DISH</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has received satellite services from us on the EchoStar XVI satellite since January 2013. Effective December 2012, we and DISH Network amended the transponder service agreement to, among other things, change the initial term to generally expire upon the earlier of: (i) the end-of-life or replacement of the satellite; (ii) the date the satellite fails; (iii) the date the transponder(s) on which service is being provided under the agreement fails; or (iv) four years following the actual service commencement date. In July 2016, we and DISH Network further amended the transponder service agreement to, among other things, extend the initial term by one additional year and to reduce the term of the first renewal option by one year. Prior to expiration of the initial term, we, upon certain conditions, and DISH Network have the option to renew for an additional five-year period. If either we or DISH Network exercise our respective five-year renewal options, DISH Network has the option to renew for an additional five-year period prior to expiration of the then-current term. There can be no assurance that any option to renew this agreement will be exercised. In the event that we or DISH Network does not exercise the first five-year renewal option or DISH Network does not exercise the second five-year renewal option, DISH Network has the option to purchase the EchoStar XVI satellite for a certain price. If DISH Network does not elect to purchase the EchoStar XVI satellite at that time, we may sell the EchoStar XVI satellite to a third party and DISH Network is required to pay us a certain amount in the event we are not able to sell the EchoStar XVI satellite for more than a certain amount.</w:t>
      </w:r>
    </w:p>
    <w:p>
      <w:pPr>
        <w:spacing w:after="0" w:line="188" w:lineRule="exact"/>
        <w:rPr>
          <w:sz w:val="20"/>
          <w:szCs w:val="20"/>
          <w:color w:val="auto"/>
        </w:rPr>
      </w:pPr>
    </w:p>
    <w:p>
      <w:pPr>
        <w:ind w:left="340" w:right="120"/>
        <w:spacing w:after="0" w:line="302" w:lineRule="auto"/>
        <w:rPr>
          <w:sz w:val="20"/>
          <w:szCs w:val="20"/>
          <w:color w:val="auto"/>
        </w:rPr>
      </w:pPr>
      <w:r>
        <w:rPr>
          <w:rFonts w:ascii="Arial" w:cs="Arial" w:eastAsia="Arial" w:hAnsi="Arial"/>
          <w:sz w:val="16"/>
          <w:szCs w:val="16"/>
          <w:b w:val="1"/>
          <w:bCs w:val="1"/>
          <w:i w:val="1"/>
          <w:iCs w:val="1"/>
          <w:color w:val="auto"/>
        </w:rPr>
        <w:t xml:space="preserve">Nimiq 5 Agreement. </w:t>
      </w:r>
      <w:r>
        <w:rPr>
          <w:rFonts w:ascii="Arial" w:cs="Arial" w:eastAsia="Arial" w:hAnsi="Arial"/>
          <w:sz w:val="16"/>
          <w:szCs w:val="16"/>
          <w:color w:val="auto"/>
        </w:rPr>
        <w:t>In September 2009, we entered into a fifteen-year satellite service agreement with Telesat Canada (“Telesat”) to receive service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32 DBS transponders on the Nimiq 5 satellite at the 72.7 degree west longitude orbital location (the “Telesat Transponder Agreement”). In September 2009, we also entered into a satellite service agreement (the “DISH Nimiq 5 Agreement”) with DISH Network, pursuant to which DISH Network receives satellite services from us on all 32 of the DBS transponders covered by the Telesat Transponder Agreement.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380"/>
          </w:cols>
          <w:pgMar w:left="240" w:top="125" w:right="2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340" w:right="80"/>
        <w:spacing w:after="0" w:line="272" w:lineRule="auto"/>
        <w:rPr>
          <w:sz w:val="20"/>
          <w:szCs w:val="20"/>
          <w:color w:val="auto"/>
        </w:rPr>
      </w:pPr>
      <w:r>
        <w:rPr>
          <w:rFonts w:ascii="Arial" w:cs="Arial" w:eastAsia="Arial" w:hAnsi="Arial"/>
          <w:sz w:val="17"/>
          <w:szCs w:val="17"/>
          <w:color w:val="auto"/>
        </w:rPr>
        <w:t>Under the terms of the DISH Nimiq 5 Agreement, DISH Network makes certain monthly payments to us that commenced in September 2009, when the Nimiq 5 satellite was placed into service, and continue through the service term. Unless earlier terminated under the terms and conditions of the DISH Nimiq 5 Agreement, the service term will expire ten years following the date the Nimiq 5 satellite was placed into service. Upon expiration of the initial term, DISH Network has the option to renew the DISH Nimiq 5 Agreement on a year-to-year basis through the end of life of the Nimiq 5 satellite. Upon in-orbit failure or end of life of the Nimiq 5 satellite, and in certain other circumstances, DISH Network has certain rights to receive service from us on a replacement satellite. There can be no assurance that any options to renew the DISH Nimiq 5 Agreement will be exercised or that DISH Network will exercise its option to receive service on a replacement satellite.</w:t>
      </w:r>
    </w:p>
    <w:p>
      <w:pPr>
        <w:spacing w:after="0" w:line="178" w:lineRule="exact"/>
        <w:rPr>
          <w:sz w:val="20"/>
          <w:szCs w:val="20"/>
          <w:color w:val="auto"/>
        </w:rPr>
      </w:pPr>
    </w:p>
    <w:p>
      <w:pPr>
        <w:ind w:left="340" w:right="40"/>
        <w:spacing w:after="0" w:line="291" w:lineRule="auto"/>
        <w:rPr>
          <w:sz w:val="20"/>
          <w:szCs w:val="20"/>
          <w:color w:val="auto"/>
        </w:rPr>
      </w:pPr>
      <w:r>
        <w:rPr>
          <w:rFonts w:ascii="Arial" w:cs="Arial" w:eastAsia="Arial" w:hAnsi="Arial"/>
          <w:sz w:val="16"/>
          <w:szCs w:val="16"/>
          <w:b w:val="1"/>
          <w:bCs w:val="1"/>
          <w:i w:val="1"/>
          <w:iCs w:val="1"/>
          <w:color w:val="auto"/>
        </w:rPr>
        <w:t xml:space="preserve">QuetzSat-1 Agreement. </w:t>
      </w:r>
      <w:r>
        <w:rPr>
          <w:rFonts w:ascii="Arial" w:cs="Arial" w:eastAsia="Arial" w:hAnsi="Arial"/>
          <w:sz w:val="16"/>
          <w:szCs w:val="16"/>
          <w:color w:val="auto"/>
        </w:rPr>
        <w:t>In November 2008, we entered into a ten-year satellite service agreement with SES Latin America, which provides, among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things, for the provision by SES Latin America to us of service on 32 DBS transponders on the QuetzSat-1 satellite. Concurrently, in 2008, we entered into a transponder service agreement with DISH Network, pursuant to which DISH Network receives satellite services on 24 of the DBS transponders on the QuetzSat-1 satellite. The QuetzSat-1 satellite was launched in September 2011 and was placed into service in November 2011 at the 67.1 degree west longitude orbital location. In February 2013, EchoStar and DISH Network entered into an agreement pursuant to which we receive certain satellite services from DISH Network on five DBS transponders on the QuetzSat-1 satellite. In January 2013, the QuetzSat-1 satellite was moved to the 77 degree west longitude orbital location and DISH Network commenced commercial operations at such location in February 2013.</w:t>
      </w:r>
    </w:p>
    <w:p>
      <w:pPr>
        <w:spacing w:after="0" w:line="167"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Under the terms of our contractual arrangements with DISH Network, we began to provide service to DISH Network on the QuetzSat-1 satellite in February 2013 and will continue to provide service through the remainder of the service term. Unless extended or earlier terminated under the terms and conditions of our agreement with DISH Network for the QuetzSat-1 satellite, the initial service term will expire in November 2021. Upon expiration of the initial service term, DISH Network has the option to renew the agreement for the QuetzSat-1 satellite on a year-to-year basis through the end of life of the QuetzSat-1 satellite. Upon an in-orbit failure or end of life of the QuetzSat-1 satellite, and in certain other circumstances, DISH Network has certain rights to receive service from us on a replacement satellite. There can be no assurance that any options to renew this agreement will be exercised or that DISH Network will exercise its option to receive service on a replacement satellite.</w:t>
      </w:r>
    </w:p>
    <w:p>
      <w:pPr>
        <w:spacing w:after="0" w:line="178" w:lineRule="exact"/>
        <w:rPr>
          <w:sz w:val="20"/>
          <w:szCs w:val="20"/>
          <w:color w:val="auto"/>
        </w:rPr>
      </w:pPr>
    </w:p>
    <w:p>
      <w:pPr>
        <w:ind w:left="340" w:right="180"/>
        <w:spacing w:after="0" w:line="297" w:lineRule="auto"/>
        <w:rPr>
          <w:sz w:val="20"/>
          <w:szCs w:val="20"/>
          <w:color w:val="auto"/>
        </w:rPr>
      </w:pPr>
      <w:r>
        <w:rPr>
          <w:rFonts w:ascii="Arial" w:cs="Arial" w:eastAsia="Arial" w:hAnsi="Arial"/>
          <w:sz w:val="16"/>
          <w:szCs w:val="16"/>
          <w:b w:val="1"/>
          <w:bCs w:val="1"/>
          <w:i w:val="1"/>
          <w:iCs w:val="1"/>
          <w:color w:val="auto"/>
        </w:rPr>
        <w:t xml:space="preserve">103 Degree Orbital Location/SES-3. </w:t>
      </w:r>
      <w:r>
        <w:rPr>
          <w:rFonts w:ascii="Arial" w:cs="Arial" w:eastAsia="Arial" w:hAnsi="Arial"/>
          <w:sz w:val="16"/>
          <w:szCs w:val="16"/>
          <w:color w:val="auto"/>
        </w:rPr>
        <w:t>In May 2012, we entered into a spectrum development agreement (the “103 Spectrum Development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Ciel Satellite Holdings Inc. (“Ciel”) to develop certain spectrum rights at the 103 degree west longitude orbital location (the “103 Spectrum Rights”). In June 2013, we and DISH Network entered into a spectrum development agreement (the “DISH 103 Spectrum Development Agreement”) pursuant to which DISH Network may use and develop the 103 Spectrum Rights. Unless earlier terminated under the terms and conditions of the DISH 103 Spectrum Development Agreement, the term generally will continue for the duration of the 103 Spectrum Rights.</w:t>
      </w:r>
    </w:p>
    <w:p>
      <w:pPr>
        <w:spacing w:after="0" w:line="158" w:lineRule="exact"/>
        <w:rPr>
          <w:sz w:val="20"/>
          <w:szCs w:val="20"/>
          <w:color w:val="auto"/>
        </w:rPr>
      </w:pPr>
    </w:p>
    <w:p>
      <w:pPr>
        <w:ind w:left="340" w:right="100"/>
        <w:spacing w:after="0" w:line="290" w:lineRule="auto"/>
        <w:rPr>
          <w:sz w:val="20"/>
          <w:szCs w:val="20"/>
          <w:color w:val="auto"/>
        </w:rPr>
      </w:pPr>
      <w:r>
        <w:rPr>
          <w:rFonts w:ascii="Arial" w:cs="Arial" w:eastAsia="Arial" w:hAnsi="Arial"/>
          <w:sz w:val="16"/>
          <w:szCs w:val="16"/>
          <w:color w:val="auto"/>
        </w:rPr>
        <w:t>In connection with the 103 Spectrum Development Agreement, in May 2012, we also entered into a ten-year service agreement with Ciel pursuant to which we receive certain satellite services from Ciel on the SES-3 satellite at the 103 degree orbital location. In June 2013, we and DISH Network entered into an agreement pursuant to which DISH Network receives certain satellite services from us on the SES-3 satellite (the “DISH 103 Service Agreement”). Under the terms of the DISH 103 Service Agreement, DISH Network makes certain monthly payments to us through the service term. Unless earlier terminated under the terms and conditions of the DISH 103 Service Agreement, the initial service term will expire on the earlier of: (i) the date the SES-3 satellite fails; (ii) the date the transponder(s) on which service was being provided under the agreement fails; or (iii) June 2023. Upon in-orbit failure or end of life of the SES-3 satellite, and in certain other circumstances, DISH Network has certain rights to receive service from us on a replacement satellite. There can be no assurance that DISH Network will exercise its option to receive service on a replacement satellite.</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 xml:space="preserve">Satellite and Tracking Stock Transaction. </w:t>
      </w:r>
      <w:r>
        <w:rPr>
          <w:rFonts w:ascii="Arial" w:cs="Arial" w:eastAsia="Arial" w:hAnsi="Arial"/>
          <w:sz w:val="18"/>
          <w:szCs w:val="18"/>
          <w:color w:val="auto"/>
        </w:rPr>
        <w:t>In February 2014, we entered into agreements with DISH Network to implement a transaction pursuant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among other things: (i) in March 2014, EchoStar and HSS issued shares of the Tracking Stock to DISH Network in exchange for five satellites owned by DISH Network (EchoStar I, EchoStar VII, EchoStar X, EchoStar XI and EchoStar XIV) (including assumption of related in-orbit incentive obligations) and approximately $11.4 million in cash; and (ii) in March 2014, DISH Network began receiving certain satellite services on these five satellites from us. See Note 3 for further information.</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TT&amp;C Agreement. </w:t>
      </w:r>
      <w:r>
        <w:rPr>
          <w:rFonts w:ascii="Arial" w:cs="Arial" w:eastAsia="Arial" w:hAnsi="Arial"/>
          <w:sz w:val="18"/>
          <w:szCs w:val="18"/>
          <w:color w:val="auto"/>
        </w:rPr>
        <w:t>one year through December 2017. The 2012 TT&amp;C Agreement replaced the TT&amp;C agreement we entered into with DISH Network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the Spin-off. The fees for services provided under the 2012 TT&amp;C Agreement are calEffective January 2012, we entered into a telemetry, tracking and control (“TT&amp;C”) agreement pursuant to which we provide TT&amp;C services to DISH Network for a period ending in December 2016 (the “2012 TT&amp;C Agreement”). In November 2016, we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culated at either: (i) a fixed fee or (ii) cost plus a fixed margin, which will vary depending on the nature of the services provided. DISH Network is able to terminate the 2012 TT&amp;C Agreement for any reason upon 60 days’ notice. and DISH Network amended the 2012 TT&amp;C Agreement to extend the term for one year through December 2017. The 2012 TT&amp;C Agreement replaced the TT&amp;C agreement we entered into with DISH Network in connection with the Spin-off. The fees for services provided under the 2012 TT&amp;C Agreement are calculated at either: (i) a fixed fee or (ii) cost plus a fixed margin, which will vary depending on the nature of the services provided. DISH Network is able to terminate the 2012 TT&amp;C Agreement for any reason upon 60 days’ notice.</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connection with the Satellite and Tracking Stock Transaction, in February 2014, we amended the TT&amp;C Agreement to cease the provision of TT&amp;C services to DISH Network for the EchoStar I, EchoStar VII, EchoStar X, EchoStar XI and EchoStar XIV satellites. Effective March 2014, we provide TT&amp;C services for the D-1 and EchoStar XV satellites; however, for the period that we received satellite services on the EchoStar XV satellite from DISH Network, we waived the fees for the TT&amp;C services on the EchoStar XV satellite. Effective August 2016, we provide TT&amp;C services to DISH Network for the EchoStar XVIII satellite.</w:t>
      </w:r>
    </w:p>
    <w:p>
      <w:pPr>
        <w:spacing w:after="0" w:line="18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i w:val="1"/>
          <w:iCs w:val="1"/>
          <w:color w:val="auto"/>
        </w:rPr>
        <w:t xml:space="preserve">TerreStar Agreement. </w:t>
      </w:r>
      <w:r>
        <w:rPr>
          <w:rFonts w:ascii="Arial" w:cs="Arial" w:eastAsia="Arial" w:hAnsi="Arial"/>
          <w:sz w:val="16"/>
          <w:szCs w:val="16"/>
          <w:color w:val="auto"/>
        </w:rPr>
        <w:t>In March 2012, DISH Network completed its acquisition of substantially all the assets of TerreStar Networks Inc. (“TerreStar”). Prior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DISH Network’s acquisition of substantially all the assets of TerreStar and our completion of the Hughes Acquisition, TerreStar and HNS entered into various agreements pursuant to which our Hughes segment provides, among other things, warranty, operations and maintenance and hosting services for TerreStar’s ground-based communications equipment. TerreStar generally has the right to continue to receive warranty services from us for one of our products on a month-to-month basis. The provision of warranty services for our other product will continue until March 2018 and will automatically renew in March 2018 for an additional one-year period, unless terminated by TerreStar upon at least 60 days’ written notice to us prior to the end of the term. The provision of operations and maintenance services will continue until April 2018 and will automatically renew in April 2018 for an additional one-year period, unless terminated by TerreStar or us upon at least 90 days’ written notice prior to the end of the term. The provision of hosting services will continue until May 2022 and will not renew beyond May 2022 unless the parties enter into a new agreement or amend the existing agreement. In addition, TerreStar generally may terminate such services for convenience subject to providing us with prior notice and/or payment of termination charges.</w:t>
      </w:r>
    </w:p>
    <w:p>
      <w:pPr>
        <w:spacing w:after="0" w:line="16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i w:val="1"/>
          <w:iCs w:val="1"/>
          <w:color w:val="auto"/>
        </w:rPr>
        <w:t xml:space="preserve">Hughes Broadband Distribution Agreement. </w:t>
      </w:r>
      <w:r>
        <w:rPr>
          <w:rFonts w:ascii="Arial" w:cs="Arial" w:eastAsia="Arial" w:hAnsi="Arial"/>
          <w:sz w:val="17"/>
          <w:szCs w:val="17"/>
          <w:color w:val="auto"/>
        </w:rPr>
        <w:t>Effective October 2012, HNS and dishNET Satellite Broadband L.L.C. (“dishNET”), a wholly-owned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DISH Network, entered into a distribution agreement (the “Distribution Agreement”) pursuant to which dishNET has the right, but not the obligation, to market, sell and distribute the Hughes satellite internet service (the “Hughes service”). dishNET pays HNS a monthly per subscriber wholesale service fee for the Hughes service based upon a subscriber’s service level and based upon certain volume subscription thresholds. The Distribution Agreement also provides that dishNET has the right, but not the obligation, to purchase certain broadband equipment from us to support the sale of the Hughes service. The Distribution Agreement had an initial term of five years with automatic renewal for successive one year terms unless terminated by either party with a written notice at least 180 days before the expiration of the then-current term. In February 2014, HNS and dishNET entered into an amendment to the Distribution Agreement which, among other things, extended the initial term of the Distribution Agreement until March 2024. Upon expiration or termination of the Distribution Agreement, the parties will continue to provide the Hughes service to the then-current dishNET subscribers pursuant to the terms and conditions of the Distribution Agreement.</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DBSD North America Agreement. </w:t>
      </w:r>
      <w:r>
        <w:rPr>
          <w:rFonts w:ascii="Arial" w:cs="Arial" w:eastAsia="Arial" w:hAnsi="Arial"/>
          <w:sz w:val="17"/>
          <w:szCs w:val="17"/>
          <w:color w:val="auto"/>
        </w:rPr>
        <w:t>In March 2012, DISH Network completed its acquisition of 100% of the equity of reorganized DBSD North America,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(“DBSD North America”). Prior to DISH Network’s acquisition of DBSD North America and our completion of the Hughes Acquisition, DBSD North America and HNS entered into various agreements pursuant to which our Hughes segment provides, among other things, warranty, operations and maintenance and hosting services of DBSD North America’s gateway and ground-based communications equipment. DBSD North America generally has the right to continue to receive warranty services from us on a month-to-month basis until February 2019. The provision of operations and maintenance services will continue until April 2018 and will automatically renew in April 2018 for an additional one-year period, unless terminated by DBSD North America upon at least 120 days’ written notice to us prior to the end of the term. The provision of hosting services will continue until February 2022 and will automatically renew for an additional five-year period until February 2027 unless terminated by DBSD North America upon at least 180 days’ written notice to us prior to the end of the term. In addition, DBSD North America generally may terminate such services for convenience, subject to providing us with prior notice and/or payment of termination charges.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RUS Implementation Agreement</w:t>
      </w:r>
      <w:r>
        <w:rPr>
          <w:rFonts w:ascii="Arial" w:cs="Arial" w:eastAsia="Arial" w:hAnsi="Arial"/>
          <w:sz w:val="18"/>
          <w:szCs w:val="18"/>
          <w:color w:val="auto"/>
        </w:rPr>
        <w:t>. In September 2010, DISH Broadband L.L.C. (“DISH Broadband”), DISH Network’s indirect, wholly-owned subsidiary,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selected by the Rural Utilities Service (“RUS”) of the United States Department of Agriculture to receive up to approximately $14.1 million in broadband stimulus grant funds (the “Grant Funds”). Effective November 2011, HNS and DISH Broadband entered into a RUS Implementation Agreement (the “RUS Agreement”) pursuant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to which HNS provided certain portions of the equipment and broadband service used to implement DISH Broadband’s RUS program. While the RUS Agreement expired in June 2013 when the Grant Funds were exhausted, HNS is required to continue providing services to DISH Broadband’s customers activated prior to the expiration of the RUS Agreement in accordance with the terms and conditions of the RUS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 — DISH Network</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Professional Services Agreement. </w:t>
      </w:r>
      <w:r>
        <w:rPr>
          <w:rFonts w:ascii="Arial" w:cs="Arial" w:eastAsia="Arial" w:hAnsi="Arial"/>
          <w:sz w:val="16"/>
          <w:szCs w:val="16"/>
          <w:color w:val="auto"/>
        </w:rPr>
        <w:t>In connection with the Spin-off, EchoStar entered into various agreements with DISH Network including the Transition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Agreement, Satellite Procurement Agreement and Services Agreement, which all expired in January 2010 and were replaced by a Professional Services Agreement. In January 2010, EchoStar and DISH Network agreed that EchoStar shall continue to have the right, but not the obligation, to receive the following services from DISH Network, among others, certain of which were previously provided under the Transition Services Agreement: information technology, travel and event coordination, internal audit, legal, accounting and tax, benefits administration, program acquisition services and other support services. Additionally, EchoStar and DISH Network agreed that DISH Network would continue to have the right, but not the obligation, to engage us to manage the process of procuring new satellite capacity for DISH Network (previously provided under the Satellite Procurement Agreement), receive logistics, procurement and quality assurance services from EchoStar (previously provided under the Services Agreement) and other support services. A portion of these costs and expenses have been allocated to us in the manner described above under the caption “EchoStar.” The Professional Services Agreement automatically renewed in January 2017 for an additional one-year period until January 2018 and renews automatically for successive one-year periods thereafter, unless terminated earlier by either party upon at least 60 days’ notice. However, either party may terminate the Professional Services Agreement in part with respect to any particular service it receives for any reason upon at least 30 days’ notice.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 — DISH Network</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Share Exchange Agreement</w:t>
      </w:r>
      <w:r>
        <w:rPr>
          <w:rFonts w:ascii="Arial" w:cs="Arial" w:eastAsia="Arial" w:hAnsi="Arial"/>
          <w:sz w:val="16"/>
          <w:szCs w:val="16"/>
          <w:color w:val="auto"/>
        </w:rPr>
        <w:t>. On January 31, 2017, EchoStar and certain of its subsidiaries entered into the Share Exchange Agreement with DISH Network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and certain of its subsidiaries which provides, among other things, that EchoStar and its subsidiaries will receive all of the shares of the EchoStar Tracking Stock and HSS Tracking Stock in exchange for 100% of the equity interests of certain EchoStar subsidiaries that will hold the EchoStar Technologies businesses (collectively, the “Share Exchange”). Following consummation of the Share Exchange, the EchoStar Tracking Stock and HSS Tracking Stock will be retired and all agreements, arrangements and policy statements with respect to, and terms of, such tracking stock will terminate and be of no further effect. The Share Exchange has been structured in a manner to be a tax-free exchange for each of EchoStar and DISH Network. We and DISH Network will, at the closing of the Share Exchange, enter into certain customary agreements pursuant to which we will obtain certain products, services and rights from DISH Network and DISH Network will obtain certain products, services and rights from us. See Note 18 for further information.</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 xml:space="preserve">Tax Sharing Agreement. </w:t>
      </w:r>
      <w:r>
        <w:rPr>
          <w:rFonts w:ascii="Arial" w:cs="Arial" w:eastAsia="Arial" w:hAnsi="Arial"/>
          <w:sz w:val="17"/>
          <w:szCs w:val="17"/>
          <w:color w:val="auto"/>
        </w:rPr>
        <w:t>As a subsidiary of EchoStar, we are an indirect party to EchoStar’s tax sharing agreement with DISH Network that was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connection with the Spin-off. This agreement governs EchoStar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will indemnify EchoStar for such taxes. However, DISH Network is not liable for and will not indemnify EchoStar for any taxes that are incurred as a result of the Spin-off or certain related transactions failing to qualify as tax-free distributions pursuant to any provision of Section 355 or Section 361 of the Internal Revenue Code of 1986, as amended, because of: (i) a direct or indirect acquisition of any of EchoStar’s stock, stock options or assets; (ii) any action that EchoStar takes or fails to take; or (iii) any action that EchoStar takes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EchoStar will be solely liable for, and will indemnify DISH Network for, any resulting taxes, as well as any losses, claims and expenses. The tax sharing agreement will only terminate after the later of the full period of all applicable statutes of limitations, including extensions, or once all rights and obligations are fully effectuated or performed.</w:t>
      </w:r>
    </w:p>
    <w:p>
      <w:pPr>
        <w:spacing w:after="0" w:line="180"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In light of the tax sharing agreement, among other things, and in connection with EchoStar’s consolidated federal income tax returns for certain tax years prior to and for the year of the Spin-off, in September 2013, EchoStar and DISH Network agreed upon a supplemental allocation of the tax benefits arising from certain tax items resolved in the course of the IRS’s examination of EchoStar’s consolidated tax returns. As a result, DISH Network agreed to pay EchoStar an aggregate amount of $93.1 million that includes the federal tax benefit they received as a result of our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i w:val="1"/>
          <w:iCs w:val="1"/>
          <w:color w:val="auto"/>
        </w:rPr>
        <w:t xml:space="preserve">Caltech. </w:t>
      </w:r>
      <w:r>
        <w:rPr>
          <w:rFonts w:ascii="Arial" w:cs="Arial" w:eastAsia="Arial" w:hAnsi="Arial"/>
          <w:sz w:val="16"/>
          <w:szCs w:val="16"/>
          <w:color w:val="auto"/>
        </w:rPr>
        <w:t>two of our subsidiaries, Hughes Communications, Inc. and HNS, as well as against DISH Network, DISH Network L.L.C., and dishNET Satellite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Broadband L.L.C., in the United States District Court for the Central District of California alleging infringement of United States Patent Nos. 7,116,710; 7,421,032; 7,916,781; and 8,284,833, each of which is entitled “Serial Concatenation of Interleaved Convolutional Codes forming Turbo-Like Codes.” Caltech asserted that encoding data as specified by the DVB-S2 standard infringes each of the asserted patents. Caltech claimed that certain of our Hughes segment’s satellite broadband products and services, infringe the asserted patents by implementing the DVB-S2 standard. Pursuant to a settlement agreement among us, DISH Network and Caltech, in May 2016, Caltech dismissed with prejudice all of its claims in these actions. See Note 13 of these consolidated financial statements for further information. On October 1, 2013, Caltech filed complaints against two of our subsidiaries, Hughes Communications, Inc. and HNS, as well as against DISH Network, DISH Network L.L.C., and dishNET Satellite Broadband L.L.C., in the United States District Court for the Central District of California alleging infringement of United States Patent Nos. 7,116,710; 7,421,032; 7,916,781; and 8,284,833, each of which is entitled “Serial Concatenation of Interleaved Convolutional Codes forming Turbo-Like Codes.” Caltech asserted that encoding data as specified by the DVB-S2 standard infringes each of the asserted patents. Caltech claimed that certain of our Hughes segment’s satellite broadband products and services, infringe the asserted patents by implementing the DVB-S2 standard. Pursuant to a settlement agreement among us, DISH Network and Caltech, in May 2016, Caltech dismissed with prejudice all of its claims in these actions. See Note 13 of these consolidated financial statements for further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Systique Corporation (“Hughes Systique”)</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contract with Hughes Systique for software development services. In 2008, Hughes Communications loaned $1.5 million to Hughes Systique pursuant to a term loan facility. The initial interest rate on the loans was 6%, payable annually, and the accrued and unpaid interest was added to the principal amount in certain circumstances. The loans were convertible into shares of Hughes Systique upon non-payment or an event of default. In May 2014, we amended the term loan facility to increase the interest rate from 6% to 8%, payable annually, to reflect then-current market conditions and extend the maturity date of the loans to May 1, 2015, and in April 2015, we extended the maturity date of the loans to May 1, 2016 on the same terms. In 2015, Hughes Systique repaid $1.5 million of the outstanding principal of the loan facility. In February 2016, Hughes Systique repaid $0.3 million of the outstanding principal of the loan facility. In April 2016, Hughes Systique repaid in full the remaining $0.3 million outstanding principal and interest of the loan facility. As of December 31, 2016, the principal amount outstanding of the loan facility was zero. In addition to our 43.9% ownership in Hughes Systique, Mr. Pradman Kaul, the President of Hughes Communications and a member of EchoStar’s board of directors, and his brother, who is the CEO and President of Hughes Systique, in the aggregate, own approximately 25.8%, on an undiluted basis, of Hughes Systique’s outstanding shares as of December 31, 2016.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our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Mexico</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EchoStar owns 49.0% of an entity that provides direct-to-home satellite services in Mexico known as Dish Mexico, and we provide certain satellite services to Dish Mexico. We recognized satellite services revenue from Dish Mexico of approximately $23.3 million for each of the years ended December 31, 2016, 2015 and 2014. As of December 31, 2016 and 2015, we had trade accounts receivable from Dish Mexico of approximately $10.7 million and $10.6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Deluxe/EchoStar LLC</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own 50.0% of Deluxe/EchoStar LLC (“Deluxe”), a joint venture that we entered into in 2010 to build an advanced digital cinema satellite distribution network targeting delivery to digitally equipped theaters in the U.S. and Canada. We account for our investment in Deluxe using the equity method. We recognized revenue from Deluxe for transponder services and the sale of broadband equipment of approximately $3.0 million, $2.7 million and $3.3 million for the years ended December 31, 2016, 2015 and 2014, respectively. As of December 31, 2016 and 2015, we had trade accounts receivable from Deluxe of approximately $0.7 million and $0.1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AsiaSat</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contract with AsiaSat Telecommunications Inc. (“AsiaSat”) for the use of transponder capacity on one of AsiaSat's satellites. We incurred expenses of approximately $1.45 million payable to AsiaSat under this agreement for the year ended December 31, 2016. In 2016, Mr. William David Wade, a member of EchoStar’s board of directors, served as the Chief Executive Officer of AsiaSat and Mr. Wade is currently serving as a senior advisor to the CEO of AsiaSat through March 2017.</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6"/>
          <w:szCs w:val="16"/>
          <w:b w:val="1"/>
          <w:bCs w:val="1"/>
          <w:color w:val="auto"/>
        </w:rPr>
        <w:t>Supplemental Guarantor and Non-Guarantor Financial Information</w:t>
      </w:r>
    </w:p>
    <w:p>
      <w:pPr>
        <w:spacing w:after="0" w:line="229"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Certain of our wholly-owned subsidiaries (together, the “Guarantor Subsidiaries”) have fully and unconditionally guaranteed, on a joint and several basis, the obligations of our 2019 Senior Secured Notes and 2021 Senior Unsecured Notes, which were issued on June 1, 2011, and our 2026 Notes, which were issued on July 27, 2016. See Note 10 for further information on the 2019 Senior Secured Notes, the 2021 Senior Unsecured Notes and the 2026 Notes.</w:t>
      </w:r>
    </w:p>
    <w:p>
      <w:pPr>
        <w:spacing w:after="0" w:line="14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lieu of separate financial statements of the Guarantor Subsidiaries, condensed consolidating financial information prepared in accordance with Rule 3-10(f) of Regulation S-X is presented below, including the condensed balance sheet information, the condensed statement of operations and comprehensive income (loss) information and the condensed statement of cash flows information of HSS, the Guarantor Subsidiaries on a combined basis and the non-guarantor subsidiaries of HSS on a combined basis and the eliminations necessary to arrive at the corresponding information of HSS on a consolidated basis.</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indentures governing the 2019 Senior Secured Notes, the 2021 Senior Unsecured Notes and the 2026 Notes contain restrictive covenants that, among other things, impose limitations on our ability and the ability of certain of our subsidiaries to pay dividends or make distributions, incur additional debt, make certain investments, create liens or enter into sale and leaseback transactions, merge or consolidate with another company, transfer and sell assets, enter into transactions with affiliates or allow to exist certain restrictions on the ability of certain of our subsidiaries to pay dividends, make distributions, make other payments, or transfer assets to us.</w:t>
      </w:r>
    </w:p>
    <w:p>
      <w:pPr>
        <w:spacing w:after="0" w:line="18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condensed consolidating financial information presented below should be read in conjunction with our consolidated financial statements and notes thereto included herein.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125"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as of December 31, 2016</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Guarantor</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Guarantor</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ind w:left="180"/>
              <w:spacing w:after="0"/>
              <w:rPr>
                <w:sz w:val="20"/>
                <w:szCs w:val="20"/>
                <w:color w:val="auto"/>
              </w:rPr>
            </w:pPr>
            <w:r>
              <w:rPr>
                <w:rFonts w:ascii="Arial" w:cs="Arial" w:eastAsia="Arial" w:hAnsi="Arial"/>
                <w:sz w:val="18"/>
                <w:szCs w:val="18"/>
                <w:b w:val="1"/>
                <w:bCs w:val="1"/>
                <w:color w:val="auto"/>
              </w:rPr>
              <w:t>HSS</w:t>
            </w:r>
          </w:p>
        </w:tc>
        <w:tc>
          <w:tcPr>
            <w:tcW w:w="14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1,991,949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53,905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25,110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2,070,964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investment securities,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177,614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187,923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Trade accounts receivable, net</w:t>
            </w:r>
          </w:p>
        </w:tc>
        <w:tc>
          <w:tcPr>
            <w:tcW w:w="240" w:type="dxa"/>
            <w:vAlign w:val="bottom"/>
          </w:tcPr>
          <w:p>
            <w:pPr>
              <w:spacing w:after="0"/>
              <w:rPr>
                <w:sz w:val="21"/>
                <w:szCs w:val="21"/>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138,861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43,651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182,512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 DISH Network, net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19,323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21"/>
                <w:szCs w:val="21"/>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45,623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17,015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62,638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Advances to affiliates, net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999,340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(893,866)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110,452</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19,183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27,083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46,314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2,169,621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1,286,544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(893,866)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2,680,126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Restricted cash and cash equivalents</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11,097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11,820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2,061,831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232,895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2,294,726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Regulatory authorizations</w:t>
            </w:r>
          </w:p>
        </w:tc>
        <w:tc>
          <w:tcPr>
            <w:tcW w:w="240" w:type="dxa"/>
            <w:vAlign w:val="bottom"/>
          </w:tcPr>
          <w:p>
            <w:pPr>
              <w:spacing w:after="0"/>
              <w:rPr>
                <w:sz w:val="21"/>
                <w:szCs w:val="21"/>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471,658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471,658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504,173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21"/>
                <w:szCs w:val="21"/>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80,734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80,734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42,560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Investment in subsidiaries</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3,721,688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314,643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(4,036,331)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Advances to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92,727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142,091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153,646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(92,727)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295,737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5,995,833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4,964,995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505,091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(5,084,385)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6,381,534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 (Deficit)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106,416</w:t>
            </w:r>
          </w:p>
        </w:tc>
        <w:tc>
          <w:tcPr>
            <w:tcW w:w="0" w:type="dxa"/>
            <w:vAlign w:val="bottom"/>
          </w:tcPr>
          <w:p>
            <w:pPr>
              <w:spacing w:after="0"/>
              <w:rPr>
                <w:sz w:val="1"/>
                <w:szCs w:val="1"/>
                <w:color w:val="auto"/>
              </w:rPr>
            </w:pPr>
          </w:p>
        </w:tc>
      </w:tr>
      <w:tr>
        <w:trPr>
          <w:trHeight w:val="229"/>
        </w:trPr>
        <w:tc>
          <w:tcPr>
            <w:tcW w:w="4580" w:type="dxa"/>
            <w:vAlign w:val="bottom"/>
          </w:tcPr>
          <w:p>
            <w:pPr>
              <w:ind w:left="40"/>
              <w:spacing w:after="0"/>
              <w:rPr>
                <w:sz w:val="20"/>
                <w:szCs w:val="20"/>
                <w:color w:val="auto"/>
              </w:rPr>
            </w:pPr>
            <w:r>
              <w:rPr>
                <w:rFonts w:ascii="Arial" w:cs="Arial" w:eastAsia="Arial" w:hAnsi="Arial"/>
                <w:sz w:val="18"/>
                <w:szCs w:val="18"/>
                <w:color w:val="auto"/>
              </w:rPr>
              <w:t>Current portion of long-term debt and capital lease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0"/>
              <w:spacing w:after="0"/>
              <w:rPr>
                <w:sz w:val="20"/>
                <w:szCs w:val="20"/>
                <w:color w:val="auto"/>
              </w:rPr>
            </w:pPr>
            <w:r>
              <w:rPr>
                <w:rFonts w:ascii="Arial" w:cs="Arial" w:eastAsia="Arial" w:hAnsi="Arial"/>
                <w:sz w:val="18"/>
                <w:szCs w:val="18"/>
                <w:color w:val="auto"/>
              </w:rPr>
              <w:t>obligations</w:t>
            </w:r>
          </w:p>
        </w:tc>
        <w:tc>
          <w:tcPr>
            <w:tcW w:w="240" w:type="dxa"/>
            <w:vAlign w:val="bottom"/>
          </w:tcPr>
          <w:p>
            <w:pPr>
              <w:spacing w:after="0"/>
              <w:rPr>
                <w:sz w:val="20"/>
                <w:szCs w:val="20"/>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32,177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32,984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Advances from affiliates, net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850,807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(893,866)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Accrued expenses and other</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44,654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136,921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38,738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220,313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895,461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(893,866)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360,311</w:t>
            </w:r>
          </w:p>
        </w:tc>
        <w:tc>
          <w:tcPr>
            <w:tcW w:w="0" w:type="dxa"/>
            <w:vAlign w:val="bottom"/>
          </w:tcPr>
          <w:p>
            <w:pPr>
              <w:spacing w:after="0"/>
              <w:rPr>
                <w:sz w:val="1"/>
                <w:szCs w:val="1"/>
                <w:color w:val="auto"/>
              </w:rPr>
            </w:pPr>
          </w:p>
        </w:tc>
      </w:tr>
      <w:tr>
        <w:trPr>
          <w:trHeight w:val="229"/>
        </w:trPr>
        <w:tc>
          <w:tcPr>
            <w:tcW w:w="4580" w:type="dxa"/>
            <w:vAlign w:val="bottom"/>
          </w:tcPr>
          <w:p>
            <w:pPr>
              <w:ind w:left="40"/>
              <w:spacing w:after="0"/>
              <w:rPr>
                <w:sz w:val="20"/>
                <w:szCs w:val="20"/>
                <w:color w:val="auto"/>
              </w:rPr>
            </w:pPr>
            <w:r>
              <w:rPr>
                <w:rFonts w:ascii="Arial" w:cs="Arial" w:eastAsia="Arial" w:hAnsi="Arial"/>
                <w:sz w:val="18"/>
                <w:szCs w:val="18"/>
                <w:color w:val="auto"/>
              </w:rPr>
              <w:t>Long-term debt and capital lease obligations, net of</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3,358,179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262,883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3,622,463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net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621,061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528,462</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Advances from affiliates</w:t>
            </w:r>
          </w:p>
        </w:tc>
        <w:tc>
          <w:tcPr>
            <w:tcW w:w="240" w:type="dxa"/>
            <w:vAlign w:val="bottom"/>
          </w:tcPr>
          <w:p>
            <w:pPr>
              <w:spacing w:after="0"/>
              <w:rPr>
                <w:sz w:val="21"/>
                <w:szCs w:val="21"/>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93,429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(61,461)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31,968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83,307</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Total HSS shareholders’ equity (deficit)</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1,742,193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3,725,098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311,233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(4,036,331)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1,742,193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12,830</w:t>
            </w:r>
          </w:p>
        </w:tc>
        <w:tc>
          <w:tcPr>
            <w:tcW w:w="0" w:type="dxa"/>
            <w:vAlign w:val="bottom"/>
          </w:tcPr>
          <w:p>
            <w:pPr>
              <w:spacing w:after="0"/>
              <w:rPr>
                <w:sz w:val="1"/>
                <w:szCs w:val="1"/>
                <w:color w:val="auto"/>
              </w:rPr>
            </w:pPr>
          </w:p>
        </w:tc>
      </w:tr>
      <w:tr>
        <w:trPr>
          <w:trHeight w:val="237"/>
        </w:trPr>
        <w:tc>
          <w:tcPr>
            <w:tcW w:w="4580" w:type="dxa"/>
            <w:vAlign w:val="bottom"/>
          </w:tcPr>
          <w:p>
            <w:pPr>
              <w:ind w:left="380"/>
              <w:spacing w:after="0"/>
              <w:rPr>
                <w:sz w:val="20"/>
                <w:szCs w:val="20"/>
                <w:color w:val="auto"/>
              </w:rPr>
            </w:pPr>
            <w:r>
              <w:rPr>
                <w:rFonts w:ascii="Arial" w:cs="Arial" w:eastAsia="Arial" w:hAnsi="Arial"/>
                <w:sz w:val="18"/>
                <w:szCs w:val="18"/>
                <w:color w:val="auto"/>
              </w:rPr>
              <w:t>Total liabilities and shareholders’ equity (deficit)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5,995,833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4,964,995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505,091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(5,084,385)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6,381,534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3"/>
          </w:tcPr>
          <w:p>
            <w:pPr>
              <w:ind w:left="720"/>
              <w:spacing w:after="0"/>
              <w:rPr>
                <w:sz w:val="20"/>
                <w:szCs w:val="20"/>
                <w:color w:val="auto"/>
              </w:rPr>
            </w:pPr>
            <w:r>
              <w:rPr>
                <w:rFonts w:ascii="Arial" w:cs="Arial" w:eastAsia="Arial" w:hAnsi="Arial"/>
                <w:sz w:val="18"/>
                <w:szCs w:val="18"/>
                <w:color w:val="auto"/>
                <w:w w:val="86"/>
              </w:rPr>
              <w:t>F-47</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as of December 31, 2015</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Guarantor</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Guarantor</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HSS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300,634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55,767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26,589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382,990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investment securities,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238,249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253,343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Trade accounts receivable, net</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101,923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37,587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139,510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 DISH Network,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21,258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39,948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48,797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Advances to affiliates, net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(766,208)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47,387</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24,565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26,890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51,495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538,933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1,065,896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(766,208)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944,780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Restricted cash and cash equivalents</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11,985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20,140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2,181,495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2,265,402</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Regulatory authorizations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471,658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471,658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504,173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115,420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115,420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41,481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Investment in subsidiaries</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3,350,914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166,739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(3,517,653)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Advances to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254,486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135,970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72,255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(254,486)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208,225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4,157,018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4,691,010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262,976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(4,539,725)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4,571,279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 (Deficit)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97,667</w:t>
            </w:r>
          </w:p>
        </w:tc>
        <w:tc>
          <w:tcPr>
            <w:tcW w:w="0" w:type="dxa"/>
            <w:vAlign w:val="bottom"/>
          </w:tcPr>
          <w:p>
            <w:pPr>
              <w:spacing w:after="0"/>
              <w:rPr>
                <w:sz w:val="1"/>
                <w:szCs w:val="1"/>
                <w:color w:val="auto"/>
              </w:rPr>
            </w:pPr>
          </w:p>
        </w:tc>
      </w:tr>
      <w:tr>
        <w:trPr>
          <w:trHeight w:val="229"/>
        </w:trPr>
        <w:tc>
          <w:tcPr>
            <w:tcW w:w="4580" w:type="dxa"/>
            <w:vAlign w:val="bottom"/>
          </w:tcPr>
          <w:p>
            <w:pPr>
              <w:ind w:left="40"/>
              <w:spacing w:after="0"/>
              <w:rPr>
                <w:sz w:val="20"/>
                <w:szCs w:val="20"/>
                <w:color w:val="auto"/>
              </w:rPr>
            </w:pPr>
            <w:r>
              <w:rPr>
                <w:rFonts w:ascii="Arial" w:cs="Arial" w:eastAsia="Arial" w:hAnsi="Arial"/>
                <w:sz w:val="18"/>
                <w:szCs w:val="18"/>
                <w:color w:val="auto"/>
              </w:rPr>
              <w:t>Current portion of long-term debt and capital lease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0"/>
              <w:spacing w:after="0"/>
              <w:rPr>
                <w:sz w:val="20"/>
                <w:szCs w:val="20"/>
                <w:color w:val="auto"/>
              </w:rPr>
            </w:pPr>
            <w:r>
              <w:rPr>
                <w:rFonts w:ascii="Arial" w:cs="Arial" w:eastAsia="Arial" w:hAnsi="Arial"/>
                <w:sz w:val="18"/>
                <w:szCs w:val="18"/>
                <w:color w:val="auto"/>
              </w:rPr>
              <w:t>obligations</w:t>
            </w:r>
          </w:p>
        </w:tc>
        <w:tc>
          <w:tcPr>
            <w:tcW w:w="2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28,829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30,284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Advances from affiliates, net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739,810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(766,207)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Accrued expenses and other</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28,154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130,532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22,550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181,236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767,964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251,164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(766,207)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312,960</w:t>
            </w:r>
          </w:p>
        </w:tc>
        <w:tc>
          <w:tcPr>
            <w:tcW w:w="0" w:type="dxa"/>
            <w:vAlign w:val="bottom"/>
          </w:tcPr>
          <w:p>
            <w:pPr>
              <w:spacing w:after="0"/>
              <w:rPr>
                <w:sz w:val="1"/>
                <w:szCs w:val="1"/>
                <w:color w:val="auto"/>
              </w:rPr>
            </w:pPr>
          </w:p>
        </w:tc>
      </w:tr>
      <w:tr>
        <w:trPr>
          <w:trHeight w:val="229"/>
        </w:trPr>
        <w:tc>
          <w:tcPr>
            <w:tcW w:w="4580" w:type="dxa"/>
            <w:vAlign w:val="bottom"/>
          </w:tcPr>
          <w:p>
            <w:pPr>
              <w:ind w:left="40"/>
              <w:spacing w:after="0"/>
              <w:rPr>
                <w:sz w:val="20"/>
                <w:szCs w:val="20"/>
                <w:color w:val="auto"/>
              </w:rPr>
            </w:pPr>
            <w:r>
              <w:rPr>
                <w:rFonts w:ascii="Arial" w:cs="Arial" w:eastAsia="Arial" w:hAnsi="Arial"/>
                <w:sz w:val="18"/>
                <w:szCs w:val="18"/>
                <w:color w:val="auto"/>
              </w:rPr>
              <w:t>Long-term debt and capital lease obligations, net of</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1,858,724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295,060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2,154,988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706,837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452,350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Advances from affiliates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26,661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25,283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84,058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Total HSS shareholders’ equity (deficit)</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1,530,330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3,353,943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163,710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(3,517,653)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1,530,330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11,310</w:t>
            </w:r>
          </w:p>
        </w:tc>
        <w:tc>
          <w:tcPr>
            <w:tcW w:w="0" w:type="dxa"/>
            <w:vAlign w:val="bottom"/>
          </w:tcPr>
          <w:p>
            <w:pPr>
              <w:spacing w:after="0"/>
              <w:rPr>
                <w:sz w:val="1"/>
                <w:szCs w:val="1"/>
                <w:color w:val="auto"/>
              </w:rPr>
            </w:pPr>
          </w:p>
        </w:tc>
      </w:tr>
      <w:tr>
        <w:trPr>
          <w:trHeight w:val="237"/>
        </w:trPr>
        <w:tc>
          <w:tcPr>
            <w:tcW w:w="4580" w:type="dxa"/>
            <w:vAlign w:val="bottom"/>
          </w:tcPr>
          <w:p>
            <w:pPr>
              <w:ind w:left="380"/>
              <w:spacing w:after="0"/>
              <w:rPr>
                <w:sz w:val="20"/>
                <w:szCs w:val="20"/>
                <w:color w:val="auto"/>
              </w:rPr>
            </w:pPr>
            <w:r>
              <w:rPr>
                <w:rFonts w:ascii="Arial" w:cs="Arial" w:eastAsia="Arial" w:hAnsi="Arial"/>
                <w:sz w:val="18"/>
                <w:szCs w:val="18"/>
                <w:color w:val="auto"/>
              </w:rPr>
              <w:t>Total liabilities and shareholders’ equity (deficit)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4,157,018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4,691,010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262,976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(4,539,725)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4,571,279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125" w:right="239" w:bottom="1440" w:gutter="0" w:footer="0" w:header="0"/>
        </w:sectPr>
      </w:pPr>
    </w:p>
    <w:bookmarkStart w:id="95" w:name="page96"/>
    <w:bookmarkEnd w:id="95"/>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and Comprehensive Income (Loss) For the Year Ended December 31, 2016</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4"/>
              </w:rPr>
              <w:t>Guarantor</w:t>
            </w:r>
          </w:p>
        </w:tc>
        <w:tc>
          <w:tcPr>
            <w:tcW w:w="14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Non-Guarantor</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3"/>
          </w:tcPr>
          <w:p>
            <w:pPr>
              <w:ind w:left="60"/>
              <w:spacing w:after="0"/>
              <w:rPr>
                <w:sz w:val="20"/>
                <w:szCs w:val="20"/>
                <w:color w:val="auto"/>
              </w:rPr>
            </w:pPr>
            <w:r>
              <w:rPr>
                <w:rFonts w:ascii="Arial" w:cs="Arial" w:eastAsia="Arial" w:hAnsi="Arial"/>
                <w:sz w:val="18"/>
                <w:szCs w:val="18"/>
                <w:b w:val="1"/>
                <w:bCs w:val="1"/>
                <w:color w:val="auto"/>
              </w:rPr>
              <w:t>HSS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280" w:type="dxa"/>
            <w:vAlign w:val="bottom"/>
          </w:tcPr>
          <w:p>
            <w:pPr>
              <w:spacing w:after="0"/>
              <w:rPr>
                <w:sz w:val="20"/>
                <w:szCs w:val="20"/>
                <w:color w:val="auto"/>
              </w:rPr>
            </w:pPr>
          </w:p>
        </w:tc>
        <w:tc>
          <w:tcPr>
            <w:tcW w:w="980" w:type="dxa"/>
            <w:vAlign w:val="bottom"/>
          </w:tcPr>
          <w:p>
            <w:pPr>
              <w:jc w:val="right"/>
              <w:ind w:right="35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449,547</w:t>
            </w:r>
          </w:p>
        </w:tc>
        <w:tc>
          <w:tcPr>
            <w:tcW w:w="100" w:type="dxa"/>
            <w:vAlign w:val="bottom"/>
          </w:tcPr>
          <w:p>
            <w:pPr>
              <w:spacing w:after="0"/>
              <w:rPr>
                <w:sz w:val="21"/>
                <w:szCs w:val="21"/>
                <w:color w:val="auto"/>
              </w:rPr>
            </w:pPr>
          </w:p>
        </w:tc>
        <w:tc>
          <w:tcPr>
            <w:tcW w:w="260" w:type="dxa"/>
            <w:vAlign w:val="bottom"/>
            <w:gridSpan w:val="2"/>
          </w:tcPr>
          <w:p>
            <w:pPr>
              <w:jc w:val="right"/>
              <w:ind w:right="52"/>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449,547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 and other revenue - other</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992,480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133,508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1,103,127</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Equipment revenue - DISH Network</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8,840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revenue - other</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256,361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238,279</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1,707,228</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158,367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1,799,793</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80"/>
              <w:spacing w:after="0"/>
              <w:rPr>
                <w:sz w:val="20"/>
                <w:szCs w:val="20"/>
                <w:color w:val="auto"/>
              </w:rPr>
            </w:pPr>
            <w:r>
              <w:rPr>
                <w:rFonts w:ascii="Arial" w:cs="Arial" w:eastAsia="Arial" w:hAnsi="Arial"/>
                <w:sz w:val="18"/>
                <w:szCs w:val="18"/>
                <w:color w:val="auto"/>
              </w:rPr>
              <w:t>Costs of sales - services and other (exclusive of</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438,837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101,288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517,957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 - equipment (exclusive of depreciation</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225,787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19,512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(40,546)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204,753</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246,399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37,737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281,048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31,170</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401,688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12,445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414,133</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1,343,881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170,982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1,449,061</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363,347</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350,732</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10,826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12,598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(187,198)</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w w:val="94"/>
              </w:rPr>
              <w:t>Gains (losses) on marketable investment securities, net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6,995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6,995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earnings of unconsolidated affiliate</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9,444</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Equity in earnings (losses) of subsidiaries, net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218,125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(213,219)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61,075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(9,762)</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6,654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(213,219)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(155,252)</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353,585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195,480</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Income tax benefit (provision), net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58,940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(135,081)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(73,759)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218,504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121,721</w:t>
            </w:r>
          </w:p>
        </w:tc>
        <w:tc>
          <w:tcPr>
            <w:tcW w:w="0" w:type="dxa"/>
            <w:vAlign w:val="bottom"/>
          </w:tcPr>
          <w:p>
            <w:pPr>
              <w:spacing w:after="0"/>
              <w:rPr>
                <w:sz w:val="1"/>
                <w:szCs w:val="1"/>
                <w:color w:val="auto"/>
              </w:rPr>
            </w:pPr>
          </w:p>
        </w:tc>
      </w:tr>
      <w:tr>
        <w:trPr>
          <w:trHeight w:val="229"/>
        </w:trPr>
        <w:tc>
          <w:tcPr>
            <w:tcW w:w="4360" w:type="dxa"/>
            <w:vAlign w:val="bottom"/>
          </w:tcPr>
          <w:p>
            <w:pPr>
              <w:ind w:left="180"/>
              <w:spacing w:after="0"/>
              <w:rPr>
                <w:sz w:val="20"/>
                <w:szCs w:val="20"/>
                <w:color w:val="auto"/>
              </w:rPr>
            </w:pPr>
            <w:r>
              <w:rPr>
                <w:rFonts w:ascii="Arial" w:cs="Arial" w:eastAsia="Arial" w:hAnsi="Arial"/>
                <w:sz w:val="18"/>
                <w:szCs w:val="18"/>
                <w:color w:val="auto"/>
              </w:rPr>
              <w:t>Less: Net income attributable to noncontrolling</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attributable to HSS</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120,015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218,504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120,015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120,015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218,504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121,721</w:t>
            </w:r>
          </w:p>
        </w:tc>
        <w:tc>
          <w:tcPr>
            <w:tcW w:w="0" w:type="dxa"/>
            <w:vAlign w:val="bottom"/>
          </w:tcPr>
          <w:p>
            <w:pPr>
              <w:spacing w:after="0"/>
              <w:rPr>
                <w:sz w:val="1"/>
                <w:szCs w:val="1"/>
                <w:color w:val="auto"/>
              </w:rPr>
            </w:pPr>
          </w:p>
        </w:tc>
      </w:tr>
      <w:tr>
        <w:trPr>
          <w:trHeight w:val="223"/>
        </w:trPr>
        <w:tc>
          <w:tcPr>
            <w:tcW w:w="43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29"/>
        </w:trPr>
        <w:tc>
          <w:tcPr>
            <w:tcW w:w="4360" w:type="dxa"/>
            <w:vAlign w:val="bottom"/>
          </w:tcPr>
          <w:p>
            <w:pPr>
              <w:ind w:left="180"/>
              <w:spacing w:after="0"/>
              <w:rPr>
                <w:sz w:val="20"/>
                <w:szCs w:val="20"/>
                <w:color w:val="auto"/>
              </w:rPr>
            </w:pPr>
            <w:r>
              <w:rPr>
                <w:rFonts w:ascii="Arial" w:cs="Arial" w:eastAsia="Arial" w:hAnsi="Arial"/>
                <w:sz w:val="18"/>
                <w:szCs w:val="18"/>
                <w:color w:val="auto"/>
              </w:rPr>
              <w:t>Unrealized (gains) losses on available-for-sale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40"/>
              <w:spacing w:after="0"/>
              <w:rPr>
                <w:sz w:val="20"/>
                <w:szCs w:val="20"/>
                <w:color w:val="auto"/>
              </w:rPr>
            </w:pPr>
            <w:r>
              <w:rPr>
                <w:rFonts w:ascii="Arial" w:cs="Arial" w:eastAsia="Arial" w:hAnsi="Arial"/>
                <w:sz w:val="18"/>
                <w:szCs w:val="18"/>
                <w:color w:val="auto"/>
              </w:rPr>
              <w:t>securities and other</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Recognition of realized gains on available-for-sale</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securities included in net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29"/>
        </w:trPr>
        <w:tc>
          <w:tcPr>
            <w:tcW w:w="4360" w:type="dxa"/>
            <w:vAlign w:val="bottom"/>
          </w:tcPr>
          <w:p>
            <w:pPr>
              <w:ind w:left="180"/>
              <w:spacing w:after="0"/>
              <w:rPr>
                <w:sz w:val="20"/>
                <w:szCs w:val="20"/>
                <w:color w:val="auto"/>
              </w:rPr>
            </w:pPr>
            <w:r>
              <w:rPr>
                <w:rFonts w:ascii="Arial" w:cs="Arial" w:eastAsia="Arial" w:hAnsi="Arial"/>
                <w:sz w:val="18"/>
                <w:szCs w:val="18"/>
                <w:color w:val="auto"/>
              </w:rPr>
              <w:t>Equity in other comprehensive income (loss) of</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40"/>
              <w:spacing w:after="0"/>
              <w:rPr>
                <w:sz w:val="20"/>
                <w:szCs w:val="20"/>
                <w:color w:val="auto"/>
              </w:rPr>
            </w:pPr>
            <w:r>
              <w:rPr>
                <w:rFonts w:ascii="Arial" w:cs="Arial" w:eastAsia="Arial" w:hAnsi="Arial"/>
                <w:sz w:val="18"/>
                <w:szCs w:val="18"/>
                <w:color w:val="auto"/>
              </w:rPr>
              <w:t>subsidiaries, net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(6,897)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12,152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comprehensive income (loss),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(6,789)</w:t>
            </w:r>
          </w:p>
        </w:tc>
        <w:tc>
          <w:tcPr>
            <w:tcW w:w="0" w:type="dxa"/>
            <w:vAlign w:val="bottom"/>
          </w:tcPr>
          <w:p>
            <w:pPr>
              <w:spacing w:after="0"/>
              <w:rPr>
                <w:sz w:val="1"/>
                <w:szCs w:val="1"/>
                <w:color w:val="auto"/>
              </w:rPr>
            </w:pPr>
          </w:p>
        </w:tc>
      </w:tr>
      <w:tr>
        <w:trPr>
          <w:trHeight w:val="237"/>
        </w:trPr>
        <w:tc>
          <w:tcPr>
            <w:tcW w:w="4360" w:type="dxa"/>
            <w:vAlign w:val="bottom"/>
          </w:tcPr>
          <w:p>
            <w:pPr>
              <w:ind w:left="180"/>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113,412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211,607</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(201,067)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114,932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Comprehensive income attributable to</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HSS</w:t>
            </w:r>
          </w:p>
        </w:tc>
        <w:tc>
          <w:tcPr>
            <w:tcW w:w="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113,412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211,607</w:t>
            </w:r>
          </w:p>
        </w:tc>
        <w:tc>
          <w:tcPr>
            <w:tcW w:w="10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(10,540)</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(201,067)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113,412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580" w:type="dxa"/>
            <w:vAlign w:val="bottom"/>
            <w:gridSpan w:val="15"/>
          </w:tcPr>
          <w:p>
            <w:pPr>
              <w:ind w:left="1340"/>
              <w:spacing w:after="0" w:line="182" w:lineRule="exact"/>
              <w:rPr>
                <w:sz w:val="20"/>
                <w:szCs w:val="20"/>
                <w:color w:val="auto"/>
              </w:rPr>
            </w:pPr>
            <w:r>
              <w:rPr>
                <w:rFonts w:ascii="Arial" w:cs="Arial" w:eastAsia="Arial" w:hAnsi="Arial"/>
                <w:sz w:val="18"/>
                <w:szCs w:val="18"/>
                <w:b w:val="1"/>
                <w:bCs w:val="1"/>
                <w:color w:val="auto"/>
                <w:w w:val="89"/>
              </w:rPr>
              <w:t>Consolidating Statement of Operations and Comprehensive Income (Loss) For the Year Ended</w:t>
            </w:r>
          </w:p>
        </w:tc>
        <w:tc>
          <w:tcPr>
            <w:tcW w:w="120" w:type="dxa"/>
            <w:vAlign w:val="bottom"/>
            <w:vMerge w:val="continue"/>
          </w:tcPr>
          <w:p>
            <w:pPr>
              <w:spacing w:after="0"/>
              <w:rPr>
                <w:sz w:val="15"/>
                <w:szCs w:val="15"/>
                <w:color w:val="auto"/>
              </w:rPr>
            </w:pPr>
          </w:p>
        </w:tc>
        <w:tc>
          <w:tcPr>
            <w:tcW w:w="13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w w:val="82"/>
              </w:rPr>
              <w:t>December 31, 2015</w:t>
            </w:r>
          </w:p>
        </w:tc>
        <w:tc>
          <w:tcPr>
            <w:tcW w:w="1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60" w:type="dxa"/>
            <w:vAlign w:val="bottom"/>
            <w:gridSpan w:val="9"/>
          </w:tcPr>
          <w:p>
            <w:pPr>
              <w:ind w:left="44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1"/>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4"/>
              </w:rPr>
              <w:t>Guarantor</w:t>
            </w:r>
          </w:p>
        </w:tc>
        <w:tc>
          <w:tcPr>
            <w:tcW w:w="100" w:type="dxa"/>
            <w:vAlign w:val="bottom"/>
          </w:tcPr>
          <w:p>
            <w:pPr>
              <w:spacing w:after="0"/>
              <w:rPr>
                <w:sz w:val="24"/>
                <w:szCs w:val="2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5"/>
              </w:rPr>
              <w:t>Non-Guarantor</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ind w:left="300"/>
              <w:spacing w:after="0"/>
              <w:rPr>
                <w:sz w:val="20"/>
                <w:szCs w:val="20"/>
                <w:color w:val="auto"/>
              </w:rPr>
            </w:pPr>
            <w:r>
              <w:rPr>
                <w:rFonts w:ascii="Arial" w:cs="Arial" w:eastAsia="Arial" w:hAnsi="Arial"/>
                <w:sz w:val="17"/>
                <w:szCs w:val="17"/>
                <w:b w:val="1"/>
                <w:bCs w:val="1"/>
                <w:color w:val="auto"/>
              </w:rPr>
              <w:t>HSS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8"/>
              </w:rPr>
              <w:t>Subsidiaries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8"/>
              </w:rPr>
              <w:t>Subsidiaries</w:t>
            </w:r>
          </w:p>
        </w:tc>
        <w:tc>
          <w:tcPr>
            <w:tcW w:w="14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Eliminations</w:t>
            </w:r>
          </w:p>
        </w:tc>
        <w:tc>
          <w:tcPr>
            <w:tcW w:w="280" w:type="dxa"/>
            <w:vAlign w:val="bottom"/>
          </w:tcPr>
          <w:p>
            <w:pPr>
              <w:spacing w:after="0"/>
              <w:rPr>
                <w:sz w:val="19"/>
                <w:szCs w:val="19"/>
                <w:color w:val="auto"/>
              </w:rPr>
            </w:pPr>
          </w:p>
        </w:tc>
        <w:tc>
          <w:tcPr>
            <w:tcW w:w="980" w:type="dxa"/>
            <w:vAlign w:val="bottom"/>
          </w:tcPr>
          <w:p>
            <w:pPr>
              <w:jc w:val="right"/>
              <w:ind w:right="351"/>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31"/>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360" w:type="dxa"/>
            <w:vAlign w:val="bottom"/>
          </w:tcPr>
          <w:p>
            <w:pPr>
              <w:ind w:left="180"/>
              <w:spacing w:after="0"/>
              <w:rPr>
                <w:sz w:val="20"/>
                <w:szCs w:val="20"/>
                <w:color w:val="auto"/>
              </w:rPr>
            </w:pPr>
            <w:r>
              <w:rPr>
                <w:rFonts w:ascii="Arial" w:cs="Arial" w:eastAsia="Arial" w:hAnsi="Arial"/>
                <w:sz w:val="17"/>
                <w:szCs w:val="17"/>
                <w:color w:val="auto"/>
              </w:rPr>
              <w:t>Services and other revenue - DISH Network</w:t>
            </w:r>
          </w:p>
        </w:tc>
        <w:tc>
          <w:tcPr>
            <w:tcW w:w="4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3"/>
          </w:tcPr>
          <w:p>
            <w:pPr>
              <w:ind w:left="8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518,734</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
              <w:spacing w:after="0"/>
              <w:rPr>
                <w:sz w:val="20"/>
                <w:szCs w:val="20"/>
                <w:color w:val="auto"/>
              </w:rPr>
            </w:pPr>
            <w:r>
              <w:rPr>
                <w:rFonts w:ascii="Arial" w:cs="Arial" w:eastAsia="Arial" w:hAnsi="Arial"/>
                <w:sz w:val="17"/>
                <w:szCs w:val="17"/>
                <w:color w:val="auto"/>
              </w:rPr>
              <w:t>119</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71"/>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1"/>
              <w:spacing w:after="0"/>
              <w:rPr>
                <w:sz w:val="20"/>
                <w:szCs w:val="20"/>
                <w:color w:val="auto"/>
              </w:rPr>
            </w:pPr>
            <w:r>
              <w:rPr>
                <w:rFonts w:ascii="Arial" w:cs="Arial" w:eastAsia="Arial" w:hAnsi="Arial"/>
                <w:sz w:val="17"/>
                <w:szCs w:val="17"/>
                <w:color w:val="auto"/>
              </w:rPr>
              <w:t>518,853</w:t>
            </w:r>
          </w:p>
        </w:tc>
        <w:tc>
          <w:tcPr>
            <w:tcW w:w="0" w:type="dxa"/>
            <w:vAlign w:val="bottom"/>
          </w:tcPr>
          <w:p>
            <w:pPr>
              <w:spacing w:after="0"/>
              <w:rPr>
                <w:sz w:val="1"/>
                <w:szCs w:val="1"/>
                <w:color w:val="auto"/>
              </w:rPr>
            </w:pPr>
          </w:p>
        </w:tc>
      </w:tr>
      <w:tr>
        <w:trPr>
          <w:trHeight w:val="31"/>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Services and other revenue - other</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976,507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7"/>
                <w:szCs w:val="17"/>
                <w:color w:val="auto"/>
              </w:rPr>
              <w:t>140,619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(21,877)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7"/>
                <w:szCs w:val="17"/>
                <w:color w:val="auto"/>
              </w:rPr>
              <w:t>1,095,249</w:t>
            </w:r>
          </w:p>
        </w:tc>
        <w:tc>
          <w:tcPr>
            <w:tcW w:w="0" w:type="dxa"/>
            <w:vAlign w:val="bottom"/>
          </w:tcPr>
          <w:p>
            <w:pPr>
              <w:spacing w:after="0"/>
              <w:rPr>
                <w:sz w:val="1"/>
                <w:szCs w:val="1"/>
                <w:color w:val="auto"/>
              </w:rPr>
            </w:pPr>
          </w:p>
        </w:tc>
      </w:tr>
      <w:tr>
        <w:trPr>
          <w:trHeight w:val="239"/>
        </w:trPr>
        <w:tc>
          <w:tcPr>
            <w:tcW w:w="4360" w:type="dxa"/>
            <w:vAlign w:val="bottom"/>
          </w:tcPr>
          <w:p>
            <w:pPr>
              <w:ind w:left="180"/>
              <w:spacing w:after="0"/>
              <w:rPr>
                <w:sz w:val="20"/>
                <w:szCs w:val="20"/>
                <w:color w:val="auto"/>
              </w:rPr>
            </w:pPr>
            <w:r>
              <w:rPr>
                <w:rFonts w:ascii="Arial" w:cs="Arial" w:eastAsia="Arial" w:hAnsi="Arial"/>
                <w:sz w:val="17"/>
                <w:szCs w:val="17"/>
                <w:color w:val="auto"/>
              </w:rPr>
              <w:t>Equipment revenue - DISH Network</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3"/>
          </w:tcPr>
          <w:p>
            <w:pPr>
              <w:ind w:left="8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10,752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7"/>
                <w:szCs w:val="17"/>
                <w:color w:val="auto"/>
              </w:rPr>
              <w:t>10,752</w:t>
            </w:r>
          </w:p>
        </w:tc>
        <w:tc>
          <w:tcPr>
            <w:tcW w:w="0" w:type="dxa"/>
            <w:vAlign w:val="bottom"/>
          </w:tcPr>
          <w:p>
            <w:pPr>
              <w:spacing w:after="0"/>
              <w:rPr>
                <w:sz w:val="1"/>
                <w:szCs w:val="1"/>
                <w:color w:val="auto"/>
              </w:rPr>
            </w:pPr>
          </w:p>
        </w:tc>
      </w:tr>
      <w:tr>
        <w:trPr>
          <w:trHeight w:val="31"/>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Equipment revenue - other</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8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200,605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7"/>
                <w:szCs w:val="17"/>
                <w:color w:val="auto"/>
              </w:rPr>
              <w:t>30,678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7"/>
                <w:szCs w:val="17"/>
                <w:color w:val="auto"/>
              </w:rPr>
              <w:t>212,278</w:t>
            </w:r>
          </w:p>
        </w:tc>
        <w:tc>
          <w:tcPr>
            <w:tcW w:w="0" w:type="dxa"/>
            <w:vAlign w:val="bottom"/>
          </w:tcPr>
          <w:p>
            <w:pPr>
              <w:spacing w:after="0"/>
              <w:rPr>
                <w:sz w:val="1"/>
                <w:szCs w:val="1"/>
                <w:color w:val="auto"/>
              </w:rPr>
            </w:pPr>
          </w:p>
        </w:tc>
      </w:tr>
      <w:tr>
        <w:trPr>
          <w:trHeight w:val="20"/>
        </w:trPr>
        <w:tc>
          <w:tcPr>
            <w:tcW w:w="4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5" w:right="239" w:bottom="0" w:gutter="0" w:footer="0" w:header="0"/>
        </w:sectPr>
      </w:pPr>
    </w:p>
    <w:bookmarkStart w:id="96" w:name="page97"/>
    <w:bookmarkEnd w:id="96"/>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80" w:type="dxa"/>
            <w:vAlign w:val="bottom"/>
            <w:tcBorders>
              <w:top w:val="single" w:sz="8" w:color="CCEEFF"/>
            </w:tcBorders>
          </w:tcPr>
          <w:p>
            <w:pPr>
              <w:ind w:left="40"/>
              <w:spacing w:after="0"/>
              <w:rPr>
                <w:sz w:val="20"/>
                <w:szCs w:val="20"/>
                <w:color w:val="auto"/>
              </w:rPr>
            </w:pPr>
            <w:r>
              <w:rPr>
                <w:rFonts w:ascii="Arial" w:cs="Arial" w:eastAsia="Arial" w:hAnsi="Arial"/>
                <w:sz w:val="17"/>
                <w:szCs w:val="17"/>
                <w:color w:val="auto"/>
              </w:rPr>
              <w:t>Total revenue</w:t>
            </w: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1,706,598</w:t>
            </w: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171,416</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(40,882)</w:t>
            </w: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1,837,132</w:t>
            </w:r>
          </w:p>
        </w:tc>
        <w:tc>
          <w:tcPr>
            <w:tcW w:w="0" w:type="dxa"/>
            <w:vAlign w:val="bottom"/>
          </w:tcPr>
          <w:p>
            <w:pPr>
              <w:spacing w:after="0"/>
              <w:rPr>
                <w:sz w:val="1"/>
                <w:szCs w:val="1"/>
                <w:color w:val="auto"/>
              </w:rPr>
            </w:pPr>
          </w:p>
        </w:tc>
      </w:tr>
      <w:tr>
        <w:trPr>
          <w:trHeight w:val="31"/>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Costs and Expenses: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580" w:type="dxa"/>
            <w:vAlign w:val="bottom"/>
          </w:tcPr>
          <w:p>
            <w:pPr>
              <w:ind w:left="180"/>
              <w:spacing w:after="0"/>
              <w:rPr>
                <w:sz w:val="20"/>
                <w:szCs w:val="20"/>
                <w:color w:val="auto"/>
              </w:rPr>
            </w:pPr>
            <w:r>
              <w:rPr>
                <w:rFonts w:ascii="Arial" w:cs="Arial" w:eastAsia="Arial" w:hAnsi="Arial"/>
                <w:sz w:val="17"/>
                <w:szCs w:val="17"/>
                <w:color w:val="auto"/>
                <w:w w:val="95"/>
              </w:rPr>
              <w:t>Costs of sales - services and other (exclusive of depreciation</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7"/>
                <w:szCs w:val="17"/>
                <w:color w:val="auto"/>
              </w:rPr>
              <w:t>and amortization)</w:t>
            </w:r>
          </w:p>
        </w:tc>
        <w:tc>
          <w:tcPr>
            <w:tcW w:w="240" w:type="dxa"/>
            <w:vAlign w:val="bottom"/>
          </w:tcPr>
          <w:p>
            <w:pPr>
              <w:spacing w:after="0"/>
              <w:rPr>
                <w:sz w:val="18"/>
                <w:szCs w:val="18"/>
                <w:color w:val="auto"/>
              </w:rPr>
            </w:pPr>
          </w:p>
        </w:tc>
        <w:tc>
          <w:tcPr>
            <w:tcW w:w="114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447,106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99,513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(21,148)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525,471</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sales - equipment (exclusive of depreciation and</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amortization)</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190,200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22,581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(17,244)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195,537</w:t>
            </w:r>
          </w:p>
        </w:tc>
        <w:tc>
          <w:tcPr>
            <w:tcW w:w="0" w:type="dxa"/>
            <w:vAlign w:val="bottom"/>
          </w:tcPr>
          <w:p>
            <w:pPr>
              <w:spacing w:after="0"/>
              <w:rPr>
                <w:sz w:val="1"/>
                <w:szCs w:val="1"/>
                <w:color w:val="auto"/>
              </w:rPr>
            </w:pP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Selling, general and administrative expenses</w:t>
            </w:r>
          </w:p>
        </w:tc>
        <w:tc>
          <w:tcPr>
            <w:tcW w:w="240" w:type="dxa"/>
            <w:vAlign w:val="bottom"/>
          </w:tcPr>
          <w:p>
            <w:pPr>
              <w:spacing w:after="0"/>
              <w:rPr>
                <w:sz w:val="20"/>
                <w:szCs w:val="20"/>
                <w:color w:val="auto"/>
              </w:rPr>
            </w:pPr>
          </w:p>
        </w:tc>
        <w:tc>
          <w:tcPr>
            <w:tcW w:w="114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245,725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33,381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276,616</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Research and development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26,377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26,377</w:t>
            </w:r>
          </w:p>
        </w:tc>
        <w:tc>
          <w:tcPr>
            <w:tcW w:w="0" w:type="dxa"/>
            <w:vAlign w:val="bottom"/>
          </w:tcPr>
          <w:p>
            <w:pPr>
              <w:spacing w:after="0"/>
              <w:rPr>
                <w:sz w:val="1"/>
                <w:szCs w:val="1"/>
                <w:color w:val="auto"/>
              </w:rPr>
            </w:pP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20"/>
                <w:szCs w:val="20"/>
                <w:color w:val="auto"/>
              </w:rPr>
            </w:pPr>
          </w:p>
        </w:tc>
        <w:tc>
          <w:tcPr>
            <w:tcW w:w="114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423,923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6,204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430,127</w:t>
            </w:r>
          </w:p>
        </w:tc>
        <w:tc>
          <w:tcPr>
            <w:tcW w:w="0" w:type="dxa"/>
            <w:vAlign w:val="bottom"/>
          </w:tcPr>
          <w:p>
            <w:pPr>
              <w:spacing w:after="0"/>
              <w:rPr>
                <w:sz w:val="1"/>
                <w:szCs w:val="1"/>
                <w:color w:val="auto"/>
              </w:rPr>
            </w:pPr>
          </w:p>
        </w:tc>
      </w:tr>
      <w:tr>
        <w:trPr>
          <w:trHeight w:val="31"/>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1,333,331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161,679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(40,882)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1,454,128</w:t>
            </w:r>
          </w:p>
        </w:tc>
        <w:tc>
          <w:tcPr>
            <w:tcW w:w="0" w:type="dxa"/>
            <w:vAlign w:val="bottom"/>
          </w:tcPr>
          <w:p>
            <w:pPr>
              <w:spacing w:after="0"/>
              <w:rPr>
                <w:sz w:val="1"/>
                <w:szCs w:val="1"/>
                <w:color w:val="auto"/>
              </w:rPr>
            </w:pPr>
          </w:p>
        </w:tc>
      </w:tr>
      <w:tr>
        <w:trPr>
          <w:trHeight w:val="219"/>
        </w:trPr>
        <w:tc>
          <w:tcPr>
            <w:tcW w:w="4580" w:type="dxa"/>
            <w:vAlign w:val="bottom"/>
          </w:tcPr>
          <w:p>
            <w:pPr>
              <w:ind w:left="40"/>
              <w:spacing w:after="0"/>
              <w:rPr>
                <w:sz w:val="20"/>
                <w:szCs w:val="20"/>
                <w:color w:val="auto"/>
              </w:rPr>
            </w:pPr>
            <w:r>
              <w:rPr>
                <w:rFonts w:ascii="Arial" w:cs="Arial" w:eastAsia="Arial" w:hAnsi="Arial"/>
                <w:sz w:val="17"/>
                <w:szCs w:val="17"/>
                <w:color w:val="auto"/>
              </w:rPr>
              <w:t>Operating income</w:t>
            </w: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373,267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9,737</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383,004</w:t>
            </w:r>
          </w:p>
        </w:tc>
        <w:tc>
          <w:tcPr>
            <w:tcW w:w="0" w:type="dxa"/>
            <w:vAlign w:val="bottom"/>
          </w:tcPr>
          <w:p>
            <w:pPr>
              <w:spacing w:after="0"/>
              <w:rPr>
                <w:sz w:val="1"/>
                <w:szCs w:val="1"/>
                <w:color w:val="auto"/>
              </w:rPr>
            </w:pPr>
          </w:p>
        </w:tc>
      </w:tr>
      <w:tr>
        <w:trPr>
          <w:trHeight w:val="31"/>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Interest income</w:t>
            </w:r>
          </w:p>
        </w:tc>
        <w:tc>
          <w:tcPr>
            <w:tcW w:w="24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7"/>
                <w:szCs w:val="17"/>
                <w:color w:val="auto"/>
              </w:rPr>
              <w:t>3,339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4,416</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 expense, net of amounts capitalized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(142,215)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(29,093)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(169,150)</w:t>
            </w:r>
          </w:p>
        </w:tc>
        <w:tc>
          <w:tcPr>
            <w:tcW w:w="0" w:type="dxa"/>
            <w:vAlign w:val="bottom"/>
          </w:tcPr>
          <w:p>
            <w:pPr>
              <w:spacing w:after="0"/>
              <w:rPr>
                <w:sz w:val="1"/>
                <w:szCs w:val="1"/>
                <w:color w:val="auto"/>
              </w:rPr>
            </w:pP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Loss from partial redemption of debt</w:t>
            </w:r>
          </w:p>
        </w:tc>
        <w:tc>
          <w:tcPr>
            <w:tcW w:w="24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7"/>
                <w:szCs w:val="17"/>
                <w:color w:val="auto"/>
              </w:rPr>
              <w:t>(5,044)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(5,044)</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5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8"/>
              </w:rPr>
              <w:t>Other-than-temporary impairment loss on available-for-sale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securities</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(6,139)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(6,139)</w:t>
            </w:r>
          </w:p>
        </w:tc>
        <w:tc>
          <w:tcPr>
            <w:tcW w:w="0" w:type="dxa"/>
            <w:vAlign w:val="bottom"/>
          </w:tcPr>
          <w:p>
            <w:pPr>
              <w:spacing w:after="0"/>
              <w:rPr>
                <w:sz w:val="1"/>
                <w:szCs w:val="1"/>
                <w:color w:val="auto"/>
              </w:rPr>
            </w:pP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Gains (losses) on marketable investment securities, net</w:t>
            </w:r>
          </w:p>
        </w:tc>
        <w:tc>
          <w:tcPr>
            <w:tcW w:w="24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(6,478)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(6,463)</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Equity in earnings of unconsolidated affiliate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8,502</w:t>
            </w:r>
          </w:p>
        </w:tc>
        <w:tc>
          <w:tcPr>
            <w:tcW w:w="0" w:type="dxa"/>
            <w:vAlign w:val="bottom"/>
          </w:tcPr>
          <w:p>
            <w:pPr>
              <w:spacing w:after="0"/>
              <w:rPr>
                <w:sz w:val="1"/>
                <w:szCs w:val="1"/>
                <w:color w:val="auto"/>
              </w:rPr>
            </w:pP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Equity in earnings (losses) of subsidiaries, net</w:t>
            </w:r>
          </w:p>
        </w:tc>
        <w:tc>
          <w:tcPr>
            <w:tcW w:w="24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7"/>
                <w:szCs w:val="17"/>
                <w:color w:val="auto"/>
              </w:rPr>
              <w:t>239,199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4,705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(243,904)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(5,468)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11,054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2,222</w:t>
            </w:r>
          </w:p>
        </w:tc>
        <w:tc>
          <w:tcPr>
            <w:tcW w:w="0" w:type="dxa"/>
            <w:vAlign w:val="bottom"/>
          </w:tcPr>
          <w:p>
            <w:pPr>
              <w:spacing w:after="0"/>
              <w:rPr>
                <w:sz w:val="1"/>
                <w:szCs w:val="1"/>
                <w:color w:val="auto"/>
              </w:rPr>
            </w:pPr>
          </w:p>
        </w:tc>
      </w:tr>
      <w:tr>
        <w:trPr>
          <w:trHeight w:val="219"/>
        </w:trPr>
        <w:tc>
          <w:tcPr>
            <w:tcW w:w="4580" w:type="dxa"/>
            <w:vAlign w:val="bottom"/>
          </w:tcPr>
          <w:p>
            <w:pPr>
              <w:ind w:left="40"/>
              <w:spacing w:after="0"/>
              <w:rPr>
                <w:sz w:val="20"/>
                <w:szCs w:val="20"/>
                <w:color w:val="auto"/>
              </w:rPr>
            </w:pPr>
            <w:r>
              <w:rPr>
                <w:rFonts w:ascii="Arial" w:cs="Arial" w:eastAsia="Arial" w:hAnsi="Arial"/>
                <w:sz w:val="17"/>
                <w:szCs w:val="17"/>
                <w:color w:val="auto"/>
              </w:rPr>
              <w:t>Total other income (expense), net</w:t>
            </w: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7"/>
                <w:szCs w:val="17"/>
                <w:color w:val="auto"/>
              </w:rPr>
              <w:t>83,687</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(11,139)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(300)</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(243,904)</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(171,656)</w:t>
            </w:r>
          </w:p>
        </w:tc>
        <w:tc>
          <w:tcPr>
            <w:tcW w:w="0" w:type="dxa"/>
            <w:vAlign w:val="bottom"/>
          </w:tcPr>
          <w:p>
            <w:pPr>
              <w:spacing w:after="0"/>
              <w:rPr>
                <w:sz w:val="1"/>
                <w:szCs w:val="1"/>
                <w:color w:val="auto"/>
              </w:rPr>
            </w:pPr>
          </w:p>
        </w:tc>
      </w:tr>
      <w:tr>
        <w:trPr>
          <w:trHeight w:val="31"/>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Income (loss)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83,687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362,128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9,437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(243,904)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211,348</w:t>
            </w:r>
          </w:p>
        </w:tc>
        <w:tc>
          <w:tcPr>
            <w:tcW w:w="0" w:type="dxa"/>
            <w:vAlign w:val="bottom"/>
          </w:tcPr>
          <w:p>
            <w:pPr>
              <w:spacing w:after="0"/>
              <w:rPr>
                <w:sz w:val="1"/>
                <w:szCs w:val="1"/>
                <w:color w:val="auto"/>
              </w:rPr>
            </w:pP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Income tax benefit (provision), net</w:t>
            </w:r>
          </w:p>
        </w:tc>
        <w:tc>
          <w:tcPr>
            <w:tcW w:w="24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7"/>
                <w:szCs w:val="17"/>
                <w:color w:val="auto"/>
              </w:rPr>
              <w:t>53,680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(122,564)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(3,480)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(72,364)</w:t>
            </w:r>
          </w:p>
        </w:tc>
        <w:tc>
          <w:tcPr>
            <w:tcW w:w="0" w:type="dxa"/>
            <w:vAlign w:val="bottom"/>
          </w:tcPr>
          <w:p>
            <w:pPr>
              <w:spacing w:after="0"/>
              <w:rPr>
                <w:sz w:val="1"/>
                <w:szCs w:val="1"/>
                <w:color w:val="auto"/>
              </w:rPr>
            </w:pPr>
          </w:p>
        </w:tc>
      </w:tr>
      <w:tr>
        <w:trPr>
          <w:trHeight w:val="31"/>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137,367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239,564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(243,904)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138,984</w:t>
            </w:r>
          </w:p>
        </w:tc>
        <w:tc>
          <w:tcPr>
            <w:tcW w:w="0" w:type="dxa"/>
            <w:vAlign w:val="bottom"/>
          </w:tcPr>
          <w:p>
            <w:pPr>
              <w:spacing w:after="0"/>
              <w:rPr>
                <w:sz w:val="1"/>
                <w:szCs w:val="1"/>
                <w:color w:val="auto"/>
              </w:rPr>
            </w:pPr>
          </w:p>
        </w:tc>
      </w:tr>
      <w:tr>
        <w:trPr>
          <w:trHeight w:val="239"/>
        </w:trPr>
        <w:tc>
          <w:tcPr>
            <w:tcW w:w="4580" w:type="dxa"/>
            <w:vAlign w:val="bottom"/>
          </w:tcPr>
          <w:p>
            <w:pPr>
              <w:ind w:left="40"/>
              <w:spacing w:after="0"/>
              <w:rPr>
                <w:sz w:val="20"/>
                <w:szCs w:val="20"/>
                <w:color w:val="auto"/>
              </w:rPr>
            </w:pPr>
            <w:r>
              <w:rPr>
                <w:rFonts w:ascii="Arial" w:cs="Arial" w:eastAsia="Arial" w:hAnsi="Arial"/>
                <w:sz w:val="17"/>
                <w:szCs w:val="17"/>
                <w:color w:val="auto"/>
              </w:rPr>
              <w:t>Less: Net income attributable to noncontrolling interests</w:t>
            </w:r>
          </w:p>
        </w:tc>
        <w:tc>
          <w:tcPr>
            <w:tcW w:w="240" w:type="dxa"/>
            <w:vAlign w:val="bottom"/>
          </w:tcPr>
          <w:p>
            <w:pPr>
              <w:spacing w:after="0"/>
              <w:rPr>
                <w:sz w:val="20"/>
                <w:szCs w:val="20"/>
                <w:color w:val="auto"/>
              </w:rPr>
            </w:pPr>
          </w:p>
        </w:tc>
        <w:tc>
          <w:tcPr>
            <w:tcW w:w="114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1,617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1,617</w:t>
            </w:r>
          </w:p>
        </w:tc>
        <w:tc>
          <w:tcPr>
            <w:tcW w:w="0" w:type="dxa"/>
            <w:vAlign w:val="bottom"/>
          </w:tcPr>
          <w:p>
            <w:pPr>
              <w:spacing w:after="0"/>
              <w:rPr>
                <w:sz w:val="1"/>
                <w:szCs w:val="1"/>
                <w:color w:val="auto"/>
              </w:rPr>
            </w:pPr>
          </w:p>
        </w:tc>
      </w:tr>
      <w:tr>
        <w:trPr>
          <w:trHeight w:val="31"/>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income (loss) attributable to HSS</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137,367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239,564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(243,904)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137,367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b w:val="1"/>
                <w:bCs w:val="1"/>
                <w:color w:val="auto"/>
              </w:rPr>
              <w:t>Comprehensive Income (Loss):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5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4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137,367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239,564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(243,904)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138,984</w:t>
            </w:r>
          </w:p>
        </w:tc>
        <w:tc>
          <w:tcPr>
            <w:tcW w:w="0" w:type="dxa"/>
            <w:vAlign w:val="bottom"/>
          </w:tcPr>
          <w:p>
            <w:pPr>
              <w:spacing w:after="0"/>
              <w:rPr>
                <w:sz w:val="1"/>
                <w:szCs w:val="1"/>
                <w:color w:val="auto"/>
              </w:rPr>
            </w:pPr>
          </w:p>
        </w:tc>
      </w:tr>
      <w:tr>
        <w:trPr>
          <w:trHeight w:val="206"/>
        </w:trPr>
        <w:tc>
          <w:tcPr>
            <w:tcW w:w="4580" w:type="dxa"/>
            <w:vAlign w:val="bottom"/>
          </w:tcPr>
          <w:p>
            <w:pPr>
              <w:ind w:left="40"/>
              <w:spacing w:after="0"/>
              <w:rPr>
                <w:sz w:val="20"/>
                <w:szCs w:val="20"/>
                <w:color w:val="auto"/>
              </w:rPr>
            </w:pPr>
            <w:r>
              <w:rPr>
                <w:rFonts w:ascii="Arial" w:cs="Arial" w:eastAsia="Arial" w:hAnsi="Arial"/>
                <w:sz w:val="17"/>
                <w:szCs w:val="17"/>
                <w:color w:val="auto"/>
              </w:rPr>
              <w:t>Other comprehensive income (loss), net of tax:</w:t>
            </w: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Foreign 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(25,012)</w:t>
            </w:r>
          </w:p>
        </w:tc>
        <w:tc>
          <w:tcPr>
            <w:tcW w:w="0" w:type="dxa"/>
            <w:vAlign w:val="bottom"/>
          </w:tcPr>
          <w:p>
            <w:pPr>
              <w:spacing w:after="0"/>
              <w:rPr>
                <w:sz w:val="1"/>
                <w:szCs w:val="1"/>
                <w:color w:val="auto"/>
              </w:rPr>
            </w:pPr>
          </w:p>
        </w:tc>
      </w:tr>
      <w:tr>
        <w:trPr>
          <w:trHeight w:val="212"/>
        </w:trPr>
        <w:tc>
          <w:tcPr>
            <w:tcW w:w="4580" w:type="dxa"/>
            <w:vAlign w:val="bottom"/>
          </w:tcPr>
          <w:p>
            <w:pPr>
              <w:ind w:left="180"/>
              <w:spacing w:after="0"/>
              <w:rPr>
                <w:sz w:val="20"/>
                <w:szCs w:val="20"/>
                <w:color w:val="auto"/>
              </w:rPr>
            </w:pPr>
            <w:r>
              <w:rPr>
                <w:rFonts w:ascii="Arial" w:cs="Arial" w:eastAsia="Arial" w:hAnsi="Arial"/>
                <w:sz w:val="17"/>
                <w:szCs w:val="17"/>
                <w:color w:val="auto"/>
                <w:w w:val="95"/>
              </w:rPr>
              <w:t>Unrealized gains (losses) on available-for-sale securities and</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7"/>
                <w:szCs w:val="17"/>
                <w:color w:val="auto"/>
              </w:rPr>
              <w:t>(2,478)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(1,800)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(4,202)</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Recognition of other-than-temporary loss on available-for-</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sale securities in net income (loss)</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6,139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6,139</w:t>
            </w:r>
          </w:p>
        </w:tc>
        <w:tc>
          <w:tcPr>
            <w:tcW w:w="0" w:type="dxa"/>
            <w:vAlign w:val="bottom"/>
          </w:tcPr>
          <w:p>
            <w:pPr>
              <w:spacing w:after="0"/>
              <w:rPr>
                <w:sz w:val="1"/>
                <w:szCs w:val="1"/>
                <w:color w:val="auto"/>
              </w:rPr>
            </w:pPr>
          </w:p>
        </w:tc>
      </w:tr>
      <w:tr>
        <w:trPr>
          <w:trHeight w:val="212"/>
        </w:trPr>
        <w:tc>
          <w:tcPr>
            <w:tcW w:w="4580" w:type="dxa"/>
            <w:vAlign w:val="bottom"/>
          </w:tcPr>
          <w:p>
            <w:pPr>
              <w:ind w:left="180"/>
              <w:spacing w:after="0"/>
              <w:rPr>
                <w:sz w:val="20"/>
                <w:szCs w:val="20"/>
                <w:color w:val="auto"/>
              </w:rPr>
            </w:pPr>
            <w:r>
              <w:rPr>
                <w:rFonts w:ascii="Arial" w:cs="Arial" w:eastAsia="Arial" w:hAnsi="Arial"/>
                <w:sz w:val="17"/>
                <w:szCs w:val="17"/>
                <w:color w:val="auto"/>
                <w:w w:val="96"/>
              </w:rPr>
              <w:t>Recognition of realized gains on available-for-sale securities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7"/>
                <w:szCs w:val="17"/>
                <w:color w:val="auto"/>
              </w:rPr>
              <w:t>included in net income (loss)</w:t>
            </w:r>
          </w:p>
        </w:tc>
        <w:tc>
          <w:tcPr>
            <w:tcW w:w="24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5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6"/>
              </w:rPr>
              <w:t>Equity in other comprehensive income (loss) of subsidiaries,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(26,416)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(24,616)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51,032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tcPr>
          <w:p>
            <w:pPr>
              <w:ind w:left="180"/>
              <w:spacing w:after="0"/>
              <w:rPr>
                <w:sz w:val="20"/>
                <w:szCs w:val="20"/>
                <w:color w:val="auto"/>
              </w:rPr>
            </w:pPr>
            <w:r>
              <w:rPr>
                <w:rFonts w:ascii="Arial" w:cs="Arial" w:eastAsia="Arial" w:hAnsi="Arial"/>
                <w:sz w:val="17"/>
                <w:szCs w:val="17"/>
                <w:color w:val="auto"/>
              </w:rPr>
              <w:t>Total other comprehensive income (loss), net of tax</w:t>
            </w: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(22,770)</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(26,416)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(24,936)</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51,032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(23,090)</w:t>
            </w:r>
          </w:p>
        </w:tc>
        <w:tc>
          <w:tcPr>
            <w:tcW w:w="0" w:type="dxa"/>
            <w:vAlign w:val="bottom"/>
          </w:tcPr>
          <w:p>
            <w:pPr>
              <w:spacing w:after="0"/>
              <w:rPr>
                <w:sz w:val="1"/>
                <w:szCs w:val="1"/>
                <w:color w:val="auto"/>
              </w:rPr>
            </w:pPr>
          </w:p>
        </w:tc>
      </w:tr>
      <w:tr>
        <w:trPr>
          <w:trHeight w:val="31"/>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Comprehensive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114,597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213,148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(18,979)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(192,872)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115,894</w:t>
            </w:r>
          </w:p>
        </w:tc>
        <w:tc>
          <w:tcPr>
            <w:tcW w:w="0" w:type="dxa"/>
            <w:vAlign w:val="bottom"/>
          </w:tcPr>
          <w:p>
            <w:pPr>
              <w:spacing w:after="0"/>
              <w:rPr>
                <w:sz w:val="1"/>
                <w:szCs w:val="1"/>
                <w:color w:val="auto"/>
              </w:rPr>
            </w:pPr>
          </w:p>
        </w:tc>
      </w:tr>
      <w:tr>
        <w:trPr>
          <w:trHeight w:val="212"/>
        </w:trPr>
        <w:tc>
          <w:tcPr>
            <w:tcW w:w="4580" w:type="dxa"/>
            <w:vAlign w:val="bottom"/>
          </w:tcPr>
          <w:p>
            <w:pPr>
              <w:ind w:left="180"/>
              <w:spacing w:after="0"/>
              <w:rPr>
                <w:sz w:val="20"/>
                <w:szCs w:val="20"/>
                <w:color w:val="auto"/>
              </w:rPr>
            </w:pPr>
            <w:r>
              <w:rPr>
                <w:rFonts w:ascii="Arial" w:cs="Arial" w:eastAsia="Arial" w:hAnsi="Arial"/>
                <w:sz w:val="17"/>
                <w:szCs w:val="17"/>
                <w:color w:val="auto"/>
                <w:w w:val="99"/>
              </w:rPr>
              <w:t>Less: Comprehensive income attributable to noncontrolling</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7"/>
                <w:szCs w:val="17"/>
                <w:color w:val="auto"/>
              </w:rPr>
              <w:t>interests</w:t>
            </w:r>
          </w:p>
        </w:tc>
        <w:tc>
          <w:tcPr>
            <w:tcW w:w="240" w:type="dxa"/>
            <w:vAlign w:val="bottom"/>
          </w:tcPr>
          <w:p>
            <w:pPr>
              <w:spacing w:after="0"/>
              <w:rPr>
                <w:sz w:val="18"/>
                <w:szCs w:val="18"/>
                <w:color w:val="auto"/>
              </w:rPr>
            </w:pPr>
          </w:p>
        </w:tc>
        <w:tc>
          <w:tcPr>
            <w:tcW w:w="114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1,297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1,297</w:t>
            </w:r>
          </w:p>
        </w:tc>
        <w:tc>
          <w:tcPr>
            <w:tcW w:w="0" w:type="dxa"/>
            <w:vAlign w:val="bottom"/>
          </w:tcPr>
          <w:p>
            <w:pPr>
              <w:spacing w:after="0"/>
              <w:rPr>
                <w:sz w:val="1"/>
                <w:szCs w:val="1"/>
                <w:color w:val="auto"/>
              </w:rPr>
            </w:pPr>
          </w:p>
        </w:tc>
      </w:tr>
      <w:tr>
        <w:trPr>
          <w:trHeight w:val="31"/>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Comprehensive income (loss) attributable to HSS</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114,597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213,148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(20,276)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(192,872)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114,597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860" w:type="dxa"/>
            <w:vAlign w:val="bottom"/>
            <w:gridSpan w:val="5"/>
          </w:tcPr>
          <w:p>
            <w:pPr>
              <w:ind w:left="1340"/>
              <w:spacing w:after="0" w:line="182" w:lineRule="exact"/>
              <w:rPr>
                <w:sz w:val="20"/>
                <w:szCs w:val="20"/>
                <w:color w:val="auto"/>
              </w:rPr>
            </w:pPr>
            <w:r>
              <w:rPr>
                <w:rFonts w:ascii="Arial" w:cs="Arial" w:eastAsia="Arial" w:hAnsi="Arial"/>
                <w:sz w:val="18"/>
                <w:szCs w:val="18"/>
                <w:b w:val="1"/>
                <w:bCs w:val="1"/>
                <w:color w:val="auto"/>
                <w:w w:val="88"/>
              </w:rPr>
              <w:t>Consolidating Statement of Operations and Comprehensive</w:t>
            </w:r>
          </w:p>
        </w:tc>
        <w:tc>
          <w:tcPr>
            <w:tcW w:w="100" w:type="dxa"/>
            <w:vAlign w:val="bottom"/>
            <w:vMerge w:val="continue"/>
          </w:tcPr>
          <w:p>
            <w:pPr>
              <w:spacing w:after="0"/>
              <w:rPr>
                <w:sz w:val="15"/>
                <w:szCs w:val="15"/>
                <w:color w:val="auto"/>
              </w:rPr>
            </w:pPr>
          </w:p>
        </w:tc>
        <w:tc>
          <w:tcPr>
            <w:tcW w:w="136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w w:val="85"/>
              </w:rPr>
              <w:t>Income (Loss) For</w:t>
            </w:r>
          </w:p>
        </w:tc>
        <w:tc>
          <w:tcPr>
            <w:tcW w:w="126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w w:val="94"/>
              </w:rPr>
              <w:t>the Year Ended</w:t>
            </w:r>
          </w:p>
        </w:tc>
        <w:tc>
          <w:tcPr>
            <w:tcW w:w="120" w:type="dxa"/>
            <w:vAlign w:val="bottom"/>
            <w:vMerge w:val="continue"/>
          </w:tcPr>
          <w:p>
            <w:pPr>
              <w:spacing w:after="0"/>
              <w:rPr>
                <w:sz w:val="15"/>
                <w:szCs w:val="15"/>
                <w:color w:val="auto"/>
              </w:rPr>
            </w:pPr>
          </w:p>
        </w:tc>
        <w:tc>
          <w:tcPr>
            <w:tcW w:w="13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w w:val="82"/>
              </w:rPr>
              <w:t>December 31, 2014</w:t>
            </w:r>
          </w:p>
        </w:tc>
        <w:tc>
          <w:tcPr>
            <w:tcW w:w="1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5"/>
          </w:tcPr>
          <w:p>
            <w:pPr>
              <w:ind w:left="380"/>
              <w:spacing w:after="0"/>
              <w:rPr>
                <w:sz w:val="20"/>
                <w:szCs w:val="20"/>
                <w:color w:val="auto"/>
              </w:rPr>
            </w:pPr>
            <w:r>
              <w:rPr>
                <w:rFonts w:ascii="Arial" w:cs="Arial" w:eastAsia="Arial" w:hAnsi="Arial"/>
                <w:sz w:val="18"/>
                <w:szCs w:val="18"/>
                <w:color w:val="auto"/>
                <w:w w:val="92"/>
              </w:rPr>
              <w:t>(In thousands)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1"/>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7"/>
                <w:szCs w:val="17"/>
                <w:b w:val="1"/>
                <w:bCs w:val="1"/>
                <w:color w:val="auto"/>
              </w:rPr>
              <w:t>Guarantor</w:t>
            </w:r>
          </w:p>
        </w:tc>
        <w:tc>
          <w:tcPr>
            <w:tcW w:w="148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w w:val="95"/>
              </w:rPr>
              <w:t>Non-Guarantor</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4"/>
          </w:tcPr>
          <w:p>
            <w:pPr>
              <w:ind w:left="140"/>
              <w:spacing w:after="0"/>
              <w:rPr>
                <w:sz w:val="20"/>
                <w:szCs w:val="20"/>
                <w:color w:val="auto"/>
              </w:rPr>
            </w:pPr>
            <w:r>
              <w:rPr>
                <w:rFonts w:ascii="Arial" w:cs="Arial" w:eastAsia="Arial" w:hAnsi="Arial"/>
                <w:sz w:val="17"/>
                <w:szCs w:val="17"/>
                <w:b w:val="1"/>
                <w:bCs w:val="1"/>
                <w:color w:val="auto"/>
              </w:rPr>
              <w:t>HSS</w:t>
            </w:r>
          </w:p>
        </w:tc>
        <w:tc>
          <w:tcPr>
            <w:tcW w:w="1260" w:type="dxa"/>
            <w:vAlign w:val="bottom"/>
            <w:gridSpan w:val="3"/>
          </w:tcPr>
          <w:p>
            <w:pPr>
              <w:ind w:left="20"/>
              <w:spacing w:after="0"/>
              <w:rPr>
                <w:sz w:val="20"/>
                <w:szCs w:val="20"/>
                <w:color w:val="auto"/>
              </w:rPr>
            </w:pPr>
            <w:r>
              <w:rPr>
                <w:rFonts w:ascii="Arial" w:cs="Arial" w:eastAsia="Arial" w:hAnsi="Arial"/>
                <w:sz w:val="17"/>
                <w:szCs w:val="17"/>
                <w:b w:val="1"/>
                <w:bCs w:val="1"/>
                <w:color w:val="auto"/>
              </w:rPr>
              <w:t>Subsidiaries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6"/>
              </w:rPr>
              <w:t>Subsidiaries</w:t>
            </w:r>
          </w:p>
        </w:tc>
        <w:tc>
          <w:tcPr>
            <w:tcW w:w="16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Arial" w:cs="Arial" w:eastAsia="Arial" w:hAnsi="Arial"/>
                <w:sz w:val="17"/>
                <w:szCs w:val="17"/>
                <w:b w:val="1"/>
                <w:bCs w:val="1"/>
                <w:color w:val="auto"/>
              </w:rPr>
              <w:t>Eliminations</w:t>
            </w:r>
          </w:p>
        </w:tc>
        <w:tc>
          <w:tcPr>
            <w:tcW w:w="280" w:type="dxa"/>
            <w:vAlign w:val="bottom"/>
          </w:tcPr>
          <w:p>
            <w:pPr>
              <w:spacing w:after="0"/>
              <w:rPr>
                <w:sz w:val="19"/>
                <w:szCs w:val="19"/>
                <w:color w:val="auto"/>
              </w:rPr>
            </w:pPr>
          </w:p>
        </w:tc>
        <w:tc>
          <w:tcPr>
            <w:tcW w:w="980" w:type="dxa"/>
            <w:vAlign w:val="bottom"/>
          </w:tcPr>
          <w:p>
            <w:pPr>
              <w:jc w:val="right"/>
              <w:ind w:right="35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31"/>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Services and other revenue - DISH Network</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40" w:type="dxa"/>
            <w:vAlign w:val="bottom"/>
            <w:gridSpan w:val="4"/>
          </w:tcPr>
          <w:p>
            <w:pPr>
              <w:ind w:left="540"/>
              <w:spacing w:after="0"/>
              <w:rPr>
                <w:sz w:val="20"/>
                <w:szCs w:val="20"/>
                <w:color w:val="auto"/>
              </w:rPr>
            </w:pPr>
            <w:r>
              <w:rPr>
                <w:rFonts w:ascii="Arial" w:cs="Arial" w:eastAsia="Arial" w:hAnsi="Arial"/>
                <w:sz w:val="17"/>
                <w:szCs w:val="17"/>
                <w:color w:val="auto"/>
              </w:rPr>
              <w:t>—   $</w:t>
            </w:r>
          </w:p>
        </w:tc>
        <w:tc>
          <w:tcPr>
            <w:tcW w:w="32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487,286</w:t>
            </w:r>
          </w:p>
        </w:tc>
        <w:tc>
          <w:tcPr>
            <w:tcW w:w="100" w:type="dxa"/>
            <w:vAlign w:val="bottom"/>
          </w:tcPr>
          <w:p>
            <w:pPr>
              <w:spacing w:after="0"/>
              <w:rPr>
                <w:sz w:val="20"/>
                <w:szCs w:val="20"/>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699</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487,985</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Services and other revenue - other</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938,382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162,400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(23,681)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1,077,101</w:t>
            </w:r>
          </w:p>
        </w:tc>
        <w:tc>
          <w:tcPr>
            <w:tcW w:w="0" w:type="dxa"/>
            <w:vAlign w:val="bottom"/>
          </w:tcPr>
          <w:p>
            <w:pPr>
              <w:spacing w:after="0"/>
              <w:rPr>
                <w:sz w:val="1"/>
                <w:szCs w:val="1"/>
                <w:color w:val="auto"/>
              </w:rPr>
            </w:pP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Equipment revenue - DISH Network</w:t>
            </w:r>
          </w:p>
        </w:tc>
        <w:tc>
          <w:tcPr>
            <w:tcW w:w="240" w:type="dxa"/>
            <w:vAlign w:val="bottom"/>
          </w:tcPr>
          <w:p>
            <w:pPr>
              <w:spacing w:after="0"/>
              <w:rPr>
                <w:sz w:val="20"/>
                <w:szCs w:val="20"/>
                <w:color w:val="auto"/>
              </w:rPr>
            </w:pPr>
          </w:p>
        </w:tc>
        <w:tc>
          <w:tcPr>
            <w:tcW w:w="1140" w:type="dxa"/>
            <w:vAlign w:val="bottom"/>
            <w:gridSpan w:val="4"/>
          </w:tcPr>
          <w:p>
            <w:pPr>
              <w:ind w:left="5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31,943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31,943</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Equipment revenue - other</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4"/>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196,921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31,907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(17,880)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210,948</w:t>
            </w:r>
          </w:p>
        </w:tc>
        <w:tc>
          <w:tcPr>
            <w:tcW w:w="0" w:type="dxa"/>
            <w:vAlign w:val="bottom"/>
          </w:tcPr>
          <w:p>
            <w:pPr>
              <w:spacing w:after="0"/>
              <w:rPr>
                <w:sz w:val="1"/>
                <w:szCs w:val="1"/>
                <w:color w:val="auto"/>
              </w:rPr>
            </w:pPr>
          </w:p>
        </w:tc>
      </w:tr>
      <w:tr>
        <w:trPr>
          <w:trHeight w:val="219"/>
        </w:trPr>
        <w:tc>
          <w:tcPr>
            <w:tcW w:w="4580" w:type="dxa"/>
            <w:vAlign w:val="bottom"/>
          </w:tcPr>
          <w:p>
            <w:pPr>
              <w:ind w:left="40"/>
              <w:spacing w:after="0"/>
              <w:rPr>
                <w:sz w:val="20"/>
                <w:szCs w:val="20"/>
                <w:color w:val="auto"/>
              </w:rPr>
            </w:pPr>
            <w:r>
              <w:rPr>
                <w:rFonts w:ascii="Arial" w:cs="Arial" w:eastAsia="Arial" w:hAnsi="Arial"/>
                <w:sz w:val="17"/>
                <w:szCs w:val="17"/>
                <w:color w:val="auto"/>
              </w:rPr>
              <w:t>Total revenue</w:t>
            </w: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20" w:type="dxa"/>
            <w:vAlign w:val="bottom"/>
            <w:tcBorders>
              <w:top w:val="single" w:sz="8" w:color="auto"/>
            </w:tcBorders>
            <w:gridSpan w:val="2"/>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92"/>
              </w:rPr>
              <w:t>1,654,532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195,006</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(41,561)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1,807,977</w:t>
            </w:r>
          </w:p>
        </w:tc>
        <w:tc>
          <w:tcPr>
            <w:tcW w:w="0" w:type="dxa"/>
            <w:vAlign w:val="bottom"/>
          </w:tcPr>
          <w:p>
            <w:pPr>
              <w:spacing w:after="0"/>
              <w:rPr>
                <w:sz w:val="1"/>
                <w:szCs w:val="1"/>
                <w:color w:val="auto"/>
              </w:rPr>
            </w:pPr>
          </w:p>
        </w:tc>
      </w:tr>
      <w:tr>
        <w:trPr>
          <w:trHeight w:val="31"/>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Costs and Expenses: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580" w:type="dxa"/>
            <w:vAlign w:val="bottom"/>
          </w:tcPr>
          <w:p>
            <w:pPr>
              <w:ind w:left="180"/>
              <w:spacing w:after="0"/>
              <w:rPr>
                <w:sz w:val="20"/>
                <w:szCs w:val="20"/>
                <w:color w:val="auto"/>
              </w:rPr>
            </w:pPr>
            <w:r>
              <w:rPr>
                <w:rFonts w:ascii="Arial" w:cs="Arial" w:eastAsia="Arial" w:hAnsi="Arial"/>
                <w:sz w:val="17"/>
                <w:szCs w:val="17"/>
                <w:color w:val="auto"/>
                <w:w w:val="95"/>
              </w:rPr>
              <w:t>Costs of sales - services and other (exclusive of depreciation</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7"/>
                <w:szCs w:val="17"/>
                <w:color w:val="auto"/>
              </w:rPr>
              <w:t>and amortization)</w:t>
            </w:r>
          </w:p>
        </w:tc>
        <w:tc>
          <w:tcPr>
            <w:tcW w:w="240" w:type="dxa"/>
            <w:vAlign w:val="bottom"/>
          </w:tcPr>
          <w:p>
            <w:pPr>
              <w:spacing w:after="0"/>
              <w:rPr>
                <w:sz w:val="18"/>
                <w:szCs w:val="18"/>
                <w:color w:val="auto"/>
              </w:rPr>
            </w:pPr>
          </w:p>
        </w:tc>
        <w:tc>
          <w:tcPr>
            <w:tcW w:w="1140" w:type="dxa"/>
            <w:vAlign w:val="bottom"/>
            <w:gridSpan w:val="4"/>
          </w:tcPr>
          <w:p>
            <w:pPr>
              <w:ind w:left="5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441,777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117,822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(23,681)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535,918</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sales - equipment (exclusive of depreciation and</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amortization)</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4"/>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201,890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23,331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(16,199)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209,022</w:t>
            </w:r>
          </w:p>
        </w:tc>
        <w:tc>
          <w:tcPr>
            <w:tcW w:w="0" w:type="dxa"/>
            <w:vAlign w:val="bottom"/>
          </w:tcPr>
          <w:p>
            <w:pPr>
              <w:spacing w:after="0"/>
              <w:rPr>
                <w:sz w:val="1"/>
                <w:szCs w:val="1"/>
                <w:color w:val="auto"/>
              </w:rPr>
            </w:pP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Selling, general and administrative expenses</w:t>
            </w:r>
          </w:p>
        </w:tc>
        <w:tc>
          <w:tcPr>
            <w:tcW w:w="240" w:type="dxa"/>
            <w:vAlign w:val="bottom"/>
          </w:tcPr>
          <w:p>
            <w:pPr>
              <w:spacing w:after="0"/>
              <w:rPr>
                <w:sz w:val="20"/>
                <w:szCs w:val="20"/>
                <w:color w:val="auto"/>
              </w:rPr>
            </w:pPr>
          </w:p>
        </w:tc>
        <w:tc>
          <w:tcPr>
            <w:tcW w:w="1140" w:type="dxa"/>
            <w:vAlign w:val="bottom"/>
            <w:gridSpan w:val="4"/>
          </w:tcPr>
          <w:p>
            <w:pPr>
              <w:ind w:left="5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233,392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32,899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264,610</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Research and development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20,192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20,192</w:t>
            </w:r>
          </w:p>
        </w:tc>
        <w:tc>
          <w:tcPr>
            <w:tcW w:w="0" w:type="dxa"/>
            <w:vAlign w:val="bottom"/>
          </w:tcPr>
          <w:p>
            <w:pPr>
              <w:spacing w:after="0"/>
              <w:rPr>
                <w:sz w:val="1"/>
                <w:szCs w:val="1"/>
                <w:color w:val="auto"/>
              </w:rPr>
            </w:pP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20"/>
                <w:szCs w:val="20"/>
                <w:color w:val="auto"/>
              </w:rPr>
            </w:pPr>
          </w:p>
        </w:tc>
        <w:tc>
          <w:tcPr>
            <w:tcW w:w="1140" w:type="dxa"/>
            <w:vAlign w:val="bottom"/>
            <w:gridSpan w:val="4"/>
          </w:tcPr>
          <w:p>
            <w:pPr>
              <w:ind w:left="5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443,946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8,192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452,138</w:t>
            </w:r>
          </w:p>
        </w:tc>
        <w:tc>
          <w:tcPr>
            <w:tcW w:w="0" w:type="dxa"/>
            <w:vAlign w:val="bottom"/>
          </w:tcPr>
          <w:p>
            <w:pPr>
              <w:spacing w:after="0"/>
              <w:rPr>
                <w:sz w:val="1"/>
                <w:szCs w:val="1"/>
                <w:color w:val="auto"/>
              </w:rPr>
            </w:pPr>
          </w:p>
        </w:tc>
      </w:tr>
      <w:tr>
        <w:trPr>
          <w:trHeight w:val="31"/>
        </w:trPr>
        <w:tc>
          <w:tcPr>
            <w:tcW w:w="4580" w:type="dxa"/>
            <w:vAlign w:val="bottom"/>
            <w:vMerge w:val="restart"/>
          </w:tcPr>
          <w:p>
            <w:pPr>
              <w:ind w:left="40"/>
              <w:spacing w:after="0"/>
              <w:rPr>
                <w:sz w:val="20"/>
                <w:szCs w:val="20"/>
                <w:color w:val="auto"/>
              </w:rPr>
            </w:pPr>
            <w:r>
              <w:rPr>
                <w:rFonts w:ascii="Arial" w:cs="Arial" w:eastAsia="Arial" w:hAnsi="Arial"/>
                <w:sz w:val="17"/>
                <w:szCs w:val="17"/>
                <w:color w:val="auto"/>
              </w:rPr>
              <w:t>Total costs and expenses</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5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4"/>
          </w:tcPr>
          <w:p>
            <w:pPr>
              <w:ind w:left="5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w w:val="92"/>
              </w:rPr>
              <w:t>1,341,197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182,244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(41,561)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1,481,880</w:t>
            </w:r>
          </w:p>
        </w:tc>
        <w:tc>
          <w:tcPr>
            <w:tcW w:w="0" w:type="dxa"/>
            <w:vAlign w:val="bottom"/>
          </w:tcPr>
          <w:p>
            <w:pPr>
              <w:spacing w:after="0"/>
              <w:rPr>
                <w:sz w:val="1"/>
                <w:szCs w:val="1"/>
                <w:color w:val="auto"/>
              </w:rPr>
            </w:pPr>
          </w:p>
        </w:tc>
      </w:tr>
      <w:tr>
        <w:trPr>
          <w:trHeight w:val="31"/>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4"/>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313,335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12,762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326,097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1420"/>
          </w:cols>
          <w:pgMar w:left="240" w:top="120" w:right="239" w:bottom="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80" w:type="dxa"/>
            <w:vAlign w:val="bottom"/>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5"/>
        </w:trPr>
        <w:tc>
          <w:tcPr>
            <w:tcW w:w="4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197,610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(196,174)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3,234</w:t>
            </w: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Interest expense, net of amounts capitalized</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(145,938)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(240,057)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(1,437)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196,174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(191,258)</w:t>
            </w:r>
          </w:p>
        </w:tc>
      </w:tr>
      <w:tr>
        <w:trPr>
          <w:trHeight w:val="31"/>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Gains (losses) on marketable investment securities, net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Equity in earnings of unconsolidated affiliate</w:t>
            </w:r>
          </w:p>
        </w:tc>
        <w:tc>
          <w:tcPr>
            <w:tcW w:w="2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5,121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5,121</w:t>
            </w:r>
          </w:p>
        </w:tc>
      </w:tr>
      <w:tr>
        <w:trPr>
          <w:trHeight w:val="31"/>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Equity in earnings (losses) of subsidiaries, net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68,212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5,779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(73,991)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Other, net</w:t>
            </w:r>
          </w:p>
        </w:tc>
        <w:tc>
          <w:tcPr>
            <w:tcW w:w="2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822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(1,307)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(485)</w:t>
            </w:r>
          </w:p>
        </w:tc>
      </w:tr>
      <w:tr>
        <w:trPr>
          <w:trHeight w:val="31"/>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other income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119,909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(228,048)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(73,991)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(183,420)</w:t>
            </w:r>
          </w:p>
        </w:tc>
      </w:tr>
      <w:tr>
        <w:trPr>
          <w:trHeight w:val="219"/>
        </w:trPr>
        <w:tc>
          <w:tcPr>
            <w:tcW w:w="4580" w:type="dxa"/>
            <w:vAlign w:val="bottom"/>
          </w:tcPr>
          <w:p>
            <w:pPr>
              <w:ind w:left="180"/>
              <w:spacing w:after="0"/>
              <w:rPr>
                <w:sz w:val="20"/>
                <w:szCs w:val="20"/>
                <w:color w:val="auto"/>
              </w:rPr>
            </w:pPr>
            <w:r>
              <w:rPr>
                <w:rFonts w:ascii="Arial" w:cs="Arial" w:eastAsia="Arial" w:hAnsi="Arial"/>
                <w:sz w:val="17"/>
                <w:szCs w:val="17"/>
                <w:color w:val="auto"/>
              </w:rPr>
              <w:t>Income (loss) before income taxes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119,909</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85,287</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11,472</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(73,991)</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142,677</w:t>
            </w:r>
          </w:p>
        </w:tc>
      </w:tr>
      <w:tr>
        <w:trPr>
          <w:trHeight w:val="31"/>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Income tax provision, net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(18,716)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(16,705)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(4,674)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(40,095)</w:t>
            </w:r>
          </w:p>
        </w:tc>
      </w:tr>
      <w:tr>
        <w:trPr>
          <w:trHeight w:val="219"/>
        </w:trPr>
        <w:tc>
          <w:tcPr>
            <w:tcW w:w="458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101,193</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68,582</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6,798</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(73,991)</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102,582</w:t>
            </w:r>
          </w:p>
        </w:tc>
      </w:tr>
      <w:tr>
        <w:trPr>
          <w:trHeight w:val="31"/>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Less: 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1,389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1,389</w:t>
            </w:r>
          </w:p>
        </w:tc>
      </w:tr>
      <w:tr>
        <w:trPr>
          <w:trHeight w:val="219"/>
        </w:trPr>
        <w:tc>
          <w:tcPr>
            <w:tcW w:w="4580" w:type="dxa"/>
            <w:vAlign w:val="bottom"/>
          </w:tcPr>
          <w:p>
            <w:pPr>
              <w:ind w:left="380"/>
              <w:spacing w:after="0"/>
              <w:rPr>
                <w:sz w:val="20"/>
                <w:szCs w:val="20"/>
                <w:color w:val="auto"/>
              </w:rPr>
            </w:pPr>
            <w:r>
              <w:rPr>
                <w:rFonts w:ascii="Arial" w:cs="Arial" w:eastAsia="Arial" w:hAnsi="Arial"/>
                <w:sz w:val="17"/>
                <w:szCs w:val="17"/>
                <w:color w:val="auto"/>
              </w:rPr>
              <w:t>Net income (loss) attributable to HSS</w:t>
            </w: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101,193</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68,582</w:t>
            </w:r>
          </w:p>
        </w:tc>
        <w:tc>
          <w:tcPr>
            <w:tcW w:w="100" w:type="dxa"/>
            <w:vAlign w:val="bottom"/>
          </w:tcPr>
          <w:p>
            <w:pPr>
              <w:spacing w:after="0"/>
              <w:rPr>
                <w:sz w:val="19"/>
                <w:szCs w:val="19"/>
                <w:color w:val="auto"/>
              </w:rPr>
            </w:pPr>
          </w:p>
        </w:tc>
        <w:tc>
          <w:tcPr>
            <w:tcW w:w="460" w:type="dxa"/>
            <w:vAlign w:val="bottom"/>
            <w:tcBorders>
              <w:top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5,409</w:t>
            </w: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(73,991)</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101,193</w:t>
            </w:r>
          </w:p>
        </w:tc>
      </w:tr>
      <w:tr>
        <w:trPr>
          <w:trHeight w:val="71"/>
        </w:trPr>
        <w:tc>
          <w:tcPr>
            <w:tcW w:w="458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179"/>
        </w:trPr>
        <w:tc>
          <w:tcPr>
            <w:tcW w:w="4580" w:type="dxa"/>
            <w:vAlign w:val="bottom"/>
            <w:shd w:val="clear" w:color="auto" w:fill="CCEEFF"/>
          </w:tcPr>
          <w:p>
            <w:pPr>
              <w:ind w:left="40"/>
              <w:spacing w:after="0" w:line="179" w:lineRule="exact"/>
              <w:rPr>
                <w:sz w:val="20"/>
                <w:szCs w:val="20"/>
                <w:color w:val="auto"/>
              </w:rPr>
            </w:pPr>
            <w:r>
              <w:rPr>
                <w:rFonts w:ascii="Arial" w:cs="Arial" w:eastAsia="Arial" w:hAnsi="Arial"/>
                <w:sz w:val="17"/>
                <w:szCs w:val="17"/>
                <w:b w:val="1"/>
                <w:bCs w:val="1"/>
                <w:color w:val="auto"/>
              </w:rPr>
              <w:t>Comprehensive Income (Loss):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72"/>
        </w:trPr>
        <w:tc>
          <w:tcPr>
            <w:tcW w:w="45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r>
      <w:tr>
        <w:trPr>
          <w:trHeight w:val="239"/>
        </w:trPr>
        <w:tc>
          <w:tcPr>
            <w:tcW w:w="458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101,193</w:t>
            </w:r>
          </w:p>
        </w:tc>
        <w:tc>
          <w:tcPr>
            <w:tcW w:w="100" w:type="dxa"/>
            <w:vAlign w:val="bottom"/>
          </w:tcPr>
          <w:p>
            <w:pPr>
              <w:spacing w:after="0"/>
              <w:rPr>
                <w:sz w:val="20"/>
                <w:szCs w:val="20"/>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68,582</w:t>
            </w:r>
          </w:p>
        </w:tc>
        <w:tc>
          <w:tcPr>
            <w:tcW w:w="100" w:type="dxa"/>
            <w:vAlign w:val="bottom"/>
          </w:tcPr>
          <w:p>
            <w:pPr>
              <w:spacing w:after="0"/>
              <w:rPr>
                <w:sz w:val="20"/>
                <w:szCs w:val="20"/>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6,798</w:t>
            </w:r>
          </w:p>
        </w:tc>
        <w:tc>
          <w:tcPr>
            <w:tcW w:w="120" w:type="dxa"/>
            <w:vAlign w:val="bottom"/>
          </w:tcPr>
          <w:p>
            <w:pPr>
              <w:spacing w:after="0"/>
              <w:rPr>
                <w:sz w:val="20"/>
                <w:szCs w:val="20"/>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(73,991)</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102,582</w:t>
            </w:r>
          </w:p>
        </w:tc>
      </w:tr>
      <w:tr>
        <w:trPr>
          <w:trHeight w:val="31"/>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comprehensive income (loss),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Foreign currency translation adjustments</w:t>
            </w:r>
          </w:p>
        </w:tc>
        <w:tc>
          <w:tcPr>
            <w:tcW w:w="2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(8,789)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(8,789)</w:t>
            </w:r>
          </w:p>
        </w:tc>
      </w:tr>
      <w:tr>
        <w:trPr>
          <w:trHeight w:val="31"/>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8"/>
              </w:rPr>
              <w:t>Unrealized losses on available-for-sale securities and other</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(4,182)</w:t>
            </w:r>
          </w:p>
        </w:tc>
      </w:tr>
      <w:tr>
        <w:trPr>
          <w:trHeight w:val="212"/>
        </w:trPr>
        <w:tc>
          <w:tcPr>
            <w:tcW w:w="4580" w:type="dxa"/>
            <w:vAlign w:val="bottom"/>
          </w:tcPr>
          <w:p>
            <w:pPr>
              <w:ind w:left="180"/>
              <w:spacing w:after="0"/>
              <w:rPr>
                <w:sz w:val="20"/>
                <w:szCs w:val="20"/>
                <w:color w:val="auto"/>
              </w:rPr>
            </w:pPr>
            <w:r>
              <w:rPr>
                <w:rFonts w:ascii="Arial" w:cs="Arial" w:eastAsia="Arial" w:hAnsi="Arial"/>
                <w:sz w:val="17"/>
                <w:szCs w:val="17"/>
                <w:color w:val="auto"/>
                <w:w w:val="95"/>
              </w:rPr>
              <w:t>Recognition of realized losses on available-for-sale securities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7"/>
                <w:szCs w:val="17"/>
                <w:color w:val="auto"/>
              </w:rPr>
              <w:t>included in net income (loss)</w:t>
            </w:r>
          </w:p>
        </w:tc>
        <w:tc>
          <w:tcPr>
            <w:tcW w:w="22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32</w:t>
            </w:r>
          </w:p>
        </w:tc>
      </w:tr>
      <w:tr>
        <w:trPr>
          <w:trHeight w:val="31"/>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2"/>
        </w:trPr>
        <w:tc>
          <w:tcPr>
            <w:tcW w:w="45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6"/>
              </w:rPr>
              <w:t>Equity in other comprehensive income (loss) of subsidiaries,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7"/>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net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17,168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9"/>
        </w:trPr>
        <w:tc>
          <w:tcPr>
            <w:tcW w:w="4580" w:type="dxa"/>
            <w:vAlign w:val="bottom"/>
          </w:tcPr>
          <w:p>
            <w:pPr>
              <w:ind w:left="40"/>
              <w:spacing w:after="0"/>
              <w:rPr>
                <w:sz w:val="20"/>
                <w:szCs w:val="20"/>
                <w:color w:val="auto"/>
              </w:rPr>
            </w:pPr>
            <w:r>
              <w:rPr>
                <w:rFonts w:ascii="Arial" w:cs="Arial" w:eastAsia="Arial" w:hAnsi="Arial"/>
                <w:sz w:val="17"/>
                <w:szCs w:val="17"/>
                <w:color w:val="auto"/>
              </w:rPr>
              <w:t>Total other comprehensive income (loss), net of tax</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(12,702)</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(8,584)</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(8,821)</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17,168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(12,939)</w:t>
            </w:r>
          </w:p>
        </w:tc>
      </w:tr>
      <w:tr>
        <w:trPr>
          <w:trHeight w:val="31"/>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Comprehensive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88,491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59,998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(2,023)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(56,823)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89,643</w:t>
            </w:r>
          </w:p>
        </w:tc>
      </w:tr>
      <w:tr>
        <w:trPr>
          <w:trHeight w:val="212"/>
        </w:trPr>
        <w:tc>
          <w:tcPr>
            <w:tcW w:w="4580" w:type="dxa"/>
            <w:vAlign w:val="bottom"/>
          </w:tcPr>
          <w:p>
            <w:pPr>
              <w:ind w:left="180"/>
              <w:spacing w:after="0"/>
              <w:rPr>
                <w:sz w:val="20"/>
                <w:szCs w:val="20"/>
                <w:color w:val="auto"/>
              </w:rPr>
            </w:pPr>
            <w:r>
              <w:rPr>
                <w:rFonts w:ascii="Arial" w:cs="Arial" w:eastAsia="Arial" w:hAnsi="Arial"/>
                <w:sz w:val="17"/>
                <w:szCs w:val="17"/>
                <w:color w:val="auto"/>
                <w:w w:val="99"/>
              </w:rPr>
              <w:t>Less: Comprehensive income attributable to noncontrolling</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7"/>
                <w:szCs w:val="17"/>
                <w:color w:val="auto"/>
              </w:rPr>
              <w:t>interests</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1,152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1,152</w:t>
            </w:r>
          </w:p>
        </w:tc>
      </w:tr>
      <w:tr>
        <w:trPr>
          <w:trHeight w:val="31"/>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Comprehensive income (loss) attributable to HSS</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88,491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59,998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(56,823)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88,491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118"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Cash Flows for the Year Ended December 31, 2016</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Guarantor</w:t>
            </w: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Non-Guarantor</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HSS</w:t>
            </w: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4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120,015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218,504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(3,579)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(213,219)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121,721</w:t>
            </w:r>
          </w:p>
        </w:tc>
      </w:tr>
      <w:tr>
        <w:trPr>
          <w:trHeight w:val="27"/>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Adjustments to reconcile net income (loss) to net cash</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flows from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127,462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213,219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444,150</w:t>
            </w:r>
          </w:p>
        </w:tc>
      </w:tr>
      <w:tr>
        <w:trPr>
          <w:trHeight w:val="237"/>
        </w:trPr>
        <w:tc>
          <w:tcPr>
            <w:tcW w:w="4360" w:type="dxa"/>
            <w:vAlign w:val="bottom"/>
          </w:tcPr>
          <w:p>
            <w:pPr>
              <w:ind w:left="600"/>
              <w:spacing w:after="0"/>
              <w:rPr>
                <w:sz w:val="20"/>
                <w:szCs w:val="20"/>
                <w:color w:val="auto"/>
              </w:rPr>
            </w:pPr>
            <w:r>
              <w:rPr>
                <w:rFonts w:ascii="Arial" w:cs="Arial" w:eastAsia="Arial" w:hAnsi="Arial"/>
                <w:sz w:val="18"/>
                <w:szCs w:val="18"/>
                <w:color w:val="auto"/>
              </w:rPr>
              <w:t>Net cash flows from operating activities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198,890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345,966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21,015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565,871</w:t>
            </w:r>
          </w:p>
        </w:tc>
      </w:tr>
      <w:tr>
        <w:trPr>
          <w:trHeight w:val="27"/>
        </w:trPr>
        <w:tc>
          <w:tcPr>
            <w:tcW w:w="4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Purchases of marketable investment securities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(396,730)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(396,730)</w:t>
            </w:r>
          </w:p>
        </w:tc>
      </w:tr>
      <w:tr>
        <w:trPr>
          <w:trHeight w:val="27"/>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maturities of marketable investment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securities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452,446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452,446</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Expenditures for property and equipment</w:t>
            </w:r>
          </w:p>
        </w:tc>
        <w:tc>
          <w:tcPr>
            <w:tcW w:w="2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(292,427)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(88,860)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(381,287)</w:t>
            </w:r>
          </w:p>
        </w:tc>
      </w:tr>
      <w:tr>
        <w:trPr>
          <w:trHeight w:val="27"/>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restricted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8,320</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Investment in subsidiary</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(80,846)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(84,871)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165,717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for EchoStar XXI launch services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(23,750)</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Expenditures for externally marketed software</w:t>
            </w:r>
          </w:p>
        </w:tc>
        <w:tc>
          <w:tcPr>
            <w:tcW w:w="2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(23,252)</w:t>
            </w:r>
          </w:p>
        </w:tc>
      </w:tr>
      <w:tr>
        <w:trPr>
          <w:trHeight w:val="27"/>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r>
      <w:tr>
        <w:trPr>
          <w:trHeight w:val="237"/>
        </w:trPr>
        <w:tc>
          <w:tcPr>
            <w:tcW w:w="4360" w:type="dxa"/>
            <w:vAlign w:val="bottom"/>
          </w:tcPr>
          <w:p>
            <w:pPr>
              <w:ind w:left="600"/>
              <w:spacing w:after="0"/>
              <w:rPr>
                <w:sz w:val="20"/>
                <w:szCs w:val="20"/>
                <w:color w:val="auto"/>
              </w:rPr>
            </w:pPr>
            <w:r>
              <w:rPr>
                <w:rFonts w:ascii="Arial" w:cs="Arial" w:eastAsia="Arial" w:hAnsi="Arial"/>
                <w:sz w:val="18"/>
                <w:szCs w:val="18"/>
                <w:color w:val="auto"/>
              </w:rPr>
              <w:t>Net cash flows from investing activities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(394,346)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(112,678)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165,377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(365,889)</w:t>
            </w:r>
          </w:p>
        </w:tc>
      </w:tr>
      <w:tr>
        <w:trPr>
          <w:trHeight w:val="27"/>
        </w:trPr>
        <w:tc>
          <w:tcPr>
            <w:tcW w:w="4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1,500,000</w:t>
            </w:r>
          </w:p>
        </w:tc>
      </w:tr>
      <w:tr>
        <w:trPr>
          <w:trHeight w:val="27"/>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(7,097)</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Proceeds from capital contribution from parent</w:t>
            </w:r>
          </w:p>
        </w:tc>
        <w:tc>
          <w:tcPr>
            <w:tcW w:w="2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80,846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84,871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(165,717)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contribution from EchoStar</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23,750</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Repayment of debt and capital lease obligations</w:t>
            </w:r>
          </w:p>
        </w:tc>
        <w:tc>
          <w:tcPr>
            <w:tcW w:w="2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(31,669)</w:t>
            </w:r>
          </w:p>
        </w:tc>
      </w:tr>
      <w:tr>
        <w:trPr>
          <w:trHeight w:val="27"/>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Advances from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6,982</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(4,157)</w:t>
            </w:r>
          </w:p>
        </w:tc>
      </w:tr>
      <w:tr>
        <w:trPr>
          <w:trHeight w:val="27"/>
        </w:trPr>
        <w:tc>
          <w:tcPr>
            <w:tcW w:w="4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flows from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1,516,667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1,487,809</w:t>
            </w:r>
          </w:p>
        </w:tc>
      </w:tr>
      <w:tr>
        <w:trPr>
          <w:trHeight w:val="209"/>
        </w:trPr>
        <w:tc>
          <w:tcPr>
            <w:tcW w:w="4360" w:type="dxa"/>
            <w:vAlign w:val="bottom"/>
          </w:tcPr>
          <w:p>
            <w:pPr>
              <w:ind w:left="600"/>
              <w:spacing w:after="0"/>
              <w:rPr>
                <w:sz w:val="20"/>
                <w:szCs w:val="20"/>
                <w:color w:val="auto"/>
              </w:rPr>
            </w:pPr>
            <w:r>
              <w:rPr>
                <w:rFonts w:ascii="Arial" w:cs="Arial" w:eastAsia="Arial" w:hAnsi="Arial"/>
                <w:sz w:val="18"/>
                <w:szCs w:val="18"/>
                <w:color w:val="auto"/>
              </w:rPr>
              <w:t>Effect of exchange rates on cash and cash</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30"/>
        </w:trPr>
        <w:tc>
          <w:tcPr>
            <w:tcW w:w="4360" w:type="dxa"/>
            <w:vAlign w:val="bottom"/>
          </w:tcPr>
          <w:p>
            <w:pPr>
              <w:ind w:left="760"/>
              <w:spacing w:after="0"/>
              <w:rPr>
                <w:sz w:val="20"/>
                <w:szCs w:val="20"/>
                <w:color w:val="auto"/>
              </w:rPr>
            </w:pPr>
            <w:r>
              <w:rPr>
                <w:rFonts w:ascii="Arial" w:cs="Arial" w:eastAsia="Arial" w:hAnsi="Arial"/>
                <w:sz w:val="18"/>
                <w:szCs w:val="18"/>
                <w:color w:val="auto"/>
              </w:rPr>
              <w:t>equivalents</w:t>
            </w:r>
          </w:p>
        </w:tc>
        <w:tc>
          <w:tcPr>
            <w:tcW w:w="2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183</w:t>
            </w:r>
          </w:p>
        </w:tc>
      </w:tr>
      <w:tr>
        <w:trPr>
          <w:trHeight w:val="27"/>
        </w:trPr>
        <w:tc>
          <w:tcPr>
            <w:tcW w:w="4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Net increase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1,687,974</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300,634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55,767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26,589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382,990</w:t>
            </w:r>
          </w:p>
        </w:tc>
      </w:tr>
      <w:tr>
        <w:trPr>
          <w:trHeight w:val="27"/>
        </w:trPr>
        <w:tc>
          <w:tcPr>
            <w:tcW w:w="4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at end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1,991,949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2,070,964</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872"/>
        </w:trPr>
        <w:tc>
          <w:tcPr>
            <w:tcW w:w="4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F-50</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Cash Flows for the Year Ended December 31, 2015</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Guarantor</w:t>
            </w: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Non-Guarantor</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HSS</w:t>
            </w: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4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137,367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239,564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5,957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(243,904)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138,984</w:t>
            </w:r>
          </w:p>
        </w:tc>
      </w:tr>
      <w:tr>
        <w:trPr>
          <w:trHeight w:val="27"/>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Adjustments to reconcile net income (loss) to net cash</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156,301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243,904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436,506</w:t>
            </w:r>
          </w:p>
        </w:tc>
      </w:tr>
      <w:tr>
        <w:trPr>
          <w:trHeight w:val="237"/>
        </w:trPr>
        <w:tc>
          <w:tcPr>
            <w:tcW w:w="4360" w:type="dxa"/>
            <w:vAlign w:val="bottom"/>
          </w:tcPr>
          <w:p>
            <w:pPr>
              <w:ind w:left="380"/>
              <w:spacing w:after="0"/>
              <w:rPr>
                <w:sz w:val="20"/>
                <w:szCs w:val="20"/>
                <w:color w:val="auto"/>
              </w:rPr>
            </w:pPr>
            <w:r>
              <w:rPr>
                <w:rFonts w:ascii="Arial" w:cs="Arial" w:eastAsia="Arial" w:hAnsi="Arial"/>
                <w:sz w:val="18"/>
                <w:szCs w:val="18"/>
                <w:color w:val="auto"/>
              </w:rPr>
              <w:t>Net cash flows from operating activities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170,183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395,865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9,442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575,490</w:t>
            </w:r>
          </w:p>
        </w:tc>
      </w:tr>
      <w:tr>
        <w:trPr>
          <w:trHeight w:val="27"/>
        </w:trPr>
        <w:tc>
          <w:tcPr>
            <w:tcW w:w="4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Purchases of marketable investment securities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(208,821)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(208,821)</w:t>
            </w:r>
          </w:p>
        </w:tc>
      </w:tr>
      <w:tr>
        <w:trPr>
          <w:trHeight w:val="27"/>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maturities of marketable investment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securities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355,202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355,202</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Expenditures for property and equipment</w:t>
            </w:r>
          </w:p>
        </w:tc>
        <w:tc>
          <w:tcPr>
            <w:tcW w:w="3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(325,405)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(61,309)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(386,714)</w:t>
            </w:r>
          </w:p>
        </w:tc>
      </w:tr>
      <w:tr>
        <w:trPr>
          <w:trHeight w:val="27"/>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restricted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Investment in subsidiary</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(48,043)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91,043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for EchoStar XXI launch services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(11,875)</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Expenditures for externally marketed software</w:t>
            </w:r>
          </w:p>
        </w:tc>
        <w:tc>
          <w:tcPr>
            <w:tcW w:w="3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(22,327)</w:t>
            </w:r>
          </w:p>
        </w:tc>
      </w:tr>
      <w:tr>
        <w:trPr>
          <w:trHeight w:val="27"/>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4360" w:type="dxa"/>
            <w:vAlign w:val="bottom"/>
          </w:tcPr>
          <w:p>
            <w:pPr>
              <w:ind w:left="380"/>
              <w:spacing w:after="0"/>
              <w:rPr>
                <w:sz w:val="20"/>
                <w:szCs w:val="20"/>
                <w:color w:val="auto"/>
              </w:rPr>
            </w:pPr>
            <w:r>
              <w:rPr>
                <w:rFonts w:ascii="Arial" w:cs="Arial" w:eastAsia="Arial" w:hAnsi="Arial"/>
                <w:sz w:val="18"/>
                <w:szCs w:val="18"/>
                <w:color w:val="auto"/>
              </w:rPr>
              <w:t>Net cash flows from investing activities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100,949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(394,285)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(73,240)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89,543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(277,033)</w:t>
            </w:r>
          </w:p>
        </w:tc>
      </w:tr>
      <w:tr>
        <w:trPr>
          <w:trHeight w:val="27"/>
        </w:trPr>
        <w:tc>
          <w:tcPr>
            <w:tcW w:w="4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Proceeds from capital contribution from parent</w:t>
            </w:r>
          </w:p>
        </w:tc>
        <w:tc>
          <w:tcPr>
            <w:tcW w:w="3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43,000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48,043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(91,043)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Repayment of 6 1/2% Senior Secured Notes Due 2019</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and related premium</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(113,300)</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Repayment of debt and capital lease obligations</w:t>
            </w:r>
          </w:p>
        </w:tc>
        <w:tc>
          <w:tcPr>
            <w:tcW w:w="3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(39,441)</w:t>
            </w:r>
          </w:p>
        </w:tc>
      </w:tr>
      <w:tr>
        <w:trPr>
          <w:trHeight w:val="27"/>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Advances from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20,002</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(5,154)</w:t>
            </w:r>
          </w:p>
        </w:tc>
      </w:tr>
      <w:tr>
        <w:trPr>
          <w:trHeight w:val="27"/>
        </w:trPr>
        <w:tc>
          <w:tcPr>
            <w:tcW w:w="4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flows from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(137,893)</w:t>
            </w:r>
          </w:p>
        </w:tc>
      </w:tr>
      <w:tr>
        <w:trPr>
          <w:trHeight w:val="209"/>
        </w:trPr>
        <w:tc>
          <w:tcPr>
            <w:tcW w:w="4360" w:type="dxa"/>
            <w:vAlign w:val="bottom"/>
          </w:tcPr>
          <w:p>
            <w:pPr>
              <w:ind w:left="380"/>
              <w:spacing w:after="0"/>
              <w:rPr>
                <w:sz w:val="20"/>
                <w:szCs w:val="20"/>
                <w:color w:val="auto"/>
              </w:rPr>
            </w:pPr>
            <w:r>
              <w:rPr>
                <w:rFonts w:ascii="Arial" w:cs="Arial" w:eastAsia="Arial" w:hAnsi="Arial"/>
                <w:sz w:val="18"/>
                <w:szCs w:val="18"/>
                <w:color w:val="auto"/>
              </w:rPr>
              <w:t>Effect of exchange rates on cash and cash</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30"/>
        </w:trPr>
        <w:tc>
          <w:tcPr>
            <w:tcW w:w="4360" w:type="dxa"/>
            <w:vAlign w:val="bottom"/>
          </w:tcPr>
          <w:p>
            <w:pPr>
              <w:ind w:left="540"/>
              <w:spacing w:after="0"/>
              <w:rPr>
                <w:sz w:val="20"/>
                <w:szCs w:val="20"/>
                <w:color w:val="auto"/>
              </w:rPr>
            </w:pPr>
            <w:r>
              <w:rPr>
                <w:rFonts w:ascii="Arial" w:cs="Arial" w:eastAsia="Arial" w:hAnsi="Arial"/>
                <w:sz w:val="18"/>
                <w:szCs w:val="18"/>
                <w:color w:val="auto"/>
              </w:rPr>
              <w:t>equivalents</w:t>
            </w:r>
          </w:p>
        </w:tc>
        <w:tc>
          <w:tcPr>
            <w:tcW w:w="3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(3,131)</w:t>
            </w:r>
          </w:p>
        </w:tc>
      </w:tr>
      <w:tr>
        <w:trPr>
          <w:trHeight w:val="27"/>
        </w:trPr>
        <w:tc>
          <w:tcPr>
            <w:tcW w:w="4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Net increase (decrease)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157,872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157,433</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Cash and cash equivalents, at beginning of year</w:t>
            </w: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142,762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51,592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31,203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225,557</w:t>
            </w:r>
          </w:p>
        </w:tc>
      </w:tr>
      <w:tr>
        <w:trPr>
          <w:trHeight w:val="27"/>
        </w:trPr>
        <w:tc>
          <w:tcPr>
            <w:tcW w:w="4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at end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300,634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382,990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872"/>
        </w:trPr>
        <w:tc>
          <w:tcPr>
            <w:tcW w:w="4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F-51</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Consolidating Statement of Cash Flows for the Year Ended December 31, 2014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Guarantor</w:t>
            </w: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HSS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Subsidiaries</w:t>
            </w: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Eliminations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4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101,193</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68,582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6,798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(73,991)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102,582</w:t>
            </w:r>
          </w:p>
        </w:tc>
      </w:tr>
      <w:tr>
        <w:trPr>
          <w:trHeight w:val="27"/>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Adjustments to reconcile net income (loss) to net cash</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221,288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240,466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550,990</w:t>
            </w:r>
          </w:p>
        </w:tc>
      </w:tr>
      <w:tr>
        <w:trPr>
          <w:trHeight w:val="237"/>
        </w:trPr>
        <w:tc>
          <w:tcPr>
            <w:tcW w:w="4320" w:type="dxa"/>
            <w:vAlign w:val="bottom"/>
          </w:tcPr>
          <w:p>
            <w:pPr>
              <w:ind w:left="380"/>
              <w:spacing w:after="0"/>
              <w:rPr>
                <w:sz w:val="20"/>
                <w:szCs w:val="20"/>
                <w:color w:val="auto"/>
              </w:rPr>
            </w:pPr>
            <w:r>
              <w:rPr>
                <w:rFonts w:ascii="Arial" w:cs="Arial" w:eastAsia="Arial" w:hAnsi="Arial"/>
                <w:sz w:val="18"/>
                <w:szCs w:val="18"/>
                <w:color w:val="auto"/>
              </w:rPr>
              <w:t>Net cash flows from operating activities</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322,481</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309,048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22,043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653,572</w:t>
            </w:r>
          </w:p>
        </w:tc>
      </w:tr>
      <w:tr>
        <w:trPr>
          <w:trHeight w:val="27"/>
        </w:trPr>
        <w:tc>
          <w:tcPr>
            <w:tcW w:w="4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Purchases of marketable investment securities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(509,814)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(509,814)</w:t>
            </w:r>
          </w:p>
        </w:tc>
      </w:tr>
      <w:tr>
        <w:trPr>
          <w:trHeight w:val="27"/>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maturities of marketable investment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securities</w:t>
            </w: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234,970</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234,970</w:t>
            </w: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(220,664)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(247,341)</w:t>
            </w:r>
          </w:p>
        </w:tc>
      </w:tr>
      <w:tr>
        <w:trPr>
          <w:trHeight w:val="27"/>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restricted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Expenditures for externally marketed software</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(22,955)</w:t>
            </w:r>
          </w:p>
        </w:tc>
      </w:tr>
      <w:tr>
        <w:trPr>
          <w:trHeight w:val="27"/>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4320" w:type="dxa"/>
            <w:vAlign w:val="bottom"/>
          </w:tcPr>
          <w:p>
            <w:pPr>
              <w:ind w:left="380"/>
              <w:spacing w:after="0"/>
              <w:rPr>
                <w:sz w:val="20"/>
                <w:szCs w:val="20"/>
                <w:color w:val="auto"/>
              </w:rPr>
            </w:pPr>
            <w:r>
              <w:rPr>
                <w:rFonts w:ascii="Arial" w:cs="Arial" w:eastAsia="Arial" w:hAnsi="Arial"/>
                <w:sz w:val="18"/>
                <w:szCs w:val="18"/>
                <w:color w:val="auto"/>
              </w:rPr>
              <w:t>Net cash flows from investing activities</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(287,994)</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(243,654)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(26,666)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10,601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(547,713)</w:t>
            </w:r>
          </w:p>
        </w:tc>
      </w:tr>
      <w:tr>
        <w:trPr>
          <w:trHeight w:val="27"/>
        </w:trPr>
        <w:tc>
          <w:tcPr>
            <w:tcW w:w="4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Hughes Retail Preferred Tracking Stock (Note 3)</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10,601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10,601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10,601</w:t>
            </w:r>
          </w:p>
        </w:tc>
      </w:tr>
      <w:tr>
        <w:trPr>
          <w:trHeight w:val="27"/>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long-term debt and capital lease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obligations</w:t>
            </w: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(59,835)</w:t>
            </w: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Contributions from parent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r>
      <w:tr>
        <w:trPr>
          <w:trHeight w:val="237"/>
        </w:trPr>
        <w:tc>
          <w:tcPr>
            <w:tcW w:w="4320" w:type="dxa"/>
            <w:vAlign w:val="bottom"/>
          </w:tcPr>
          <w:p>
            <w:pPr>
              <w:ind w:left="380"/>
              <w:spacing w:after="0"/>
              <w:rPr>
                <w:sz w:val="20"/>
                <w:szCs w:val="20"/>
                <w:color w:val="auto"/>
              </w:rPr>
            </w:pPr>
            <w:r>
              <w:rPr>
                <w:rFonts w:ascii="Arial" w:cs="Arial" w:eastAsia="Arial" w:hAnsi="Arial"/>
                <w:sz w:val="18"/>
                <w:szCs w:val="18"/>
                <w:color w:val="auto"/>
              </w:rPr>
              <w:t>Net cash flows from financing activities</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10,601</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(49,127)</w:t>
            </w:r>
          </w:p>
        </w:tc>
      </w:tr>
      <w:tr>
        <w:trPr>
          <w:trHeight w:val="27"/>
        </w:trPr>
        <w:tc>
          <w:tcPr>
            <w:tcW w:w="4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Effect of exchange rates on cash and cash</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7"/>
        </w:trPr>
        <w:tc>
          <w:tcPr>
            <w:tcW w:w="43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equivalents</w:t>
            </w: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5,116</w:t>
            </w:r>
          </w:p>
        </w:tc>
      </w:tr>
      <w:tr>
        <w:trPr>
          <w:trHeight w:val="237"/>
        </w:trPr>
        <w:tc>
          <w:tcPr>
            <w:tcW w:w="4320" w:type="dxa"/>
            <w:vAlign w:val="bottom"/>
          </w:tcPr>
          <w:p>
            <w:pPr>
              <w:ind w:left="180"/>
              <w:spacing w:after="0"/>
              <w:rPr>
                <w:sz w:val="20"/>
                <w:szCs w:val="20"/>
                <w:color w:val="auto"/>
              </w:rPr>
            </w:pPr>
            <w:r>
              <w:rPr>
                <w:rFonts w:ascii="Arial" w:cs="Arial" w:eastAsia="Arial" w:hAnsi="Arial"/>
                <w:sz w:val="18"/>
                <w:szCs w:val="18"/>
                <w:color w:val="auto"/>
                <w:w w:val="96"/>
              </w:rPr>
              <w:t>Net increase (decrease) in cash and cash equivalents</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45,088</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61,848</w:t>
            </w:r>
          </w:p>
        </w:tc>
      </w:tr>
      <w:tr>
        <w:trPr>
          <w:trHeight w:val="27"/>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at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97,674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163,709</w:t>
            </w:r>
          </w:p>
        </w:tc>
      </w:tr>
      <w:tr>
        <w:trPr>
          <w:trHeight w:val="237"/>
        </w:trPr>
        <w:tc>
          <w:tcPr>
            <w:tcW w:w="4320" w:type="dxa"/>
            <w:vAlign w:val="bottom"/>
          </w:tcPr>
          <w:p>
            <w:pPr>
              <w:ind w:left="180"/>
              <w:spacing w:after="0"/>
              <w:rPr>
                <w:sz w:val="20"/>
                <w:szCs w:val="20"/>
                <w:color w:val="auto"/>
              </w:rPr>
            </w:pPr>
            <w:r>
              <w:rPr>
                <w:rFonts w:ascii="Arial" w:cs="Arial" w:eastAsia="Arial" w:hAnsi="Arial"/>
                <w:sz w:val="18"/>
                <w:szCs w:val="18"/>
                <w:color w:val="auto"/>
              </w:rPr>
              <w:t>Cash and cash equivalents, at end of year</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142,762</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51,592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31,203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225,557</w:t>
            </w:r>
          </w:p>
        </w:tc>
      </w:tr>
      <w:tr>
        <w:trPr>
          <w:trHeight w:val="27"/>
        </w:trPr>
        <w:tc>
          <w:tcPr>
            <w:tcW w:w="4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872"/>
        </w:trPr>
        <w:tc>
          <w:tcPr>
            <w:tcW w:w="4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86"/>
              </w:rPr>
              <w:t>F-52</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5"/>
          <w:szCs w:val="15"/>
          <w:b w:val="1"/>
          <w:bCs w:val="1"/>
          <w:color w:val="auto"/>
        </w:rPr>
        <w:t>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 of EchoStar XIX Satellite</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February 1, 2017, EchoStar contributed the EchoStar XIX satellite to us and we assumed EchoStar’s rights and obligations under a related contract with the satellite manufacturer. The EchoStar XIX satellite was launched in December 2016 and was undergoing in-orbit testing on the contribution date. Our Hughes segment will utilize the EchoStar XIX satellite to provide additional capacity for the Hughes broadband services to our customers in North America and added capacity in Mexico and certain Latin American countries and to add capability for aeronautical, enterprise and international broadband services. On the contribution date, we recorded a net increase in Additional paid-in capital to reflect EchoStar’s carrying amount of the satellite, less related deferred tax liabilities. Pursuant to the contract with the satellite manufacturer, we are obligated to make annual in-orbit incentive payments.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Exchange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January 31, 2017, our parent company EchoStar and certain of its subsidiaries, including certain subsidiaries of HSS, entered into the Share Exchange Agreement with DISH Network Corporation and certain of its subsidiaries (“DISH Parties”).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Pursuant to the Share Exchange Agreement, among other things, one of our subsidiaries will receive all of the shares of HSS Tracking Stock in exchange for 100% of the equity interests of certain subsidiaries which will hold a portion of the EchoStar Technologies business segment. Following the closing of the Share Exchange, the HSS Tracking Stock will be retired and all agreements, arrangements and policy statements with respect to the HSS Tracking Stock will terminate and be of no further effect. The Share Exchange has been structured in a manner to be a tax-free exchange for each of EchoStar and DISH and their respective subsidiaries.</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Prior to consummation of the Share Exchange, EchoStar is required to complete steps necessary for the transferring assets and liabilities that are being assumed by the DISH Parties to be owned by the transferring entities and their respective subsidiaries. As part of these steps, subsidiaries of EchoStar that currently own the Uplinking Businesses and related assets and liabilities will be contributed to EB Corp in consideration for additional shares of the Company’s common stock that will be issued to a subsidiary of EchoStar. Certain data center assets within the Uplinking Businesses will not be included in the Share Exchange and after consummation of the Share Exchange will continue to be owned by our subsidiaries and will be pledged as collateral to support our obligations under the Indentures.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Share Exchange is expected to be consummated three business days after the satisfaction or waiver of all of the closing conditions to the transaction (other than conditions that by their nature are to be satisfied at the closing, but subject to the satisfaction of those conditions at such time), but no earlier than February 28, 2017. The Share Exchange Agreement provides for customary termination rights of the parties, including the right of either party to terminate the Share Exchange Agreement if the Share Exchange has not closed by March 31, 2017. The closing conditions to the transaction involving third parties or governmental approvals have been satisfied (other than those that by their nature are to be satisfied at the closing). While we currently expect the Share Exchange to be consummated on or about February 28, 2017, no assurance can be given that the Share Exchange will be consummated on the terms or within the time frame disclosed, or at all.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SCHEDULE II</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VALUATION AND QUALIFYING ACCOUNTS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valuation and qualifying accounts as of December 31, 2016, 2015 and 2014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Balance at</w:t>
            </w:r>
          </w:p>
        </w:tc>
        <w:tc>
          <w:tcPr>
            <w:tcW w:w="460" w:type="dxa"/>
            <w:vAlign w:val="bottom"/>
          </w:tcPr>
          <w:p>
            <w:pPr>
              <w:spacing w:after="0"/>
              <w:rPr>
                <w:sz w:val="18"/>
                <w:szCs w:val="18"/>
                <w:color w:val="auto"/>
              </w:rPr>
            </w:pPr>
          </w:p>
        </w:tc>
        <w:tc>
          <w:tcPr>
            <w:tcW w:w="138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Charged to</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Beginning of</w:t>
            </w:r>
          </w:p>
        </w:tc>
        <w:tc>
          <w:tcPr>
            <w:tcW w:w="460" w:type="dxa"/>
            <w:vAlign w:val="bottom"/>
          </w:tcPr>
          <w:p>
            <w:pPr>
              <w:spacing w:after="0"/>
              <w:rPr>
                <w:sz w:val="18"/>
                <w:szCs w:val="18"/>
                <w:color w:val="auto"/>
              </w:rPr>
            </w:pPr>
          </w:p>
        </w:tc>
        <w:tc>
          <w:tcPr>
            <w:tcW w:w="1380" w:type="dxa"/>
            <w:vAlign w:val="bottom"/>
          </w:tcPr>
          <w:p>
            <w:pPr>
              <w:jc w:val="center"/>
              <w:ind w:right="190"/>
              <w:spacing w:after="0"/>
              <w:rPr>
                <w:sz w:val="20"/>
                <w:szCs w:val="20"/>
                <w:color w:val="auto"/>
              </w:rPr>
            </w:pPr>
            <w:r>
              <w:rPr>
                <w:rFonts w:ascii="Arial" w:cs="Arial" w:eastAsia="Arial" w:hAnsi="Arial"/>
                <w:sz w:val="18"/>
                <w:szCs w:val="18"/>
                <w:b w:val="1"/>
                <w:bCs w:val="1"/>
                <w:color w:val="auto"/>
                <w:w w:val="84"/>
              </w:rPr>
              <w:t>Costs and</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Balance at</w:t>
            </w:r>
          </w:p>
        </w:tc>
      </w:tr>
      <w:tr>
        <w:trPr>
          <w:trHeight w:val="234"/>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Allowance for doubtful accounts</w:t>
            </w:r>
          </w:p>
        </w:tc>
        <w:tc>
          <w:tcPr>
            <w:tcW w:w="22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Year</w:t>
            </w:r>
          </w:p>
        </w:tc>
        <w:tc>
          <w:tcPr>
            <w:tcW w:w="460" w:type="dxa"/>
            <w:vAlign w:val="bottom"/>
          </w:tcPr>
          <w:p>
            <w:pPr>
              <w:spacing w:after="0"/>
              <w:rPr>
                <w:sz w:val="20"/>
                <w:szCs w:val="20"/>
                <w:color w:val="auto"/>
              </w:rPr>
            </w:pPr>
          </w:p>
        </w:tc>
        <w:tc>
          <w:tcPr>
            <w:tcW w:w="1380" w:type="dxa"/>
            <w:vAlign w:val="bottom"/>
          </w:tcPr>
          <w:p>
            <w:pPr>
              <w:jc w:val="center"/>
              <w:ind w:right="190"/>
              <w:spacing w:after="0"/>
              <w:rPr>
                <w:sz w:val="20"/>
                <w:szCs w:val="20"/>
                <w:color w:val="auto"/>
              </w:rPr>
            </w:pPr>
            <w:r>
              <w:rPr>
                <w:rFonts w:ascii="Arial" w:cs="Arial" w:eastAsia="Arial" w:hAnsi="Arial"/>
                <w:sz w:val="18"/>
                <w:szCs w:val="18"/>
                <w:b w:val="1"/>
                <w:bCs w:val="1"/>
                <w:color w:val="auto"/>
                <w:w w:val="83"/>
              </w:rPr>
              <w:t>Expenses</w:t>
            </w:r>
          </w:p>
        </w:tc>
        <w:tc>
          <w:tcPr>
            <w:tcW w:w="320" w:type="dxa"/>
            <w:vAlign w:val="bottom"/>
          </w:tcPr>
          <w:p>
            <w:pPr>
              <w:spacing w:after="0"/>
              <w:rPr>
                <w:sz w:val="20"/>
                <w:szCs w:val="20"/>
                <w:color w:val="auto"/>
              </w:rPr>
            </w:pPr>
          </w:p>
        </w:tc>
        <w:tc>
          <w:tcPr>
            <w:tcW w:w="142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Deductions</w:t>
            </w:r>
          </w:p>
        </w:tc>
        <w:tc>
          <w:tcPr>
            <w:tcW w:w="30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End of Year</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120" w:type="dxa"/>
            <w:vAlign w:val="bottom"/>
            <w:gridSpan w:val="3"/>
          </w:tcPr>
          <w:p>
            <w:pPr>
              <w:jc w:val="right"/>
              <w:ind w:right="109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years ended:</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December 31, 2016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11,447</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14,384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(13,079)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12,752</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6,637</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11,447</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December 31, 2014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10,736</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7,337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(6,123)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11,950</w:t>
            </w:r>
          </w:p>
        </w:tc>
      </w:tr>
      <w:tr>
        <w:trPr>
          <w:trHeight w:val="918"/>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86"/>
              </w:rPr>
              <w:t>F-54</w:t>
            </w: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780"/>
          </w:cols>
          <w:pgMar w:left="240" w:top="125" w:right="87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25"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Hughes Satellite Systems Corporation;</w:t>
      </w:r>
    </w:p>
    <w:p>
      <w:pPr>
        <w:spacing w:after="0" w:line="265" w:lineRule="exact"/>
        <w:rPr>
          <w:rFonts w:ascii="Arial" w:cs="Arial" w:eastAsia="Arial" w:hAnsi="Arial"/>
          <w:sz w:val="18"/>
          <w:szCs w:val="18"/>
          <w:color w:val="auto"/>
        </w:rPr>
      </w:pPr>
    </w:p>
    <w:p>
      <w:pPr>
        <w:ind w:right="440" w:firstLine="8"/>
        <w:spacing w:after="0" w:line="395" w:lineRule="auto"/>
        <w:tabs>
          <w:tab w:leader="none" w:pos="274"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640" w:firstLine="8"/>
        <w:spacing w:after="0" w:line="324" w:lineRule="auto"/>
        <w:tabs>
          <w:tab w:leader="none" w:pos="274"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280" w:hanging="272"/>
        <w:spacing w:after="0"/>
        <w:tabs>
          <w:tab w:leader="none" w:pos="2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680" w:hanging="348"/>
        <w:spacing w:after="0"/>
        <w:tabs>
          <w:tab w:leader="none" w:pos="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w:t>
      </w:r>
    </w:p>
    <w:p>
      <w:pPr>
        <w:spacing w:after="0" w:line="73"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680" w:hanging="348"/>
        <w:spacing w:after="0"/>
        <w:tabs>
          <w:tab w:leader="none" w:pos="6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40" w:hanging="328"/>
        <w:spacing w:after="0" w:line="357" w:lineRule="auto"/>
        <w:tabs>
          <w:tab w:leader="none" w:pos="696" w:val="left"/>
        </w:tabs>
        <w:numPr>
          <w:ilvl w:val="0"/>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680" w:hanging="348"/>
        <w:spacing w:after="0"/>
        <w:tabs>
          <w:tab w:leader="none" w:pos="6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w:t>
      </w:r>
    </w:p>
    <w:p>
      <w:pPr>
        <w:spacing w:after="0" w:line="73"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360" w:firstLine="8"/>
        <w:spacing w:after="0" w:line="357" w:lineRule="auto"/>
        <w:tabs>
          <w:tab w:leader="none" w:pos="274"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660" w:right="420" w:hanging="328"/>
        <w:spacing w:after="0" w:line="324" w:lineRule="auto"/>
        <w:tabs>
          <w:tab w:leader="none" w:pos="683"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right="20" w:hanging="328"/>
        <w:spacing w:after="0" w:line="324" w:lineRule="auto"/>
        <w:tabs>
          <w:tab w:leader="none" w:pos="693"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24, 2017</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Michael T.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President and Director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25"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Hughes Satellite Systems Corporation;</w:t>
      </w:r>
    </w:p>
    <w:p>
      <w:pPr>
        <w:spacing w:after="0" w:line="265" w:lineRule="exact"/>
        <w:rPr>
          <w:rFonts w:ascii="Arial" w:cs="Arial" w:eastAsia="Arial" w:hAnsi="Arial"/>
          <w:sz w:val="18"/>
          <w:szCs w:val="18"/>
          <w:color w:val="auto"/>
        </w:rPr>
      </w:pPr>
    </w:p>
    <w:p>
      <w:pPr>
        <w:ind w:right="440" w:firstLine="8"/>
        <w:spacing w:after="0" w:line="395" w:lineRule="auto"/>
        <w:tabs>
          <w:tab w:leader="none" w:pos="328"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580" w:firstLine="8"/>
        <w:spacing w:after="0" w:line="324"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w:t>
      </w:r>
    </w:p>
    <w:p>
      <w:pPr>
        <w:spacing w:after="0" w:line="73"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w:t>
      </w:r>
    </w:p>
    <w:p>
      <w:pPr>
        <w:spacing w:after="0" w:line="73"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120" w:hanging="328"/>
        <w:spacing w:after="0" w:line="357" w:lineRule="auto"/>
        <w:tabs>
          <w:tab w:leader="none" w:pos="615" w:val="left"/>
        </w:tabs>
        <w:numPr>
          <w:ilvl w:val="0"/>
          <w:numId w:val="5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600" w:hanging="268"/>
        <w:spacing w:after="0"/>
        <w:tabs>
          <w:tab w:leader="none" w:pos="6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w:t>
      </w:r>
    </w:p>
    <w:p>
      <w:pPr>
        <w:spacing w:after="0" w:line="73"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320" w:firstLine="8"/>
        <w:spacing w:after="0" w:line="357" w:lineRule="auto"/>
        <w:tabs>
          <w:tab w:leader="none" w:pos="328"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660" w:right="440" w:hanging="328"/>
        <w:spacing w:after="0" w:line="324" w:lineRule="auto"/>
        <w:tabs>
          <w:tab w:leader="none" w:pos="681"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right="20" w:hanging="328"/>
        <w:spacing w:after="0" w:line="324" w:lineRule="auto"/>
        <w:tabs>
          <w:tab w:leader="none" w:pos="691"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24, 2017</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David J. Rayner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Operating Officer and Treasurer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connection with the annual report for the year ended December 31, 2016 on Form 10-K (the “Annual Report”), of Hughes Satellite Systems Corporation (the “Company”) as filed with the Securities and Exchange Commission on the date hereof, we, Michael T. Dugan and David J. Rayner, Chief Executive Officer and Chief Financial Officer, respectively, of the Company, certify, pursuant to 18 U.S.C. Section 1350, as adopted pursuant section 906 of the Sarbanes-Oxley Act of 2002, that to the best of our knowledge:</w:t>
      </w:r>
    </w:p>
    <w:p>
      <w:pPr>
        <w:spacing w:after="0" w:line="187" w:lineRule="exact"/>
        <w:rPr>
          <w:sz w:val="20"/>
          <w:szCs w:val="20"/>
          <w:color w:val="auto"/>
        </w:rPr>
      </w:pPr>
    </w:p>
    <w:p>
      <w:pPr>
        <w:ind w:left="820" w:right="160" w:hanging="488"/>
        <w:spacing w:after="0" w:line="324" w:lineRule="auto"/>
        <w:tabs>
          <w:tab w:leader="none" w:pos="83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Annual Report fully complies with the requirements of Section 13(a) or Section 15(d), as applicable, of the Securities Exchange Act of 1934; and</w:t>
      </w:r>
    </w:p>
    <w:p>
      <w:pPr>
        <w:spacing w:after="0" w:line="129" w:lineRule="exact"/>
        <w:rPr>
          <w:rFonts w:ascii="Arial" w:cs="Arial" w:eastAsia="Arial" w:hAnsi="Arial"/>
          <w:sz w:val="18"/>
          <w:szCs w:val="18"/>
          <w:color w:val="auto"/>
        </w:rPr>
      </w:pPr>
    </w:p>
    <w:p>
      <w:pPr>
        <w:ind w:left="820" w:right="360" w:hanging="488"/>
        <w:spacing w:after="0" w:line="324" w:lineRule="auto"/>
        <w:tabs>
          <w:tab w:leader="none" w:pos="84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this Annual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24,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Arial" w:cs="Arial" w:eastAsia="Arial" w:hAnsi="Arial"/>
                <w:sz w:val="18"/>
                <w:szCs w:val="18"/>
                <w:i w:val="1"/>
                <w:iCs w:val="1"/>
                <w:color w:val="auto"/>
              </w:rPr>
              <w:t>/s/ Michael T. Dugan</w:t>
            </w:r>
          </w:p>
        </w:tc>
        <w:tc>
          <w:tcPr>
            <w:tcW w:w="0" w:type="dxa"/>
            <w:vAlign w:val="bottom"/>
          </w:tcPr>
          <w:p>
            <w:pPr>
              <w:spacing w:after="0"/>
              <w:rPr>
                <w:sz w:val="1"/>
                <w:szCs w:val="1"/>
                <w:color w:val="auto"/>
              </w:rPr>
            </w:pPr>
          </w:p>
        </w:tc>
      </w:tr>
      <w:tr>
        <w:trPr>
          <w:trHeight w:val="27"/>
        </w:trPr>
        <w:tc>
          <w:tcPr>
            <w:tcW w:w="12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vMerge w:val="continue"/>
          </w:tcPr>
          <w:p>
            <w:pPr>
              <w:spacing w:after="0"/>
              <w:rPr>
                <w:sz w:val="20"/>
                <w:szCs w:val="20"/>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Michael T. Dugan</w:t>
            </w:r>
          </w:p>
        </w:tc>
        <w:tc>
          <w:tcPr>
            <w:tcW w:w="0" w:type="dxa"/>
            <w:vAlign w:val="bottom"/>
          </w:tcPr>
          <w:p>
            <w:pPr>
              <w:spacing w:after="0"/>
              <w:rPr>
                <w:sz w:val="1"/>
                <w:szCs w:val="1"/>
                <w:color w:val="auto"/>
              </w:rPr>
            </w:pPr>
          </w:p>
        </w:tc>
      </w:tr>
      <w:tr>
        <w:trPr>
          <w:trHeight w:val="256"/>
        </w:trPr>
        <w:tc>
          <w:tcPr>
            <w:tcW w:w="12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r>
        <w:trPr>
          <w:trHeight w:val="810"/>
        </w:trPr>
        <w:tc>
          <w:tcPr>
            <w:tcW w:w="122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Arial" w:cs="Arial" w:eastAsia="Arial" w:hAnsi="Arial"/>
                <w:sz w:val="18"/>
                <w:szCs w:val="18"/>
                <w:i w:val="1"/>
                <w:iCs w:val="1"/>
                <w:color w:val="auto"/>
              </w:rPr>
              <w:t>/s/ David J. Rayner</w:t>
            </w:r>
          </w:p>
        </w:tc>
        <w:tc>
          <w:tcPr>
            <w:tcW w:w="0" w:type="dxa"/>
            <w:vAlign w:val="bottom"/>
          </w:tcPr>
          <w:p>
            <w:pPr>
              <w:spacing w:after="0"/>
              <w:rPr>
                <w:sz w:val="1"/>
                <w:szCs w:val="1"/>
                <w:color w:val="auto"/>
              </w:rPr>
            </w:pPr>
          </w:p>
        </w:tc>
      </w:tr>
      <w:tr>
        <w:trPr>
          <w:trHeight w:val="27"/>
        </w:trPr>
        <w:tc>
          <w:tcPr>
            <w:tcW w:w="12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vMerge w:val="continue"/>
          </w:tcPr>
          <w:p>
            <w:pPr>
              <w:spacing w:after="0"/>
              <w:rPr>
                <w:sz w:val="20"/>
                <w:szCs w:val="20"/>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David J. Rayner</w:t>
            </w:r>
          </w:p>
        </w:tc>
        <w:tc>
          <w:tcPr>
            <w:tcW w:w="0" w:type="dxa"/>
            <w:vAlign w:val="bottom"/>
          </w:tcPr>
          <w:p>
            <w:pPr>
              <w:spacing w:after="0"/>
              <w:rPr>
                <w:sz w:val="1"/>
                <w:szCs w:val="1"/>
                <w:color w:val="auto"/>
              </w:rPr>
            </w:pPr>
          </w:p>
        </w:tc>
      </w:tr>
      <w:tr>
        <w:trPr>
          <w:trHeight w:val="256"/>
        </w:trPr>
        <w:tc>
          <w:tcPr>
            <w:tcW w:w="12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40"/>
              <w:spacing w:after="0"/>
              <w:rPr>
                <w:sz w:val="20"/>
                <w:szCs w:val="20"/>
                <w:color w:val="auto"/>
              </w:rPr>
            </w:pPr>
            <w:r>
              <w:rPr>
                <w:rFonts w:ascii="Arial" w:cs="Arial" w:eastAsia="Arial" w:hAnsi="Arial"/>
                <w:sz w:val="18"/>
                <w:szCs w:val="18"/>
                <w:color w:val="auto"/>
              </w:rPr>
              <w:t>Executive Vice President, Chief Financial Officer, Chief</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Operating Officer and Treasurer</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3"/>
                <w:szCs w:val="23"/>
                <w:color w:val="auto"/>
              </w:rPr>
            </w:pPr>
          </w:p>
        </w:tc>
        <w:tc>
          <w:tcPr>
            <w:tcW w:w="456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Annual Report or as a separate disclosure document.</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Attributed Financial Information for Hughes Retail Group</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1, 2014, EchoStar Corporation (“EchoStar”) issued shares of its newly authorized Hughes Retail Preferred Tracking Stock (the “EchoStar Tracking Stock”) and Hughes Satellite Systems Corporation (“HSS”), a subsidiary of EchoStar, also issued shares of its newly authorized Hughes Retail Preferred Tracking Stock (the “HSS Tracking Stock” and together with the EchoStar Tracking Stock, the “Tracking Stock”) to certain subsidiaries of DISH Network Corporation.</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Tracking Stock is intended to reflect the separate performance of the Hughes Retail Group, which is comprised primarily of our business of providing satellite broadband internet services to residential retail subscribers, including the assets and liabilities primarily associated with the operation of the business; and the business operations, revenue, billings, operating and other direct and indirect support activities to provide services to the business and Hughes retail subscribers. The Hughes Retail Group also includes any proceeds associated with a sale or transfer of the Hughes Retail Group or any assets of the Hughes Retail Group, and any other assets acquired by or for the account of the Hughes Retail Group or otherwise attributed, contributed, allocated or transferred to the Hughes Retail Group from time to time. The HSSC Group is comprised of all existing and future businesses of Hughes Satellite Systems Corporation and its subsidiaries, excluding the Hughes Retail Group.</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Holders of the Tracking Stock are holders of capital stock of the issuer (EchoStar or HSS) and are subject to risks associated with an investment in the issuer and all of its businesses, assets and liabilities. The issuance of the Tracking Stock does not affect the rights of our creditors or the creditors of our subsidiaries.</w:t>
      </w:r>
    </w:p>
    <w:p>
      <w:pPr>
        <w:spacing w:after="0" w:line="181"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Notwithstanding the following attribution of assets, liabilities, revenue, expenses and cash flows to the Hughes Retail Group and the HSSC Group, our tracking stock structure does not affect the ownership of or the legal title to our assets or responsibility for our liabilities.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accompanying condensed attributed financial information as of December 31, 2016 and 2015 and for the years ended December 31, 2016, 2015 and 2014 are unaudited. The Company’s management is solely responsible for this financial information and believes that it has been prepared in conformity with accounting principles generally accepted in the United States.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following tables present our consolidated assets and liabilities as of December 31, 2016 and 2015 and our consolidated revenue, expenses and cash flows for the years ended December 31, 2016, 2015 and 2014. The tables further present our assets, liabilities, revenue, expenses and cash flows that are attributed to the Hughes Retail Group as if that business and its assets had been attributed to that group at the beginning of each period. The financial information in this Exhibit should be read in conjunction with our consolidated financial statements for the period ended December 31, 2016 included in our Annual Report on Form 10-K.</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January 31, 2017, EchoStar and certain of its subsidiaries entered into the Share Exchange Agreement. The Share Exchange Agreement provides, among other things, that EchoStar and its subsidiaries will receive all of the shares of the EchoStar Tracking Stock (as defined below) and HSS Tracking Stock (as defined below) in exchange for 100% of the equity interests of certain subsidiaries of EchoStar that will hold its EchoStar Technologies businesses. Following consummation of the Share Exchange, the EchoStar Tracking Stock and HSS Tracking Stock will be retired and all agreements, arrangements and policy statements with respect to, and terms of, such tracking stock will terminate and be of no further effect. For more information regarding the Share Exchange, See Note 18 in the notes to consolidated financial statements in Item 15 of our most recent Annual Report on Form 10-K.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00"/>
        <w:spacing w:after="0"/>
        <w:rPr>
          <w:sz w:val="20"/>
          <w:szCs w:val="20"/>
          <w:color w:val="auto"/>
        </w:rPr>
      </w:pPr>
      <w:r>
        <w:rPr>
          <w:rFonts w:ascii="Arial" w:cs="Arial" w:eastAsia="Arial" w:hAnsi="Arial"/>
          <w:sz w:val="13"/>
          <w:szCs w:val="13"/>
          <w:b w:val="1"/>
          <w:bCs w:val="1"/>
          <w:color w:val="auto"/>
        </w:rPr>
        <w:t>Assets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Current Assets: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2"/>
          <w:szCs w:val="12"/>
          <w:color w:val="auto"/>
        </w:rPr>
        <w:t>Cash, cash equivalents and marketable investment securities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Trade accounts receivable, net</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Trade accounts receivable - DISH Network, net</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Inventory</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Prepaids and deposits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Inter-group advances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Total current assets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Noncurrent Assets:</w:t>
      </w:r>
    </w:p>
    <w:p>
      <w:pPr>
        <w:spacing w:after="0" w:line="13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Restricted cash and cash equivalents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Property and equipment, net</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Regulatory authorizations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Goodwill</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Other intangible assets, net</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Economic interest in Hughes Retail Group</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Investments in unconsolidated entities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Deferred tax assets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Other noncurrent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Total noncurrent assets</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Total assets</w:t>
      </w:r>
    </w:p>
    <w:p>
      <w:pPr>
        <w:spacing w:after="0" w:line="144" w:lineRule="exact"/>
        <w:rPr>
          <w:sz w:val="20"/>
          <w:szCs w:val="20"/>
          <w:color w:val="auto"/>
        </w:rPr>
      </w:pPr>
    </w:p>
    <w:p>
      <w:pPr>
        <w:ind w:left="1040"/>
        <w:spacing w:after="0"/>
        <w:rPr>
          <w:sz w:val="20"/>
          <w:szCs w:val="20"/>
          <w:color w:val="auto"/>
        </w:rPr>
      </w:pPr>
      <w:r>
        <w:rPr>
          <w:rFonts w:ascii="Arial" w:cs="Arial" w:eastAsia="Arial" w:hAnsi="Arial"/>
          <w:sz w:val="13"/>
          <w:szCs w:val="13"/>
          <w:b w:val="1"/>
          <w:bCs w:val="1"/>
          <w:color w:val="auto"/>
        </w:rPr>
        <w:t>Liabilities and Stockholders’ Equity</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Current Liabilities: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Trade accounts payable</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Current portion of long-term debt and capital lease obligations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Deferred revenue and prepayments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Accrued interest</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Accrued compensation</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Advances from affiliates, net</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Inter-group advances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Accrued expenses and other</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Total current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Noncurrent Liabilities:</w:t>
      </w:r>
    </w:p>
    <w:p>
      <w:pPr>
        <w:spacing w:after="0" w:line="138" w:lineRule="exact"/>
        <w:rPr>
          <w:sz w:val="20"/>
          <w:szCs w:val="20"/>
          <w:color w:val="auto"/>
        </w:rPr>
      </w:pPr>
    </w:p>
    <w:p>
      <w:pPr>
        <w:ind w:left="140"/>
        <w:spacing w:after="0" w:line="237" w:lineRule="auto"/>
        <w:rPr>
          <w:sz w:val="20"/>
          <w:szCs w:val="20"/>
          <w:color w:val="auto"/>
        </w:rPr>
      </w:pPr>
      <w:r>
        <w:rPr>
          <w:rFonts w:ascii="Arial" w:cs="Arial" w:eastAsia="Arial" w:hAnsi="Arial"/>
          <w:sz w:val="13"/>
          <w:szCs w:val="13"/>
          <w:color w:val="auto"/>
        </w:rPr>
        <w:t>Long-term debt and capital lease obligations, net of unamortized debt issuance costs</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Deferred tax liabilities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Advances from affiliates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Other noncurrent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Total noncurrent liabilities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Total liabilities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Commitments and Contingencies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Shareholders’ Equity:</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Equity/ Attributed net assets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Noncontrolling interests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Total shareholders’ equity</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Total liabilities and equity/attributed net assets</w:t>
      </w:r>
    </w:p>
    <w:p>
      <w:pPr>
        <w:spacing w:after="0" w:line="20" w:lineRule="exact"/>
        <w:rPr>
          <w:sz w:val="20"/>
          <w:szCs w:val="20"/>
          <w:color w:val="auto"/>
        </w:rPr>
      </w:pPr>
      <w:r>
        <w:rPr>
          <w:sz w:val="20"/>
          <w:szCs w:val="20"/>
          <w:color w:val="auto"/>
        </w:rPr>
        <w:br w:type="column"/>
      </w:r>
    </w:p>
    <w:p>
      <w:pPr>
        <w:jc w:val="center"/>
        <w:ind w:right="4200"/>
        <w:spacing w:after="0"/>
        <w:rPr>
          <w:sz w:val="20"/>
          <w:szCs w:val="20"/>
          <w:color w:val="auto"/>
        </w:rPr>
      </w:pPr>
      <w:r>
        <w:rPr>
          <w:rFonts w:ascii="Arial" w:cs="Arial" w:eastAsia="Arial" w:hAnsi="Arial"/>
          <w:sz w:val="16"/>
          <w:szCs w:val="16"/>
          <w:b w:val="1"/>
          <w:bCs w:val="1"/>
          <w:color w:val="auto"/>
        </w:rPr>
        <w:t>Condensed Attributed Balance Sheets</w:t>
      </w:r>
    </w:p>
    <w:p>
      <w:pPr>
        <w:spacing w:after="0" w:line="50" w:lineRule="exact"/>
        <w:rPr>
          <w:sz w:val="20"/>
          <w:szCs w:val="20"/>
          <w:color w:val="auto"/>
        </w:rPr>
      </w:pPr>
    </w:p>
    <w:p>
      <w:pPr>
        <w:jc w:val="center"/>
        <w:ind w:right="4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4200"/>
        <w:spacing w:after="0"/>
        <w:rPr>
          <w:sz w:val="20"/>
          <w:szCs w:val="20"/>
          <w:color w:val="auto"/>
        </w:rPr>
      </w:pPr>
      <w:r>
        <w:rPr>
          <w:rFonts w:ascii="Arial" w:cs="Arial" w:eastAsia="Arial" w:hAnsi="Arial"/>
          <w:sz w:val="18"/>
          <w:szCs w:val="18"/>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jc w:val="center"/>
              <w:ind w:left="357"/>
              <w:spacing w:after="0"/>
              <w:rPr>
                <w:sz w:val="20"/>
                <w:szCs w:val="20"/>
                <w:color w:val="auto"/>
              </w:rPr>
            </w:pPr>
            <w:r>
              <w:rPr>
                <w:rFonts w:ascii="Arial" w:cs="Arial" w:eastAsia="Arial" w:hAnsi="Arial"/>
                <w:sz w:val="13"/>
                <w:szCs w:val="13"/>
                <w:b w:val="1"/>
                <w:bCs w:val="1"/>
                <w:color w:val="auto"/>
                <w:w w:val="90"/>
              </w:rPr>
              <w:t>Attributed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3"/>
              </w:rPr>
              <w:t>Attributed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74"/>
        </w:trPr>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3"/>
                <w:szCs w:val="13"/>
                <w:b w:val="1"/>
                <w:bCs w:val="1"/>
                <w:color w:val="auto"/>
                <w:w w:val="86"/>
              </w:rPr>
              <w:t>As of December 31, 2016</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3"/>
                <w:szCs w:val="13"/>
                <w:b w:val="1"/>
                <w:bCs w:val="1"/>
                <w:color w:val="auto"/>
                <w:w w:val="86"/>
              </w:rPr>
              <w:t>As of December 31, 2015</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44"/>
        </w:trPr>
        <w:tc>
          <w:tcPr>
            <w:tcW w:w="140" w:type="dxa"/>
            <w:vAlign w:val="bottom"/>
          </w:tcPr>
          <w:p>
            <w:pPr>
              <w:spacing w:after="0"/>
              <w:rPr>
                <w:sz w:val="12"/>
                <w:szCs w:val="12"/>
                <w:color w:val="auto"/>
              </w:rPr>
            </w:pPr>
          </w:p>
        </w:tc>
        <w:tc>
          <w:tcPr>
            <w:tcW w:w="8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Hughes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3"/>
              </w:rPr>
              <w:t>Hughes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5"/>
        </w:trPr>
        <w:tc>
          <w:tcPr>
            <w:tcW w:w="14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Retail</w:t>
            </w:r>
          </w:p>
        </w:tc>
        <w:tc>
          <w:tcPr>
            <w:tcW w:w="14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HSSC</w:t>
            </w:r>
          </w:p>
        </w:tc>
        <w:tc>
          <w:tcPr>
            <w:tcW w:w="92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Inter-Group</w:t>
            </w:r>
          </w:p>
        </w:tc>
        <w:tc>
          <w:tcPr>
            <w:tcW w:w="120" w:type="dxa"/>
            <w:vAlign w:val="bottom"/>
          </w:tcPr>
          <w:p>
            <w:pPr>
              <w:spacing w:after="0"/>
              <w:rPr>
                <w:sz w:val="11"/>
                <w:szCs w:val="11"/>
                <w:color w:val="auto"/>
              </w:rPr>
            </w:pPr>
          </w:p>
        </w:tc>
        <w:tc>
          <w:tcPr>
            <w:tcW w:w="76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HSS</w:t>
            </w: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Retail</w:t>
            </w:r>
          </w:p>
        </w:tc>
        <w:tc>
          <w:tcPr>
            <w:tcW w:w="120" w:type="dxa"/>
            <w:vAlign w:val="bottom"/>
          </w:tcPr>
          <w:p>
            <w:pPr>
              <w:spacing w:after="0"/>
              <w:rPr>
                <w:sz w:val="11"/>
                <w:szCs w:val="11"/>
                <w:color w:val="auto"/>
              </w:rPr>
            </w:pPr>
          </w:p>
        </w:tc>
        <w:tc>
          <w:tcPr>
            <w:tcW w:w="76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HSSC</w:t>
            </w:r>
          </w:p>
        </w:tc>
        <w:tc>
          <w:tcPr>
            <w:tcW w:w="9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Inter-Group</w:t>
            </w:r>
          </w:p>
        </w:tc>
        <w:tc>
          <w:tcPr>
            <w:tcW w:w="120" w:type="dxa"/>
            <w:vAlign w:val="bottom"/>
          </w:tcPr>
          <w:p>
            <w:pPr>
              <w:spacing w:after="0"/>
              <w:rPr>
                <w:sz w:val="11"/>
                <w:szCs w:val="11"/>
                <w:color w:val="auto"/>
              </w:rPr>
            </w:pPr>
          </w:p>
        </w:tc>
        <w:tc>
          <w:tcPr>
            <w:tcW w:w="66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HSS</w:t>
            </w:r>
          </w:p>
        </w:tc>
      </w:tr>
      <w:tr>
        <w:trPr>
          <w:trHeight w:val="174"/>
        </w:trPr>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2"/>
              </w:rPr>
              <w:t>Group</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Group</w:t>
            </w:r>
          </w:p>
        </w:tc>
        <w:tc>
          <w:tcPr>
            <w:tcW w:w="120" w:type="dxa"/>
            <w:vAlign w:val="bottom"/>
          </w:tcPr>
          <w:p>
            <w:pPr>
              <w:spacing w:after="0"/>
              <w:rPr>
                <w:sz w:val="15"/>
                <w:szCs w:val="15"/>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Eliminations</w:t>
            </w:r>
          </w:p>
        </w:tc>
        <w:tc>
          <w:tcPr>
            <w:tcW w:w="120" w:type="dxa"/>
            <w:vAlign w:val="bottom"/>
          </w:tcPr>
          <w:p>
            <w:pPr>
              <w:spacing w:after="0"/>
              <w:rPr>
                <w:sz w:val="15"/>
                <w:szCs w:val="15"/>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9"/>
              </w:rPr>
              <w:t>Consolidated</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Group</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Group</w:t>
            </w:r>
          </w:p>
        </w:tc>
        <w:tc>
          <w:tcPr>
            <w:tcW w:w="100" w:type="dxa"/>
            <w:vAlign w:val="bottom"/>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Eliminations</w:t>
            </w:r>
          </w:p>
        </w:tc>
        <w:tc>
          <w:tcPr>
            <w:tcW w:w="120" w:type="dxa"/>
            <w:vAlign w:val="bottom"/>
          </w:tcPr>
          <w:p>
            <w:pPr>
              <w:spacing w:after="0"/>
              <w:rPr>
                <w:sz w:val="15"/>
                <w:szCs w:val="15"/>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7"/>
              </w:rPr>
              <w:t>Consolidated</w:t>
            </w:r>
          </w:p>
        </w:tc>
      </w:tr>
      <w:tr>
        <w:trPr>
          <w:trHeight w:val="794"/>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w w:val="93"/>
              </w:rPr>
              <w:t>2,258,887</w:t>
            </w:r>
          </w:p>
        </w:tc>
        <w:tc>
          <w:tcPr>
            <w:tcW w:w="120" w:type="dxa"/>
            <w:vAlign w:val="bottom"/>
          </w:tcPr>
          <w:p>
            <w:pPr>
              <w:spacing w:after="0"/>
              <w:rPr>
                <w:sz w:val="24"/>
                <w:szCs w:val="2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2,258,887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636,333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636,333</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28,452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154,060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182,512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27,094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112,416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139,510</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19,323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19,323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21,258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21,258</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4,364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59,305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(1,031)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62,638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6,699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43,665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48,797</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34,018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34,505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990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37,232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38,222</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14,259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(14,259)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30,398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(30,398)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80"/>
        </w:trPr>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122,261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122,261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60,660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60,660</w:t>
            </w:r>
          </w:p>
        </w:tc>
      </w:tr>
      <w:tr>
        <w:trPr>
          <w:trHeight w:val="264"/>
        </w:trPr>
        <w:tc>
          <w:tcPr>
            <w:tcW w:w="1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47,562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93"/>
              </w:rPr>
              <w:t>2,647,854</w:t>
            </w: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(15,290)</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9"/>
              </w:rPr>
              <w:t>2,680,126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34,783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941,962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(31,965)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944,780</w:t>
            </w:r>
          </w:p>
        </w:tc>
      </w:tr>
      <w:tr>
        <w:trPr>
          <w:trHeight w:val="524"/>
        </w:trPr>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11,820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11,820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20,140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20,140</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143,496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w w:val="93"/>
              </w:rPr>
              <w:t>2,168,238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(17,008)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2,294,726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162,497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2,118,727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(15,822)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2,265,402</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471,658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471,658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471,658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471,658</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260,000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244,173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504,173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260,000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244,173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504,173</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15,402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65,332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80,734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31,488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83,932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115,420</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317,999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89"/>
              </w:rPr>
              <w:t>(317,999)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320,412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(320,412)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42,560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42,560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41,481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41,481</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39,407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9,150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(39,407)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9,150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19,685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3,816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(19,685)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3,816</w:t>
            </w:r>
          </w:p>
        </w:tc>
      </w:tr>
      <w:tr>
        <w:trPr>
          <w:trHeight w:val="280"/>
        </w:trPr>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31,477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255,577</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(467)</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286,587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35,277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169,799</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204,409</w:t>
            </w:r>
          </w:p>
        </w:tc>
      </w:tr>
      <w:tr>
        <w:trPr>
          <w:trHeight w:val="264"/>
        </w:trPr>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489,782</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3"/>
              </w:rPr>
              <w:t>3,586,507</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(374,881)</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9"/>
              </w:rPr>
              <w:t>3,701,408</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508,947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9"/>
              </w:rPr>
              <w:t>3,474,138</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(356,586)</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93"/>
              </w:rPr>
              <w:t>3,626,499</w:t>
            </w:r>
          </w:p>
        </w:tc>
      </w:tr>
      <w:tr>
        <w:trPr>
          <w:trHeight w:val="264"/>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537,344</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3"/>
              </w:rPr>
              <w:t>6,234,361</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(390,171)</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9"/>
              </w:rPr>
              <w:t>6,381,534</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543,730</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9"/>
              </w:rPr>
              <w:t>4,416,100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(388,551)</w:t>
            </w:r>
          </w:p>
        </w:tc>
        <w:tc>
          <w:tcPr>
            <w:tcW w:w="120" w:type="dxa"/>
            <w:vAlign w:val="bottom"/>
          </w:tcPr>
          <w:p>
            <w:pPr>
              <w:spacing w:after="0"/>
              <w:rPr>
                <w:sz w:val="22"/>
                <w:szCs w:val="22"/>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93"/>
              </w:rPr>
              <w:t>4,571,279</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781"/>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13,104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93,312</w:t>
            </w:r>
          </w:p>
        </w:tc>
        <w:tc>
          <w:tcPr>
            <w:tcW w:w="120" w:type="dxa"/>
            <w:vAlign w:val="bottom"/>
          </w:tcPr>
          <w:p>
            <w:pPr>
              <w:spacing w:after="0"/>
              <w:rPr>
                <w:sz w:val="24"/>
                <w:szCs w:val="2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106,416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12,023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85,644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97,667</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32,984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32,984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30,284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30,284</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30,291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29,698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59,989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26,636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30,857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57,493</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46,255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46,255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8,310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8,310</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33,457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33,457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31,932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31,932</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598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598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3,773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3,773</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14,259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(14,259)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30,398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(30,398)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80"/>
        </w:trPr>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46,192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34,420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80,612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26,399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57,102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83,501</w:t>
            </w:r>
          </w:p>
        </w:tc>
      </w:tr>
      <w:tr>
        <w:trPr>
          <w:trHeight w:val="264"/>
        </w:trPr>
        <w:tc>
          <w:tcPr>
            <w:tcW w:w="1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89,587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284,983</w:t>
            </w: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(14,259)</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360,311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95,456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247,902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(30,398)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312,960</w:t>
            </w:r>
          </w:p>
        </w:tc>
      </w:tr>
      <w:tr>
        <w:trPr>
          <w:trHeight w:val="578"/>
        </w:trPr>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w w:val="93"/>
              </w:rPr>
              <w:t>3,622,463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3,622,463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2,154,988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2,154,988</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567,869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(39,407)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528,462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472,035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(19,685)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452,350</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31,968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31,968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25,283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25,283</w:t>
            </w:r>
          </w:p>
        </w:tc>
      </w:tr>
      <w:tr>
        <w:trPr>
          <w:trHeight w:val="280"/>
        </w:trPr>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5,416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77,891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83,307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2,576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81,482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84,058</w:t>
            </w:r>
          </w:p>
        </w:tc>
      </w:tr>
      <w:tr>
        <w:trPr>
          <w:trHeight w:val="264"/>
        </w:trPr>
        <w:tc>
          <w:tcPr>
            <w:tcW w:w="1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5,416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93"/>
              </w:rPr>
              <w:t>4,300,191</w:t>
            </w: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(39,407)</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9"/>
              </w:rPr>
              <w:t>4,266,200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2,576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9"/>
              </w:rPr>
              <w:t>2,733,788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(19,685)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93"/>
              </w:rPr>
              <w:t>2,716,679</w:t>
            </w:r>
          </w:p>
        </w:tc>
      </w:tr>
      <w:tr>
        <w:trPr>
          <w:trHeight w:val="264"/>
        </w:trPr>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95,003</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3"/>
              </w:rPr>
              <w:t>4,585,174</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(53,666)</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9"/>
              </w:rPr>
              <w:t>4,626,511</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98,032</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9"/>
              </w:rPr>
              <w:t>2,981,690</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(50,083)</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93"/>
              </w:rPr>
              <w:t>3,029,639</w:t>
            </w:r>
          </w:p>
        </w:tc>
      </w:tr>
      <w:tr>
        <w:trPr>
          <w:trHeight w:val="794"/>
        </w:trPr>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442,341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w w:val="93"/>
              </w:rPr>
              <w:t>1,636,357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89"/>
              </w:rPr>
              <w:t>(336,505)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1,742,193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445,698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1,423,100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(338,468)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1,530,330</w:t>
            </w:r>
          </w:p>
        </w:tc>
      </w:tr>
      <w:tr>
        <w:trPr>
          <w:trHeight w:val="280"/>
        </w:trPr>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12,830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12,830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11,310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11,310</w:t>
            </w:r>
          </w:p>
        </w:tc>
      </w:tr>
      <w:tr>
        <w:trPr>
          <w:trHeight w:val="264"/>
        </w:trPr>
        <w:tc>
          <w:tcPr>
            <w:tcW w:w="1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442,341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93"/>
              </w:rPr>
              <w:t>1,649,187</w:t>
            </w: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9"/>
              </w:rPr>
              <w:t>(336,505)</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9"/>
              </w:rPr>
              <w:t>1,755,023</w:t>
            </w:r>
          </w:p>
        </w:tc>
        <w:tc>
          <w:tcPr>
            <w:tcW w:w="10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445,698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9"/>
              </w:rPr>
              <w:t>1,434,410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(338,468)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93"/>
              </w:rPr>
              <w:t>1,541,640</w:t>
            </w:r>
          </w:p>
        </w:tc>
      </w:tr>
      <w:tr>
        <w:trPr>
          <w:trHeight w:val="264"/>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537,344</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3"/>
              </w:rPr>
              <w:t>6,234,361</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(390,171)</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9"/>
              </w:rPr>
              <w:t>6,381,534</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543,730</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9"/>
              </w:rPr>
              <w:t>4,416,100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(388,551)</w:t>
            </w:r>
          </w:p>
        </w:tc>
        <w:tc>
          <w:tcPr>
            <w:tcW w:w="120" w:type="dxa"/>
            <w:vAlign w:val="bottom"/>
          </w:tcPr>
          <w:p>
            <w:pPr>
              <w:spacing w:after="0"/>
              <w:rPr>
                <w:sz w:val="22"/>
                <w:szCs w:val="22"/>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93"/>
              </w:rPr>
              <w:t>4,571,279</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-8077835</wp:posOffset>
            </wp:positionV>
            <wp:extent cx="7220585"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0585" cy="18034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-7726045</wp:posOffset>
            </wp:positionV>
            <wp:extent cx="722058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-7383145</wp:posOffset>
            </wp:positionV>
            <wp:extent cx="722058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-7040245</wp:posOffset>
            </wp:positionV>
            <wp:extent cx="722058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-6697345</wp:posOffset>
            </wp:positionV>
            <wp:extent cx="722058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-6345555</wp:posOffset>
            </wp:positionV>
            <wp:extent cx="7220585"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0585" cy="18034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-5993765</wp:posOffset>
            </wp:positionV>
            <wp:extent cx="722058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-5650865</wp:posOffset>
            </wp:positionV>
            <wp:extent cx="722058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-5307965</wp:posOffset>
            </wp:positionV>
            <wp:extent cx="722058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-4965065</wp:posOffset>
            </wp:positionV>
            <wp:extent cx="722058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-4621530</wp:posOffset>
            </wp:positionV>
            <wp:extent cx="7220585"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0585" cy="18034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-4253230</wp:posOffset>
            </wp:positionV>
            <wp:extent cx="7220585"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0585" cy="18859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-3892550</wp:posOffset>
            </wp:positionV>
            <wp:extent cx="722058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-3549650</wp:posOffset>
            </wp:positionV>
            <wp:extent cx="722058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-3206750</wp:posOffset>
            </wp:positionV>
            <wp:extent cx="722058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-2863850</wp:posOffset>
            </wp:positionV>
            <wp:extent cx="722058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-2520950</wp:posOffset>
            </wp:positionV>
            <wp:extent cx="7220585"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0585" cy="18034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-2160270</wp:posOffset>
            </wp:positionV>
            <wp:extent cx="7220585"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0585" cy="20574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-1783080</wp:posOffset>
            </wp:positionV>
            <wp:extent cx="722058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-1440180</wp:posOffset>
            </wp:positionV>
            <wp:extent cx="7220585"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0585" cy="18034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-1080135</wp:posOffset>
            </wp:positionV>
            <wp:extent cx="7220585"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0585" cy="18034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-728345</wp:posOffset>
            </wp:positionV>
            <wp:extent cx="722058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-385445</wp:posOffset>
            </wp:positionV>
            <wp:extent cx="7220585"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058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560"/>
            <w:col w:w="7140"/>
          </w:cols>
          <w:pgMar w:left="280" w:top="580" w:right="279" w:bottom="948"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40"/>
          </w:cols>
          <w:pgMar w:left="280" w:top="580" w:right="279" w:bottom="948" w:gutter="0" w:footer="0" w:header="0"/>
          <w:type w:val="continuous"/>
        </w:sectPr>
      </w:pPr>
    </w:p>
    <w:bookmarkStart w:id="108" w:name="page109"/>
    <w:bookmarkEnd w:id="108"/>
    <w:p>
      <w:pPr>
        <w:jc w:val="center"/>
        <w:ind w:right="20"/>
        <w:spacing w:after="0"/>
        <w:rPr>
          <w:sz w:val="20"/>
          <w:szCs w:val="20"/>
          <w:color w:val="auto"/>
        </w:rPr>
      </w:pPr>
      <w:r>
        <w:rPr>
          <w:rFonts w:ascii="Arial" w:cs="Arial" w:eastAsia="Arial" w:hAnsi="Arial"/>
          <w:sz w:val="18"/>
          <w:szCs w:val="18"/>
          <w:b w:val="1"/>
          <w:bCs w:val="1"/>
          <w:color w:val="auto"/>
        </w:rPr>
        <w:t>Condensed Attributed Statements of Operations</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2"/>
              </w:rPr>
              <w:t>Attributed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Attributed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Attributed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8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87"/>
              </w:rPr>
              <w:t>For the Year Ended December 31, 2016</w:t>
            </w:r>
          </w:p>
        </w:tc>
        <w:tc>
          <w:tcPr>
            <w:tcW w:w="100" w:type="dxa"/>
            <w:vAlign w:val="bottom"/>
          </w:tcPr>
          <w:p>
            <w:pPr>
              <w:spacing w:after="0"/>
              <w:rPr>
                <w:sz w:val="15"/>
                <w:szCs w:val="15"/>
                <w:color w:val="auto"/>
              </w:rPr>
            </w:pPr>
          </w:p>
        </w:tc>
        <w:tc>
          <w:tcPr>
            <w:tcW w:w="3240" w:type="dxa"/>
            <w:vAlign w:val="bottom"/>
            <w:gridSpan w:val="10"/>
          </w:tcPr>
          <w:p>
            <w:pPr>
              <w:jc w:val="center"/>
              <w:ind w:right="180"/>
              <w:spacing w:after="0"/>
              <w:rPr>
                <w:sz w:val="20"/>
                <w:szCs w:val="20"/>
                <w:color w:val="auto"/>
              </w:rPr>
            </w:pPr>
            <w:r>
              <w:rPr>
                <w:rFonts w:ascii="Arial" w:cs="Arial" w:eastAsia="Arial" w:hAnsi="Arial"/>
                <w:sz w:val="14"/>
                <w:szCs w:val="14"/>
                <w:b w:val="1"/>
                <w:bCs w:val="1"/>
                <w:color w:val="auto"/>
                <w:w w:val="87"/>
              </w:rPr>
              <w:t>For the Year Ended December 31, 2015</w:t>
            </w:r>
          </w:p>
        </w:tc>
        <w:tc>
          <w:tcPr>
            <w:tcW w:w="100" w:type="dxa"/>
            <w:vAlign w:val="bottom"/>
          </w:tcPr>
          <w:p>
            <w:pPr>
              <w:spacing w:after="0"/>
              <w:rPr>
                <w:sz w:val="15"/>
                <w:szCs w:val="15"/>
                <w:color w:val="auto"/>
              </w:rPr>
            </w:pPr>
          </w:p>
        </w:tc>
        <w:tc>
          <w:tcPr>
            <w:tcW w:w="3120" w:type="dxa"/>
            <w:vAlign w:val="bottom"/>
            <w:gridSpan w:val="9"/>
          </w:tcPr>
          <w:p>
            <w:pPr>
              <w:jc w:val="center"/>
              <w:ind w:right="32"/>
              <w:spacing w:after="0"/>
              <w:rPr>
                <w:sz w:val="20"/>
                <w:szCs w:val="20"/>
                <w:color w:val="auto"/>
              </w:rPr>
            </w:pPr>
            <w:r>
              <w:rPr>
                <w:rFonts w:ascii="Arial" w:cs="Arial" w:eastAsia="Arial" w:hAnsi="Arial"/>
                <w:sz w:val="14"/>
                <w:szCs w:val="14"/>
                <w:b w:val="1"/>
                <w:bCs w:val="1"/>
                <w:color w:val="auto"/>
                <w:w w:val="87"/>
              </w:rPr>
              <w:t>For the Year Ended December 31, 2014</w:t>
            </w:r>
          </w:p>
        </w:tc>
        <w:tc>
          <w:tcPr>
            <w:tcW w:w="0" w:type="dxa"/>
            <w:vAlign w:val="bottom"/>
          </w:tcPr>
          <w:p>
            <w:pPr>
              <w:spacing w:after="0"/>
              <w:rPr>
                <w:sz w:val="1"/>
                <w:szCs w:val="1"/>
                <w:color w:val="auto"/>
              </w:rPr>
            </w:pPr>
          </w:p>
        </w:tc>
      </w:tr>
      <w:tr>
        <w:trPr>
          <w:trHeight w:val="163"/>
        </w:trPr>
        <w:tc>
          <w:tcPr>
            <w:tcW w:w="1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5"/>
              </w:rPr>
              <w:t>Hughes</w:t>
            </w: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5"/>
              </w:rPr>
              <w:t>Hughes</w:t>
            </w: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5"/>
              </w:rPr>
              <w:t>Hughes</w:t>
            </w: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Retail</w:t>
            </w:r>
          </w:p>
        </w:tc>
        <w:tc>
          <w:tcPr>
            <w:tcW w:w="8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HSSC</w:t>
            </w:r>
          </w:p>
        </w:tc>
        <w:tc>
          <w:tcPr>
            <w:tcW w:w="9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Inter-Group</w:t>
            </w:r>
          </w:p>
        </w:tc>
        <w:tc>
          <w:tcPr>
            <w:tcW w:w="120" w:type="dxa"/>
            <w:vAlign w:val="bottom"/>
          </w:tcPr>
          <w:p>
            <w:pPr>
              <w:spacing w:after="0"/>
              <w:rPr>
                <w:sz w:val="12"/>
                <w:szCs w:val="12"/>
                <w:color w:val="auto"/>
              </w:rPr>
            </w:pPr>
          </w:p>
        </w:tc>
        <w:tc>
          <w:tcPr>
            <w:tcW w:w="7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HSS</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Retail</w:t>
            </w:r>
          </w:p>
        </w:tc>
        <w:tc>
          <w:tcPr>
            <w:tcW w:w="7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HSSC</w:t>
            </w:r>
          </w:p>
        </w:tc>
        <w:tc>
          <w:tcPr>
            <w:tcW w:w="9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Inter-Group</w:t>
            </w:r>
          </w:p>
        </w:tc>
        <w:tc>
          <w:tcPr>
            <w:tcW w:w="100" w:type="dxa"/>
            <w:vAlign w:val="bottom"/>
          </w:tcPr>
          <w:p>
            <w:pPr>
              <w:spacing w:after="0"/>
              <w:rPr>
                <w:sz w:val="12"/>
                <w:szCs w:val="12"/>
                <w:color w:val="auto"/>
              </w:rPr>
            </w:pPr>
          </w:p>
        </w:tc>
        <w:tc>
          <w:tcPr>
            <w:tcW w:w="8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HSS</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Retail</w:t>
            </w:r>
          </w:p>
        </w:tc>
        <w:tc>
          <w:tcPr>
            <w:tcW w:w="7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HSSC</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Inter-Group</w:t>
            </w:r>
          </w:p>
        </w:tc>
        <w:tc>
          <w:tcPr>
            <w:tcW w:w="120" w:type="dxa"/>
            <w:vAlign w:val="bottom"/>
          </w:tcPr>
          <w:p>
            <w:pPr>
              <w:spacing w:after="0"/>
              <w:rPr>
                <w:sz w:val="12"/>
                <w:szCs w:val="12"/>
                <w:color w:val="auto"/>
              </w:rPr>
            </w:pPr>
          </w:p>
        </w:tc>
        <w:tc>
          <w:tcPr>
            <w:tcW w:w="68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HSS</w:t>
            </w: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Group</w:t>
            </w: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Group</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100" w:type="dxa"/>
            <w:vAlign w:val="bottom"/>
          </w:tcPr>
          <w:p>
            <w:pPr>
              <w:spacing w:after="0"/>
              <w:rPr>
                <w:sz w:val="15"/>
                <w:szCs w:val="15"/>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Group</w:t>
            </w: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Group</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100" w:type="dxa"/>
            <w:vAlign w:val="bottom"/>
          </w:tcPr>
          <w:p>
            <w:pPr>
              <w:spacing w:after="0"/>
              <w:rPr>
                <w:sz w:val="15"/>
                <w:szCs w:val="15"/>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Group</w:t>
            </w: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Group</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w w:val="83"/>
              </w:rPr>
              <w:t>Consolidated</w:t>
            </w:r>
          </w:p>
        </w:tc>
        <w:tc>
          <w:tcPr>
            <w:tcW w:w="0" w:type="dxa"/>
            <w:vAlign w:val="bottom"/>
          </w:tcPr>
          <w:p>
            <w:pPr>
              <w:spacing w:after="0"/>
              <w:rPr>
                <w:sz w:val="1"/>
                <w:szCs w:val="1"/>
                <w:color w:val="auto"/>
              </w:rPr>
            </w:pPr>
          </w:p>
        </w:tc>
      </w:tr>
      <w:tr>
        <w:trPr>
          <w:trHeight w:val="175"/>
        </w:trPr>
        <w:tc>
          <w:tcPr>
            <w:tcW w:w="1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1320" w:type="dxa"/>
            <w:vAlign w:val="bottom"/>
          </w:tcPr>
          <w:p>
            <w:pPr>
              <w:ind w:left="160"/>
              <w:spacing w:after="0"/>
              <w:rPr>
                <w:sz w:val="20"/>
                <w:szCs w:val="20"/>
                <w:color w:val="auto"/>
              </w:rPr>
            </w:pPr>
            <w:r>
              <w:rPr>
                <w:rFonts w:ascii="Arial" w:cs="Arial" w:eastAsia="Arial" w:hAnsi="Arial"/>
                <w:sz w:val="14"/>
                <w:szCs w:val="14"/>
                <w:color w:val="auto"/>
              </w:rPr>
              <w:t>Services and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equipment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revenue -</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320" w:type="dxa"/>
            <w:vAlign w:val="bottom"/>
          </w:tcPr>
          <w:p>
            <w:pPr>
              <w:ind w:left="320"/>
              <w:spacing w:after="0"/>
              <w:rPr>
                <w:sz w:val="20"/>
                <w:szCs w:val="20"/>
                <w:color w:val="auto"/>
              </w:rPr>
            </w:pPr>
            <w:r>
              <w:rPr>
                <w:rFonts w:ascii="Arial" w:cs="Arial" w:eastAsia="Arial" w:hAnsi="Arial"/>
                <w:sz w:val="14"/>
                <w:szCs w:val="14"/>
                <w:color w:val="auto"/>
              </w:rPr>
              <w:t>DISH Network</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w w:val="89"/>
              </w:rPr>
              <w:t>$ 458,387</w:t>
            </w:r>
          </w:p>
        </w:tc>
        <w:tc>
          <w:tcPr>
            <w:tcW w:w="120" w:type="dxa"/>
            <w:vAlign w:val="bottom"/>
          </w:tcPr>
          <w:p>
            <w:pPr>
              <w:spacing w:after="0"/>
              <w:rPr>
                <w:sz w:val="15"/>
                <w:szCs w:val="15"/>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458,387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w w:val="83"/>
              </w:rPr>
              <w:t>$ 529,605</w:t>
            </w:r>
          </w:p>
        </w:tc>
        <w:tc>
          <w:tcPr>
            <w:tcW w:w="10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529,605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w w:val="86"/>
              </w:rPr>
              <w:t>$ 519,928</w:t>
            </w:r>
          </w:p>
        </w:tc>
        <w:tc>
          <w:tcPr>
            <w:tcW w:w="10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519,928</w:t>
            </w:r>
          </w:p>
        </w:tc>
        <w:tc>
          <w:tcPr>
            <w:tcW w:w="0" w:type="dxa"/>
            <w:vAlign w:val="bottom"/>
          </w:tcPr>
          <w:p>
            <w:pPr>
              <w:spacing w:after="0"/>
              <w:rPr>
                <w:sz w:val="1"/>
                <w:szCs w:val="1"/>
                <w:color w:val="auto"/>
              </w:rPr>
            </w:pPr>
          </w:p>
        </w:tc>
      </w:tr>
      <w:tr>
        <w:trPr>
          <w:trHeight w:val="172"/>
        </w:trPr>
        <w:tc>
          <w:tcPr>
            <w:tcW w:w="1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Services and</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equipment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revenue - other</w:t>
            </w: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90"/>
              </w:rPr>
              <w:t>641,360</w:t>
            </w:r>
          </w:p>
        </w:tc>
        <w:tc>
          <w:tcPr>
            <w:tcW w:w="12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89"/>
              </w:rPr>
              <w:t>1,026,733</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3"/>
              </w:rPr>
              <w:t>(326,687)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86"/>
              </w:rPr>
              <w:t>1,341,406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82"/>
              </w:rPr>
              <w:t>613,708</w:t>
            </w:r>
          </w:p>
        </w:tc>
        <w:tc>
          <w:tcPr>
            <w:tcW w:w="1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86"/>
              </w:rPr>
              <w:t>1,022,256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(328,437)</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89"/>
              </w:rPr>
              <w:t>1,307,527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82"/>
              </w:rPr>
              <w:t>562,495</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990,940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(265,386)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89"/>
              </w:rPr>
              <w:t>1,288,049</w:t>
            </w:r>
          </w:p>
        </w:tc>
        <w:tc>
          <w:tcPr>
            <w:tcW w:w="0" w:type="dxa"/>
            <w:vAlign w:val="bottom"/>
          </w:tcPr>
          <w:p>
            <w:pPr>
              <w:spacing w:after="0"/>
              <w:rPr>
                <w:sz w:val="1"/>
                <w:szCs w:val="1"/>
                <w:color w:val="auto"/>
              </w:rPr>
            </w:pPr>
          </w:p>
        </w:tc>
      </w:tr>
      <w:tr>
        <w:trPr>
          <w:trHeight w:val="169"/>
        </w:trPr>
        <w:tc>
          <w:tcPr>
            <w:tcW w:w="132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100" w:type="dxa"/>
            <w:vAlign w:val="bottom"/>
          </w:tcPr>
          <w:p>
            <w:pPr>
              <w:spacing w:after="0"/>
              <w:rPr>
                <w:sz w:val="14"/>
                <w:szCs w:val="14"/>
                <w:color w:val="auto"/>
              </w:rPr>
            </w:pPr>
          </w:p>
        </w:tc>
        <w:tc>
          <w:tcPr>
            <w:tcW w:w="600" w:type="dxa"/>
            <w:vAlign w:val="bottom"/>
            <w:vMerge w:val="restart"/>
          </w:tcPr>
          <w:p>
            <w:pPr>
              <w:jc w:val="right"/>
              <w:ind w:right="52"/>
              <w:spacing w:after="0"/>
              <w:rPr>
                <w:sz w:val="20"/>
                <w:szCs w:val="20"/>
                <w:color w:val="auto"/>
              </w:rPr>
            </w:pPr>
            <w:r>
              <w:rPr>
                <w:rFonts w:ascii="Arial" w:cs="Arial" w:eastAsia="Arial" w:hAnsi="Arial"/>
                <w:sz w:val="14"/>
                <w:szCs w:val="14"/>
                <w:color w:val="auto"/>
                <w:w w:val="90"/>
              </w:rPr>
              <w:t>641,360</w:t>
            </w:r>
          </w:p>
        </w:tc>
        <w:tc>
          <w:tcPr>
            <w:tcW w:w="120" w:type="dxa"/>
            <w:vAlign w:val="bottom"/>
          </w:tcPr>
          <w:p>
            <w:pPr>
              <w:spacing w:after="0"/>
              <w:rPr>
                <w:sz w:val="14"/>
                <w:szCs w:val="14"/>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4"/>
                <w:szCs w:val="14"/>
                <w:color w:val="auto"/>
                <w:w w:val="89"/>
              </w:rPr>
              <w:t>1,485,120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ind w:right="32"/>
              <w:spacing w:after="0"/>
              <w:rPr>
                <w:sz w:val="20"/>
                <w:szCs w:val="20"/>
                <w:color w:val="auto"/>
              </w:rPr>
            </w:pPr>
            <w:r>
              <w:rPr>
                <w:rFonts w:ascii="Arial" w:cs="Arial" w:eastAsia="Arial" w:hAnsi="Arial"/>
                <w:sz w:val="14"/>
                <w:szCs w:val="14"/>
                <w:color w:val="auto"/>
                <w:w w:val="93"/>
              </w:rPr>
              <w:t>(326,687)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ind w:right="52"/>
              <w:spacing w:after="0"/>
              <w:rPr>
                <w:sz w:val="20"/>
                <w:szCs w:val="20"/>
                <w:color w:val="auto"/>
              </w:rPr>
            </w:pPr>
            <w:r>
              <w:rPr>
                <w:rFonts w:ascii="Arial" w:cs="Arial" w:eastAsia="Arial" w:hAnsi="Arial"/>
                <w:sz w:val="14"/>
                <w:szCs w:val="14"/>
                <w:color w:val="auto"/>
                <w:w w:val="86"/>
              </w:rPr>
              <w:t>1,799,793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52"/>
              <w:spacing w:after="0"/>
              <w:rPr>
                <w:sz w:val="20"/>
                <w:szCs w:val="20"/>
                <w:color w:val="auto"/>
              </w:rPr>
            </w:pPr>
            <w:r>
              <w:rPr>
                <w:rFonts w:ascii="Arial" w:cs="Arial" w:eastAsia="Arial" w:hAnsi="Arial"/>
                <w:sz w:val="14"/>
                <w:szCs w:val="14"/>
                <w:color w:val="auto"/>
                <w:w w:val="82"/>
              </w:rPr>
              <w:t>613,708</w:t>
            </w:r>
          </w:p>
        </w:tc>
        <w:tc>
          <w:tcPr>
            <w:tcW w:w="120" w:type="dxa"/>
            <w:vAlign w:val="bottom"/>
          </w:tcPr>
          <w:p>
            <w:pPr>
              <w:spacing w:after="0"/>
              <w:rPr>
                <w:sz w:val="14"/>
                <w:szCs w:val="14"/>
                <w:color w:val="auto"/>
              </w:rPr>
            </w:pPr>
          </w:p>
        </w:tc>
        <w:tc>
          <w:tcPr>
            <w:tcW w:w="660" w:type="dxa"/>
            <w:vAlign w:val="bottom"/>
            <w:vMerge w:val="restart"/>
          </w:tcPr>
          <w:p>
            <w:pPr>
              <w:jc w:val="right"/>
              <w:ind w:right="32"/>
              <w:spacing w:after="0"/>
              <w:rPr>
                <w:sz w:val="20"/>
                <w:szCs w:val="20"/>
                <w:color w:val="auto"/>
              </w:rPr>
            </w:pPr>
            <w:r>
              <w:rPr>
                <w:rFonts w:ascii="Arial" w:cs="Arial" w:eastAsia="Arial" w:hAnsi="Arial"/>
                <w:sz w:val="14"/>
                <w:szCs w:val="14"/>
                <w:color w:val="auto"/>
                <w:w w:val="86"/>
              </w:rPr>
              <w:t>1,551,861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93"/>
              </w:rPr>
              <w:t>(328,437)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4"/>
                <w:szCs w:val="14"/>
                <w:color w:val="auto"/>
                <w:w w:val="89"/>
              </w:rPr>
              <w:t>1,837,132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52"/>
              <w:spacing w:after="0"/>
              <w:rPr>
                <w:sz w:val="20"/>
                <w:szCs w:val="20"/>
                <w:color w:val="auto"/>
              </w:rPr>
            </w:pPr>
            <w:r>
              <w:rPr>
                <w:rFonts w:ascii="Arial" w:cs="Arial" w:eastAsia="Arial" w:hAnsi="Arial"/>
                <w:sz w:val="14"/>
                <w:szCs w:val="14"/>
                <w:color w:val="auto"/>
                <w:w w:val="82"/>
              </w:rPr>
              <w:t>562,495</w:t>
            </w:r>
          </w:p>
        </w:tc>
        <w:tc>
          <w:tcPr>
            <w:tcW w:w="100" w:type="dxa"/>
            <w:vAlign w:val="bottom"/>
          </w:tcPr>
          <w:p>
            <w:pPr>
              <w:spacing w:after="0"/>
              <w:rPr>
                <w:sz w:val="14"/>
                <w:szCs w:val="14"/>
                <w:color w:val="auto"/>
              </w:rPr>
            </w:pPr>
          </w:p>
        </w:tc>
        <w:tc>
          <w:tcPr>
            <w:tcW w:w="680" w:type="dxa"/>
            <w:vAlign w:val="bottom"/>
            <w:vMerge w:val="restart"/>
          </w:tcPr>
          <w:p>
            <w:pPr>
              <w:jc w:val="right"/>
              <w:ind w:right="52"/>
              <w:spacing w:after="0"/>
              <w:rPr>
                <w:sz w:val="20"/>
                <w:szCs w:val="20"/>
                <w:color w:val="auto"/>
              </w:rPr>
            </w:pPr>
            <w:r>
              <w:rPr>
                <w:rFonts w:ascii="Arial" w:cs="Arial" w:eastAsia="Arial" w:hAnsi="Arial"/>
                <w:sz w:val="14"/>
                <w:szCs w:val="14"/>
                <w:color w:val="auto"/>
                <w:w w:val="86"/>
              </w:rPr>
              <w:t>1,510,868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93"/>
              </w:rPr>
              <w:t>(265,386)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ind w:right="32"/>
              <w:spacing w:after="0"/>
              <w:rPr>
                <w:sz w:val="20"/>
                <w:szCs w:val="20"/>
                <w:color w:val="auto"/>
              </w:rPr>
            </w:pPr>
            <w:r>
              <w:rPr>
                <w:rFonts w:ascii="Arial" w:cs="Arial" w:eastAsia="Arial" w:hAnsi="Arial"/>
                <w:sz w:val="14"/>
                <w:szCs w:val="14"/>
                <w:color w:val="auto"/>
                <w:w w:val="89"/>
              </w:rPr>
              <w:t>1,807,977</w:t>
            </w:r>
          </w:p>
        </w:tc>
        <w:tc>
          <w:tcPr>
            <w:tcW w:w="0" w:type="dxa"/>
            <w:vAlign w:val="bottom"/>
          </w:tcPr>
          <w:p>
            <w:pPr>
              <w:spacing w:after="0"/>
              <w:rPr>
                <w:sz w:val="1"/>
                <w:szCs w:val="1"/>
                <w:color w:val="auto"/>
              </w:rPr>
            </w:pPr>
          </w:p>
        </w:tc>
      </w:tr>
      <w:tr>
        <w:trPr>
          <w:trHeight w:val="75"/>
        </w:trPr>
        <w:tc>
          <w:tcPr>
            <w:tcW w:w="13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Costs and</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320" w:type="dxa"/>
            <w:vAlign w:val="bottom"/>
          </w:tcPr>
          <w:p>
            <w:pPr>
              <w:ind w:left="160"/>
              <w:spacing w:after="0"/>
              <w:rPr>
                <w:sz w:val="20"/>
                <w:szCs w:val="20"/>
                <w:color w:val="auto"/>
              </w:rPr>
            </w:pPr>
            <w:r>
              <w:rPr>
                <w:rFonts w:ascii="Arial" w:cs="Arial" w:eastAsia="Arial" w:hAnsi="Arial"/>
                <w:sz w:val="14"/>
                <w:szCs w:val="14"/>
                <w:color w:val="auto"/>
              </w:rPr>
              <w:t>Cost of sales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(exclusive of</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and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320" w:type="dxa"/>
            <w:vAlign w:val="bottom"/>
          </w:tcPr>
          <w:p>
            <w:pPr>
              <w:ind w:left="320"/>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5"/>
                <w:szCs w:val="15"/>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color w:val="auto"/>
                <w:w w:val="90"/>
              </w:rPr>
              <w:t>372,625</w:t>
            </w:r>
          </w:p>
        </w:tc>
        <w:tc>
          <w:tcPr>
            <w:tcW w:w="12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668,054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w w:val="93"/>
              </w:rPr>
              <w:t>(317,969)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722,710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w w:val="82"/>
              </w:rPr>
              <w:t>360,947</w:t>
            </w:r>
          </w:p>
        </w:tc>
        <w:tc>
          <w:tcPr>
            <w:tcW w:w="12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675,888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(315,827)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721,008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w w:val="82"/>
              </w:rPr>
              <w:t>320,127</w:t>
            </w:r>
          </w:p>
        </w:tc>
        <w:tc>
          <w:tcPr>
            <w:tcW w:w="10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677,946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(253,133)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744,940</w:t>
            </w:r>
          </w:p>
        </w:tc>
        <w:tc>
          <w:tcPr>
            <w:tcW w:w="0" w:type="dxa"/>
            <w:vAlign w:val="bottom"/>
          </w:tcPr>
          <w:p>
            <w:pPr>
              <w:spacing w:after="0"/>
              <w:rPr>
                <w:sz w:val="1"/>
                <w:szCs w:val="1"/>
                <w:color w:val="auto"/>
              </w:rPr>
            </w:pPr>
          </w:p>
        </w:tc>
      </w:tr>
      <w:tr>
        <w:trPr>
          <w:trHeight w:val="172"/>
        </w:trPr>
        <w:tc>
          <w:tcPr>
            <w:tcW w:w="1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Selling, general</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and</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administrative</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expenses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0"/>
              </w:rPr>
              <w:t>142,130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138,918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281,048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82"/>
              </w:rPr>
              <w:t>146,163</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130,453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276,616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82"/>
              </w:rPr>
              <w:t>143,987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120,623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264,610</w:t>
            </w:r>
          </w:p>
        </w:tc>
        <w:tc>
          <w:tcPr>
            <w:tcW w:w="0" w:type="dxa"/>
            <w:vAlign w:val="bottom"/>
          </w:tcPr>
          <w:p>
            <w:pPr>
              <w:spacing w:after="0"/>
              <w:rPr>
                <w:sz w:val="1"/>
                <w:szCs w:val="1"/>
                <w:color w:val="auto"/>
              </w:rPr>
            </w:pPr>
          </w:p>
        </w:tc>
      </w:tr>
      <w:tr>
        <w:trPr>
          <w:trHeight w:val="165"/>
        </w:trPr>
        <w:tc>
          <w:tcPr>
            <w:tcW w:w="1320" w:type="dxa"/>
            <w:vAlign w:val="bottom"/>
          </w:tcPr>
          <w:p>
            <w:pPr>
              <w:ind w:left="160"/>
              <w:spacing w:after="0"/>
              <w:rPr>
                <w:sz w:val="20"/>
                <w:szCs w:val="20"/>
                <w:color w:val="auto"/>
              </w:rPr>
            </w:pPr>
            <w:r>
              <w:rPr>
                <w:rFonts w:ascii="Arial" w:cs="Arial" w:eastAsia="Arial" w:hAnsi="Arial"/>
                <w:sz w:val="14"/>
                <w:szCs w:val="14"/>
                <w:color w:val="auto"/>
              </w:rPr>
              <w:t>Research and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160"/>
              <w:spacing w:after="0" w:line="149" w:lineRule="exact"/>
              <w:rPr>
                <w:sz w:val="20"/>
                <w:szCs w:val="20"/>
                <w:color w:val="auto"/>
              </w:rPr>
            </w:pPr>
            <w:r>
              <w:rPr>
                <w:rFonts w:ascii="Arial" w:cs="Arial" w:eastAsia="Arial" w:hAnsi="Arial"/>
                <w:sz w:val="14"/>
                <w:szCs w:val="14"/>
                <w:color w:val="auto"/>
              </w:rPr>
              <w:t>development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320" w:type="dxa"/>
            <w:vAlign w:val="bottom"/>
          </w:tcPr>
          <w:p>
            <w:pPr>
              <w:ind w:left="160"/>
              <w:spacing w:after="0"/>
              <w:rPr>
                <w:sz w:val="20"/>
                <w:szCs w:val="20"/>
                <w:color w:val="auto"/>
              </w:rPr>
            </w:pPr>
            <w:r>
              <w:rPr>
                <w:rFonts w:ascii="Arial" w:cs="Arial" w:eastAsia="Arial" w:hAnsi="Arial"/>
                <w:sz w:val="14"/>
                <w:szCs w:val="14"/>
                <w:color w:val="auto"/>
              </w:rPr>
              <w:t>expenses</w:t>
            </w:r>
          </w:p>
        </w:tc>
        <w:tc>
          <w:tcPr>
            <w:tcW w:w="1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31,170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31,170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26,377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26,377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19,314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20,192</w:t>
            </w:r>
          </w:p>
        </w:tc>
        <w:tc>
          <w:tcPr>
            <w:tcW w:w="0" w:type="dxa"/>
            <w:vAlign w:val="bottom"/>
          </w:tcPr>
          <w:p>
            <w:pPr>
              <w:spacing w:after="0"/>
              <w:rPr>
                <w:sz w:val="1"/>
                <w:szCs w:val="1"/>
                <w:color w:val="auto"/>
              </w:rPr>
            </w:pPr>
          </w:p>
        </w:tc>
      </w:tr>
      <w:tr>
        <w:trPr>
          <w:trHeight w:val="172"/>
        </w:trPr>
        <w:tc>
          <w:tcPr>
            <w:tcW w:w="1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Depreciation and</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amortization</w:t>
            </w: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90"/>
              </w:rPr>
              <w:t>132,122</w:t>
            </w:r>
          </w:p>
        </w:tc>
        <w:tc>
          <w:tcPr>
            <w:tcW w:w="12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290,279</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(8,268)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414,133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82"/>
              </w:rPr>
              <w:t>139,443</w:t>
            </w:r>
          </w:p>
        </w:tc>
        <w:tc>
          <w:tcPr>
            <w:tcW w:w="1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296,138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(5,454)</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430,127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82"/>
              </w:rPr>
              <w:t>134,952</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318,538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452,138</w:t>
            </w:r>
          </w:p>
        </w:tc>
        <w:tc>
          <w:tcPr>
            <w:tcW w:w="0" w:type="dxa"/>
            <w:vAlign w:val="bottom"/>
          </w:tcPr>
          <w:p>
            <w:pPr>
              <w:spacing w:after="0"/>
              <w:rPr>
                <w:sz w:val="1"/>
                <w:szCs w:val="1"/>
                <w:color w:val="auto"/>
              </w:rPr>
            </w:pPr>
          </w:p>
        </w:tc>
      </w:tr>
      <w:tr>
        <w:trPr>
          <w:trHeight w:val="145"/>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Total costs and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expenses</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0"/>
              </w:rPr>
              <w:t>646,877</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89"/>
              </w:rPr>
              <w:t>1,128,421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3"/>
              </w:rPr>
              <w:t>(326,237)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86"/>
              </w:rPr>
              <w:t>1,449,061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82"/>
              </w:rPr>
              <w:t>646,553</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86"/>
              </w:rPr>
              <w:t>1,128,856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(321,281)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89"/>
              </w:rPr>
              <w:t>1,454,128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82"/>
              </w:rPr>
              <w:t>599,944</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86"/>
              </w:rPr>
              <w:t>1,136,421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(254,485)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89"/>
              </w:rPr>
              <w:t>1,481,880</w:t>
            </w:r>
          </w:p>
        </w:tc>
        <w:tc>
          <w:tcPr>
            <w:tcW w:w="0" w:type="dxa"/>
            <w:vAlign w:val="bottom"/>
          </w:tcPr>
          <w:p>
            <w:pPr>
              <w:spacing w:after="0"/>
              <w:rPr>
                <w:sz w:val="1"/>
                <w:szCs w:val="1"/>
                <w:color w:val="auto"/>
              </w:rPr>
            </w:pPr>
          </w:p>
        </w:tc>
      </w:tr>
      <w:tr>
        <w:trPr>
          <w:trHeight w:val="151"/>
        </w:trPr>
        <w:tc>
          <w:tcPr>
            <w:tcW w:w="132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w:t>
            </w: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(5,517)</w:t>
            </w:r>
          </w:p>
        </w:tc>
        <w:tc>
          <w:tcPr>
            <w:tcW w:w="12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356,699</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350,732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(32,845)</w:t>
            </w:r>
          </w:p>
        </w:tc>
        <w:tc>
          <w:tcPr>
            <w:tcW w:w="1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423,005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(7,156)</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383,004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(37,449)</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374,447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(10,901)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326,097</w:t>
            </w:r>
          </w:p>
        </w:tc>
        <w:tc>
          <w:tcPr>
            <w:tcW w:w="0" w:type="dxa"/>
            <w:vAlign w:val="bottom"/>
          </w:tcPr>
          <w:p>
            <w:pPr>
              <w:spacing w:after="0"/>
              <w:rPr>
                <w:sz w:val="1"/>
                <w:szCs w:val="1"/>
                <w:color w:val="auto"/>
              </w:rPr>
            </w:pPr>
          </w:p>
        </w:tc>
      </w:tr>
      <w:tr>
        <w:trPr>
          <w:trHeight w:val="143"/>
        </w:trPr>
        <w:tc>
          <w:tcPr>
            <w:tcW w:w="1320" w:type="dxa"/>
            <w:vAlign w:val="bottom"/>
          </w:tcPr>
          <w:p>
            <w:pPr>
              <w:ind w:left="20"/>
              <w:spacing w:after="0" w:line="143" w:lineRule="exact"/>
              <w:rPr>
                <w:sz w:val="20"/>
                <w:szCs w:val="20"/>
                <w:color w:val="auto"/>
              </w:rPr>
            </w:pPr>
            <w:r>
              <w:rPr>
                <w:rFonts w:ascii="Arial" w:cs="Arial" w:eastAsia="Arial" w:hAnsi="Arial"/>
                <w:sz w:val="14"/>
                <w:szCs w:val="14"/>
                <w:b w:val="1"/>
                <w:bCs w:val="1"/>
                <w:color w:val="auto"/>
              </w:rPr>
              <w:t>Other Income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12,636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12,598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4,569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4,416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3,279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3,234</w:t>
            </w:r>
          </w:p>
        </w:tc>
        <w:tc>
          <w:tcPr>
            <w:tcW w:w="0" w:type="dxa"/>
            <w:vAlign w:val="bottom"/>
          </w:tcPr>
          <w:p>
            <w:pPr>
              <w:spacing w:after="0"/>
              <w:rPr>
                <w:sz w:val="1"/>
                <w:szCs w:val="1"/>
                <w:color w:val="auto"/>
              </w:rPr>
            </w:pPr>
          </w:p>
        </w:tc>
      </w:tr>
      <w:tr>
        <w:trPr>
          <w:trHeight w:val="82"/>
        </w:trPr>
        <w:tc>
          <w:tcPr>
            <w:tcW w:w="1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gridSpan w:val="2"/>
            <w:vMerge w:val="continue"/>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320" w:type="dxa"/>
            <w:vAlign w:val="bottom"/>
          </w:tcPr>
          <w:p>
            <w:pPr>
              <w:ind w:left="160"/>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net of amounts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320" w:type="dxa"/>
            <w:vAlign w:val="bottom"/>
          </w:tcPr>
          <w:p>
            <w:pPr>
              <w:ind w:left="320"/>
              <w:spacing w:after="0"/>
              <w:rPr>
                <w:sz w:val="20"/>
                <w:szCs w:val="20"/>
                <w:color w:val="auto"/>
              </w:rPr>
            </w:pPr>
            <w:r>
              <w:rPr>
                <w:rFonts w:ascii="Arial" w:cs="Arial" w:eastAsia="Arial" w:hAnsi="Arial"/>
                <w:sz w:val="14"/>
                <w:szCs w:val="14"/>
                <w:color w:val="auto"/>
              </w:rPr>
              <w:t>capitalized</w:t>
            </w:r>
          </w:p>
        </w:tc>
        <w:tc>
          <w:tcPr>
            <w:tcW w:w="100" w:type="dxa"/>
            <w:vAlign w:val="bottom"/>
          </w:tcPr>
          <w:p>
            <w:pPr>
              <w:spacing w:after="0"/>
              <w:rPr>
                <w:sz w:val="15"/>
                <w:szCs w:val="15"/>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5"/>
                <w:szCs w:val="15"/>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(187,198)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w w:val="96"/>
              </w:rPr>
              <w:t>(187,198)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5"/>
                <w:szCs w:val="15"/>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w w:val="93"/>
              </w:rPr>
              <w:t>(169,150)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(169,150)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w w:val="96"/>
              </w:rPr>
              <w:t>(191,259)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(191,258)</w:t>
            </w:r>
          </w:p>
        </w:tc>
        <w:tc>
          <w:tcPr>
            <w:tcW w:w="0" w:type="dxa"/>
            <w:vAlign w:val="bottom"/>
          </w:tcPr>
          <w:p>
            <w:pPr>
              <w:spacing w:after="0"/>
              <w:rPr>
                <w:sz w:val="1"/>
                <w:szCs w:val="1"/>
                <w:color w:val="auto"/>
              </w:rPr>
            </w:pPr>
          </w:p>
        </w:tc>
      </w:tr>
      <w:tr>
        <w:trPr>
          <w:trHeight w:val="172"/>
        </w:trPr>
        <w:tc>
          <w:tcPr>
            <w:tcW w:w="1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Loss from partial</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redemption of</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debt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(5,044)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(5,044)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320" w:type="dxa"/>
            <w:vAlign w:val="bottom"/>
          </w:tcPr>
          <w:p>
            <w:pPr>
              <w:ind w:left="160"/>
              <w:spacing w:after="0"/>
              <w:rPr>
                <w:sz w:val="20"/>
                <w:szCs w:val="20"/>
                <w:color w:val="auto"/>
              </w:rPr>
            </w:pPr>
            <w:r>
              <w:rPr>
                <w:rFonts w:ascii="Arial" w:cs="Arial" w:eastAsia="Arial" w:hAnsi="Arial"/>
                <w:sz w:val="14"/>
                <w:szCs w:val="14"/>
                <w:color w:val="auto"/>
              </w:rPr>
              <w:t>Other-than-</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temporary</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impairment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loss on</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available-for-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320" w:type="dxa"/>
            <w:vAlign w:val="bottom"/>
          </w:tcPr>
          <w:p>
            <w:pPr>
              <w:ind w:left="320"/>
              <w:spacing w:after="0"/>
              <w:rPr>
                <w:sz w:val="20"/>
                <w:szCs w:val="20"/>
                <w:color w:val="auto"/>
              </w:rPr>
            </w:pPr>
            <w:r>
              <w:rPr>
                <w:rFonts w:ascii="Arial" w:cs="Arial" w:eastAsia="Arial" w:hAnsi="Arial"/>
                <w:sz w:val="14"/>
                <w:szCs w:val="14"/>
                <w:color w:val="auto"/>
              </w:rPr>
              <w:t>sale securities</w:t>
            </w:r>
          </w:p>
        </w:tc>
        <w:tc>
          <w:tcPr>
            <w:tcW w:w="1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(6,139)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(6,139)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Gains (losses) on</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marketable</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investment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securities, net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6,995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6,995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(6,463)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(6,463)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5"/>
        </w:trPr>
        <w:tc>
          <w:tcPr>
            <w:tcW w:w="1320" w:type="dxa"/>
            <w:vAlign w:val="bottom"/>
          </w:tcPr>
          <w:p>
            <w:pPr>
              <w:ind w:left="160"/>
              <w:spacing w:after="0"/>
              <w:rPr>
                <w:sz w:val="20"/>
                <w:szCs w:val="20"/>
                <w:color w:val="auto"/>
              </w:rPr>
            </w:pPr>
            <w:r>
              <w:rPr>
                <w:rFonts w:ascii="Arial" w:cs="Arial" w:eastAsia="Arial" w:hAnsi="Arial"/>
                <w:sz w:val="14"/>
                <w:szCs w:val="14"/>
                <w:color w:val="auto"/>
              </w:rPr>
              <w:t>Equity in earnings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of</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unconsolidated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320" w:type="dxa"/>
            <w:vAlign w:val="bottom"/>
          </w:tcPr>
          <w:p>
            <w:pPr>
              <w:ind w:left="320"/>
              <w:spacing w:after="0"/>
              <w:rPr>
                <w:sz w:val="20"/>
                <w:szCs w:val="20"/>
                <w:color w:val="auto"/>
              </w:rPr>
            </w:pPr>
            <w:r>
              <w:rPr>
                <w:rFonts w:ascii="Arial" w:cs="Arial" w:eastAsia="Arial" w:hAnsi="Arial"/>
                <w:sz w:val="14"/>
                <w:szCs w:val="14"/>
                <w:color w:val="auto"/>
              </w:rPr>
              <w:t>affiliate</w:t>
            </w:r>
          </w:p>
        </w:tc>
        <w:tc>
          <w:tcPr>
            <w:tcW w:w="1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9,444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9,444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8,502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8,502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5,121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5,121</w:t>
            </w:r>
          </w:p>
        </w:tc>
        <w:tc>
          <w:tcPr>
            <w:tcW w:w="0" w:type="dxa"/>
            <w:vAlign w:val="bottom"/>
          </w:tcPr>
          <w:p>
            <w:pPr>
              <w:spacing w:after="0"/>
              <w:rPr>
                <w:sz w:val="1"/>
                <w:szCs w:val="1"/>
                <w:color w:val="auto"/>
              </w:rPr>
            </w:pPr>
          </w:p>
        </w:tc>
      </w:tr>
      <w:tr>
        <w:trPr>
          <w:trHeight w:val="172"/>
        </w:trPr>
        <w:tc>
          <w:tcPr>
            <w:tcW w:w="1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Economic interest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 earnings</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(loss) of</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Hughes Retail</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Group</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(2,413)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2,413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(14,330)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14,330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(15,943)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15,943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320" w:type="dxa"/>
            <w:vAlign w:val="bottom"/>
          </w:tcPr>
          <w:p>
            <w:pPr>
              <w:ind w:left="16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52"/>
              <w:spacing w:after="0"/>
              <w:rPr>
                <w:sz w:val="20"/>
                <w:szCs w:val="20"/>
                <w:color w:val="auto"/>
              </w:rPr>
            </w:pPr>
            <w:r>
              <w:rPr>
                <w:rFonts w:ascii="Arial" w:cs="Arial" w:eastAsia="Arial" w:hAnsi="Arial"/>
                <w:sz w:val="14"/>
                <w:szCs w:val="14"/>
                <w:color w:val="auto"/>
              </w:rPr>
              <w:t>2,909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vMerge w:val="restart"/>
          </w:tcPr>
          <w:p>
            <w:pPr>
              <w:jc w:val="right"/>
              <w:ind w:right="52"/>
              <w:spacing w:after="0"/>
              <w:rPr>
                <w:sz w:val="20"/>
                <w:szCs w:val="20"/>
                <w:color w:val="auto"/>
              </w:rPr>
            </w:pPr>
            <w:r>
              <w:rPr>
                <w:rFonts w:ascii="Arial" w:cs="Arial" w:eastAsia="Arial" w:hAnsi="Arial"/>
                <w:sz w:val="14"/>
                <w:szCs w:val="14"/>
                <w:color w:val="auto"/>
              </w:rPr>
              <w:t>2,909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52"/>
              <w:spacing w:after="0"/>
              <w:rPr>
                <w:sz w:val="20"/>
                <w:szCs w:val="20"/>
                <w:color w:val="auto"/>
              </w:rPr>
            </w:pPr>
            <w:r>
              <w:rPr>
                <w:rFonts w:ascii="Arial" w:cs="Arial" w:eastAsia="Arial" w:hAnsi="Arial"/>
                <w:sz w:val="14"/>
                <w:szCs w:val="14"/>
                <w:color w:val="auto"/>
              </w:rPr>
              <w:t>2,222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4"/>
                <w:szCs w:val="14"/>
                <w:color w:val="auto"/>
              </w:rPr>
              <w:t>2,222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12"/>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75"/>
        </w:trPr>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1320" w:type="dxa"/>
            <w:vAlign w:val="bottom"/>
            <w:tcBorders>
              <w:top w:val="single" w:sz="8" w:color="CCEEFF"/>
            </w:tcBorders>
            <w:shd w:val="clear" w:color="auto" w:fill="CCEEFF"/>
          </w:tcPr>
          <w:p>
            <w:pPr>
              <w:ind w:left="20"/>
              <w:spacing w:after="0" w:line="151" w:lineRule="exact"/>
              <w:rPr>
                <w:sz w:val="20"/>
                <w:szCs w:val="20"/>
                <w:color w:val="auto"/>
              </w:rPr>
            </w:pPr>
            <w:r>
              <w:rPr>
                <w:rFonts w:ascii="Arial" w:cs="Arial" w:eastAsia="Arial" w:hAnsi="Arial"/>
                <w:sz w:val="14"/>
                <w:szCs w:val="14"/>
                <w:color w:val="auto"/>
              </w:rPr>
              <w:t>Total other income</w:t>
            </w: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 net</w:t>
            </w: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(157,627)</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2,413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96"/>
              </w:rPr>
              <w:t>(155,252)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93"/>
              </w:rPr>
              <w:t>(185,833)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14,330</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(171,656)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96"/>
              </w:rPr>
              <w:t>(199,319)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15,943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(183,420)</w:t>
            </w:r>
          </w:p>
        </w:tc>
        <w:tc>
          <w:tcPr>
            <w:tcW w:w="0" w:type="dxa"/>
            <w:vAlign w:val="bottom"/>
          </w:tcPr>
          <w:p>
            <w:pPr>
              <w:spacing w:after="0"/>
              <w:rPr>
                <w:sz w:val="1"/>
                <w:szCs w:val="1"/>
                <w:color w:val="auto"/>
              </w:rPr>
            </w:pPr>
          </w:p>
        </w:tc>
      </w:tr>
      <w:tr>
        <w:trPr>
          <w:trHeight w:val="145"/>
        </w:trPr>
        <w:tc>
          <w:tcPr>
            <w:tcW w:w="1320" w:type="dxa"/>
            <w:vAlign w:val="bottom"/>
          </w:tcPr>
          <w:p>
            <w:pPr>
              <w:ind w:left="160"/>
              <w:spacing w:after="0" w:line="145" w:lineRule="exact"/>
              <w:rPr>
                <w:sz w:val="20"/>
                <w:szCs w:val="20"/>
                <w:color w:val="auto"/>
              </w:rPr>
            </w:pPr>
            <w:r>
              <w:rPr>
                <w:rFonts w:ascii="Arial" w:cs="Arial" w:eastAsia="Arial" w:hAnsi="Arial"/>
                <w:sz w:val="14"/>
                <w:szCs w:val="14"/>
                <w:color w:val="auto"/>
              </w:rPr>
              <w:t>Income (loss)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160"/>
              <w:spacing w:after="0" w:line="149" w:lineRule="exact"/>
              <w:rPr>
                <w:sz w:val="20"/>
                <w:szCs w:val="20"/>
                <w:color w:val="auto"/>
              </w:rPr>
            </w:pPr>
            <w:r>
              <w:rPr>
                <w:rFonts w:ascii="Arial" w:cs="Arial" w:eastAsia="Arial" w:hAnsi="Arial"/>
                <w:sz w:val="14"/>
                <w:szCs w:val="14"/>
                <w:color w:val="auto"/>
              </w:rPr>
              <w:t>before income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320" w:type="dxa"/>
            <w:vAlign w:val="bottom"/>
          </w:tcPr>
          <w:p>
            <w:pPr>
              <w:ind w:left="160"/>
              <w:spacing w:after="0"/>
              <w:rPr>
                <w:sz w:val="20"/>
                <w:szCs w:val="20"/>
                <w:color w:val="auto"/>
              </w:rPr>
            </w:pPr>
            <w:r>
              <w:rPr>
                <w:rFonts w:ascii="Arial" w:cs="Arial" w:eastAsia="Arial" w:hAnsi="Arial"/>
                <w:sz w:val="14"/>
                <w:szCs w:val="14"/>
                <w:color w:val="auto"/>
              </w:rPr>
              <w:t>taxes</w:t>
            </w:r>
          </w:p>
        </w:tc>
        <w:tc>
          <w:tcPr>
            <w:tcW w:w="100" w:type="dxa"/>
            <w:vAlign w:val="bottom"/>
          </w:tcPr>
          <w:p>
            <w:pPr>
              <w:spacing w:after="0"/>
              <w:rPr>
                <w:sz w:val="15"/>
                <w:szCs w:val="15"/>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(5,555)</w:t>
            </w:r>
          </w:p>
        </w:tc>
        <w:tc>
          <w:tcPr>
            <w:tcW w:w="12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199,072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1,963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195,480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(32,998)</w:t>
            </w:r>
          </w:p>
        </w:tc>
        <w:tc>
          <w:tcPr>
            <w:tcW w:w="12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237,172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7,174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211,348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(37,493)</w:t>
            </w:r>
          </w:p>
        </w:tc>
        <w:tc>
          <w:tcPr>
            <w:tcW w:w="10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175,128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5,042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142,677</w:t>
            </w:r>
          </w:p>
        </w:tc>
        <w:tc>
          <w:tcPr>
            <w:tcW w:w="0" w:type="dxa"/>
            <w:vAlign w:val="bottom"/>
          </w:tcPr>
          <w:p>
            <w:pPr>
              <w:spacing w:after="0"/>
              <w:rPr>
                <w:sz w:val="1"/>
                <w:szCs w:val="1"/>
                <w:color w:val="auto"/>
              </w:rPr>
            </w:pPr>
          </w:p>
        </w:tc>
      </w:tr>
      <w:tr>
        <w:trPr>
          <w:trHeight w:val="172"/>
        </w:trPr>
        <w:tc>
          <w:tcPr>
            <w:tcW w:w="13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9"/>
              </w:rPr>
              <w:t>Income tax benefit</w:t>
            </w:r>
          </w:p>
        </w:tc>
        <w:tc>
          <w:tcPr>
            <w:tcW w:w="1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2,198</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(provision), net</w:t>
            </w: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(75,957)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(73,759)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7"/>
              </w:rPr>
              <w:t>13,065</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(85,429)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(72,364)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7"/>
              </w:rPr>
              <w:t>14,836</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(54,931)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(40,095)</w:t>
            </w:r>
          </w:p>
        </w:tc>
        <w:tc>
          <w:tcPr>
            <w:tcW w:w="0" w:type="dxa"/>
            <w:vAlign w:val="bottom"/>
          </w:tcPr>
          <w:p>
            <w:pPr>
              <w:spacing w:after="0"/>
              <w:rPr>
                <w:sz w:val="1"/>
                <w:szCs w:val="1"/>
                <w:color w:val="auto"/>
              </w:rPr>
            </w:pPr>
          </w:p>
        </w:tc>
      </w:tr>
      <w:tr>
        <w:trPr>
          <w:trHeight w:val="169"/>
        </w:trPr>
        <w:tc>
          <w:tcPr>
            <w:tcW w:w="13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color w:val="auto"/>
              </w:rPr>
              <w:t>(3,357)</w:t>
            </w:r>
          </w:p>
        </w:tc>
        <w:tc>
          <w:tcPr>
            <w:tcW w:w="120" w:type="dxa"/>
            <w:vAlign w:val="bottom"/>
          </w:tcPr>
          <w:p>
            <w:pPr>
              <w:spacing w:after="0"/>
              <w:rPr>
                <w:sz w:val="14"/>
                <w:szCs w:val="14"/>
                <w:color w:val="auto"/>
              </w:rPr>
            </w:pPr>
          </w:p>
        </w:tc>
        <w:tc>
          <w:tcPr>
            <w:tcW w:w="7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123,115</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4"/>
                <w:szCs w:val="14"/>
                <w:color w:val="auto"/>
              </w:rPr>
              <w:t>1,963</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121,721</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1"/>
              </w:rPr>
              <w:t>(19,933)</w:t>
            </w:r>
          </w:p>
        </w:tc>
        <w:tc>
          <w:tcPr>
            <w:tcW w:w="120" w:type="dxa"/>
            <w:vAlign w:val="bottom"/>
          </w:tcPr>
          <w:p>
            <w:pPr>
              <w:spacing w:after="0"/>
              <w:rPr>
                <w:sz w:val="14"/>
                <w:szCs w:val="14"/>
                <w:color w:val="auto"/>
              </w:rPr>
            </w:pPr>
          </w:p>
        </w:tc>
        <w:tc>
          <w:tcPr>
            <w:tcW w:w="66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151,743</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7,174</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138,984</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1"/>
              </w:rPr>
              <w:t>(22,657)</w:t>
            </w:r>
          </w:p>
        </w:tc>
        <w:tc>
          <w:tcPr>
            <w:tcW w:w="100" w:type="dxa"/>
            <w:vAlign w:val="bottom"/>
          </w:tcPr>
          <w:p>
            <w:pPr>
              <w:spacing w:after="0"/>
              <w:rPr>
                <w:sz w:val="14"/>
                <w:szCs w:val="14"/>
                <w:color w:val="auto"/>
              </w:rPr>
            </w:pPr>
          </w:p>
        </w:tc>
        <w:tc>
          <w:tcPr>
            <w:tcW w:w="6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120,197</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5,042</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102,582</w:t>
            </w:r>
          </w:p>
        </w:tc>
        <w:tc>
          <w:tcPr>
            <w:tcW w:w="0" w:type="dxa"/>
            <w:vAlign w:val="bottom"/>
          </w:tcPr>
          <w:p>
            <w:pPr>
              <w:spacing w:after="0"/>
              <w:rPr>
                <w:sz w:val="1"/>
                <w:szCs w:val="1"/>
                <w:color w:val="auto"/>
              </w:rPr>
            </w:pPr>
          </w:p>
        </w:tc>
      </w:tr>
      <w:tr>
        <w:trPr>
          <w:trHeight w:val="75"/>
        </w:trPr>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attributable to</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interests</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1,706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1,706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1,389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1,389</w:t>
            </w:r>
          </w:p>
        </w:tc>
        <w:tc>
          <w:tcPr>
            <w:tcW w:w="0" w:type="dxa"/>
            <w:vAlign w:val="bottom"/>
          </w:tcPr>
          <w:p>
            <w:pPr>
              <w:spacing w:after="0"/>
              <w:rPr>
                <w:sz w:val="1"/>
                <w:szCs w:val="1"/>
                <w:color w:val="auto"/>
              </w:rPr>
            </w:pPr>
          </w:p>
        </w:tc>
      </w:tr>
      <w:tr>
        <w:trPr>
          <w:trHeight w:val="145"/>
        </w:trPr>
        <w:tc>
          <w:tcPr>
            <w:tcW w:w="1320" w:type="dxa"/>
            <w:vAlign w:val="bottom"/>
          </w:tcPr>
          <w:p>
            <w:pPr>
              <w:ind w:left="360"/>
              <w:spacing w:after="0" w:line="145" w:lineRule="exact"/>
              <w:rPr>
                <w:sz w:val="20"/>
                <w:szCs w:val="20"/>
                <w:color w:val="auto"/>
              </w:rPr>
            </w:pPr>
            <w:r>
              <w:rPr>
                <w:rFonts w:ascii="Arial" w:cs="Arial" w:eastAsia="Arial" w:hAnsi="Arial"/>
                <w:sz w:val="14"/>
                <w:szCs w:val="14"/>
                <w:color w:val="auto"/>
              </w:rPr>
              <w:t>Net income</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520"/>
              <w:spacing w:after="0" w:line="149" w:lineRule="exact"/>
              <w:rPr>
                <w:sz w:val="20"/>
                <w:szCs w:val="20"/>
                <w:color w:val="auto"/>
              </w:rPr>
            </w:pPr>
            <w:r>
              <w:rPr>
                <w:rFonts w:ascii="Arial" w:cs="Arial" w:eastAsia="Arial" w:hAnsi="Arial"/>
                <w:sz w:val="14"/>
                <w:szCs w:val="14"/>
                <w:color w:val="auto"/>
              </w:rPr>
              <w:t>(loss)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520"/>
              <w:spacing w:after="0" w:line="149" w:lineRule="exact"/>
              <w:rPr>
                <w:sz w:val="20"/>
                <w:szCs w:val="20"/>
                <w:color w:val="auto"/>
              </w:rPr>
            </w:pPr>
            <w:r>
              <w:rPr>
                <w:rFonts w:ascii="Arial" w:cs="Arial" w:eastAsia="Arial" w:hAnsi="Arial"/>
                <w:sz w:val="14"/>
                <w:szCs w:val="14"/>
                <w:color w:val="auto"/>
              </w:rPr>
              <w:t>attributable</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ind w:right="12"/>
              <w:spacing w:after="0"/>
              <w:rPr>
                <w:sz w:val="20"/>
                <w:szCs w:val="20"/>
                <w:color w:val="auto"/>
              </w:rPr>
            </w:pPr>
            <w:r>
              <w:rPr>
                <w:rFonts w:ascii="Arial" w:cs="Arial" w:eastAsia="Arial" w:hAnsi="Arial"/>
                <w:sz w:val="14"/>
                <w:szCs w:val="14"/>
                <w:color w:val="auto"/>
              </w:rPr>
              <w:t>(3,357)</w:t>
            </w:r>
          </w:p>
        </w:tc>
        <w:tc>
          <w:tcPr>
            <w:tcW w:w="120" w:type="dxa"/>
            <w:vAlign w:val="bottom"/>
          </w:tcPr>
          <w:p>
            <w:pPr>
              <w:spacing w:after="0"/>
              <w:rPr>
                <w:sz w:val="12"/>
                <w:szCs w:val="12"/>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4"/>
                <w:szCs w:val="14"/>
                <w:color w:val="auto"/>
                <w:w w:val="89"/>
              </w:rPr>
              <w:t>$ 121,409</w:t>
            </w:r>
          </w:p>
        </w:tc>
        <w:tc>
          <w:tcPr>
            <w:tcW w:w="120" w:type="dxa"/>
            <w:vAlign w:val="bottom"/>
          </w:tcPr>
          <w:p>
            <w:pPr>
              <w:spacing w:after="0"/>
              <w:rPr>
                <w:sz w:val="12"/>
                <w:szCs w:val="12"/>
                <w:color w:val="auto"/>
              </w:rPr>
            </w:pPr>
          </w:p>
        </w:tc>
        <w:tc>
          <w:tcPr>
            <w:tcW w:w="1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72"/>
              <w:spacing w:after="0"/>
              <w:rPr>
                <w:sz w:val="20"/>
                <w:szCs w:val="20"/>
                <w:color w:val="auto"/>
              </w:rPr>
            </w:pPr>
            <w:r>
              <w:rPr>
                <w:rFonts w:ascii="Arial" w:cs="Arial" w:eastAsia="Arial" w:hAnsi="Arial"/>
                <w:sz w:val="14"/>
                <w:szCs w:val="14"/>
                <w:color w:val="auto"/>
              </w:rPr>
              <w:t>1,963</w:t>
            </w:r>
          </w:p>
        </w:tc>
        <w:tc>
          <w:tcPr>
            <w:tcW w:w="10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52"/>
              <w:spacing w:after="0"/>
              <w:rPr>
                <w:sz w:val="20"/>
                <w:szCs w:val="20"/>
                <w:color w:val="auto"/>
              </w:rPr>
            </w:pPr>
            <w:r>
              <w:rPr>
                <w:rFonts w:ascii="Arial" w:cs="Arial" w:eastAsia="Arial" w:hAnsi="Arial"/>
                <w:sz w:val="14"/>
                <w:szCs w:val="14"/>
                <w:color w:val="auto"/>
              </w:rPr>
              <w:t>120,015</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1"/>
              </w:rPr>
              <w:t>(19,933)</w:t>
            </w:r>
          </w:p>
        </w:tc>
        <w:tc>
          <w:tcPr>
            <w:tcW w:w="120" w:type="dxa"/>
            <w:vAlign w:val="bottom"/>
          </w:tcPr>
          <w:p>
            <w:pPr>
              <w:spacing w:after="0"/>
              <w:rPr>
                <w:sz w:val="12"/>
                <w:szCs w:val="12"/>
                <w:color w:val="auto"/>
              </w:rPr>
            </w:pPr>
          </w:p>
        </w:tc>
        <w:tc>
          <w:tcPr>
            <w:tcW w:w="660" w:type="dxa"/>
            <w:vAlign w:val="bottom"/>
            <w:vMerge w:val="restart"/>
          </w:tcPr>
          <w:p>
            <w:pPr>
              <w:jc w:val="right"/>
              <w:ind w:right="52"/>
              <w:spacing w:after="0"/>
              <w:rPr>
                <w:sz w:val="20"/>
                <w:szCs w:val="20"/>
                <w:color w:val="auto"/>
              </w:rPr>
            </w:pPr>
            <w:r>
              <w:rPr>
                <w:rFonts w:ascii="Arial" w:cs="Arial" w:eastAsia="Arial" w:hAnsi="Arial"/>
                <w:sz w:val="14"/>
                <w:szCs w:val="14"/>
                <w:color w:val="auto"/>
                <w:w w:val="83"/>
              </w:rPr>
              <w:t>$ 150,126</w:t>
            </w:r>
          </w:p>
        </w:tc>
        <w:tc>
          <w:tcPr>
            <w:tcW w:w="10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32"/>
              <w:spacing w:after="0"/>
              <w:rPr>
                <w:sz w:val="20"/>
                <w:szCs w:val="20"/>
                <w:color w:val="auto"/>
              </w:rPr>
            </w:pPr>
            <w:r>
              <w:rPr>
                <w:rFonts w:ascii="Arial" w:cs="Arial" w:eastAsia="Arial" w:hAnsi="Arial"/>
                <w:sz w:val="14"/>
                <w:szCs w:val="14"/>
                <w:color w:val="auto"/>
              </w:rPr>
              <w:t>7,174</w:t>
            </w:r>
          </w:p>
        </w:tc>
        <w:tc>
          <w:tcPr>
            <w:tcW w:w="12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ind w:right="52"/>
              <w:spacing w:after="0"/>
              <w:rPr>
                <w:sz w:val="20"/>
                <w:szCs w:val="20"/>
                <w:color w:val="auto"/>
              </w:rPr>
            </w:pPr>
            <w:r>
              <w:rPr>
                <w:rFonts w:ascii="Arial" w:cs="Arial" w:eastAsia="Arial" w:hAnsi="Arial"/>
                <w:sz w:val="14"/>
                <w:szCs w:val="14"/>
                <w:color w:val="auto"/>
              </w:rPr>
              <w:t>137,367</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1"/>
              </w:rPr>
              <w:t>(22,657)</w:t>
            </w:r>
          </w:p>
        </w:tc>
        <w:tc>
          <w:tcPr>
            <w:tcW w:w="100" w:type="dxa"/>
            <w:vAlign w:val="bottom"/>
          </w:tcPr>
          <w:p>
            <w:pPr>
              <w:spacing w:after="0"/>
              <w:rPr>
                <w:sz w:val="12"/>
                <w:szCs w:val="12"/>
                <w:color w:val="auto"/>
              </w:rPr>
            </w:pPr>
          </w:p>
        </w:tc>
        <w:tc>
          <w:tcPr>
            <w:tcW w:w="680" w:type="dxa"/>
            <w:vAlign w:val="bottom"/>
            <w:vMerge w:val="restart"/>
          </w:tcPr>
          <w:p>
            <w:pPr>
              <w:jc w:val="right"/>
              <w:ind w:right="52"/>
              <w:spacing w:after="0"/>
              <w:rPr>
                <w:sz w:val="20"/>
                <w:szCs w:val="20"/>
                <w:color w:val="auto"/>
              </w:rPr>
            </w:pPr>
            <w:r>
              <w:rPr>
                <w:rFonts w:ascii="Arial" w:cs="Arial" w:eastAsia="Arial" w:hAnsi="Arial"/>
                <w:sz w:val="14"/>
                <w:szCs w:val="14"/>
                <w:color w:val="auto"/>
                <w:w w:val="86"/>
              </w:rPr>
              <w:t>$ 118,808</w:t>
            </w:r>
          </w:p>
        </w:tc>
        <w:tc>
          <w:tcPr>
            <w:tcW w:w="10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52"/>
              <w:spacing w:after="0"/>
              <w:rPr>
                <w:sz w:val="20"/>
                <w:szCs w:val="20"/>
                <w:color w:val="auto"/>
              </w:rPr>
            </w:pPr>
            <w:r>
              <w:rPr>
                <w:rFonts w:ascii="Arial" w:cs="Arial" w:eastAsia="Arial" w:hAnsi="Arial"/>
                <w:sz w:val="14"/>
                <w:szCs w:val="14"/>
                <w:color w:val="auto"/>
              </w:rPr>
              <w:t>5,042</w:t>
            </w:r>
          </w:p>
        </w:tc>
        <w:tc>
          <w:tcPr>
            <w:tcW w:w="100" w:type="dxa"/>
            <w:vAlign w:val="bottom"/>
          </w:tcPr>
          <w:p>
            <w:pPr>
              <w:spacing w:after="0"/>
              <w:rPr>
                <w:sz w:val="12"/>
                <w:szCs w:val="12"/>
                <w:color w:val="auto"/>
              </w:rPr>
            </w:pPr>
          </w:p>
        </w:tc>
        <w:tc>
          <w:tcPr>
            <w:tcW w:w="120" w:type="dxa"/>
            <w:vAlign w:val="bottom"/>
            <w:vMerge w:val="restart"/>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ind w:right="32"/>
              <w:spacing w:after="0"/>
              <w:rPr>
                <w:sz w:val="20"/>
                <w:szCs w:val="20"/>
                <w:color w:val="auto"/>
              </w:rPr>
            </w:pPr>
            <w:r>
              <w:rPr>
                <w:rFonts w:ascii="Arial" w:cs="Arial" w:eastAsia="Arial" w:hAnsi="Arial"/>
                <w:sz w:val="14"/>
                <w:szCs w:val="14"/>
                <w:color w:val="auto"/>
              </w:rPr>
              <w:t>101,193</w:t>
            </w:r>
          </w:p>
        </w:tc>
        <w:tc>
          <w:tcPr>
            <w:tcW w:w="0" w:type="dxa"/>
            <w:vAlign w:val="bottom"/>
          </w:tcPr>
          <w:p>
            <w:pPr>
              <w:spacing w:after="0"/>
              <w:rPr>
                <w:sz w:val="1"/>
                <w:szCs w:val="1"/>
                <w:color w:val="auto"/>
              </w:rPr>
            </w:pPr>
          </w:p>
        </w:tc>
      </w:tr>
      <w:tr>
        <w:trPr>
          <w:trHeight w:val="178"/>
        </w:trPr>
        <w:tc>
          <w:tcPr>
            <w:tcW w:w="1320" w:type="dxa"/>
            <w:vAlign w:val="bottom"/>
          </w:tcPr>
          <w:p>
            <w:pPr>
              <w:ind w:left="520"/>
              <w:spacing w:after="0"/>
              <w:rPr>
                <w:sz w:val="20"/>
                <w:szCs w:val="20"/>
                <w:color w:val="auto"/>
              </w:rPr>
            </w:pPr>
            <w:r>
              <w:rPr>
                <w:rFonts w:ascii="Arial" w:cs="Arial" w:eastAsia="Arial" w:hAnsi="Arial"/>
                <w:sz w:val="14"/>
                <w:szCs w:val="14"/>
                <w:color w:val="auto"/>
              </w:rPr>
              <w:t>to HSS</w:t>
            </w:r>
          </w:p>
        </w:tc>
        <w:tc>
          <w:tcPr>
            <w:tcW w:w="1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580" w:right="259" w:bottom="827"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60"/>
          </w:cols>
          <w:pgMar w:left="280" w:top="580" w:right="259" w:bottom="827"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Condensed Attributed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5"/>
          </w:tcPr>
          <w:p>
            <w:pPr>
              <w:jc w:val="center"/>
              <w:ind w:left="17"/>
              <w:spacing w:after="0"/>
              <w:rPr>
                <w:sz w:val="20"/>
                <w:szCs w:val="20"/>
                <w:color w:val="auto"/>
              </w:rPr>
            </w:pPr>
            <w:r>
              <w:rPr>
                <w:rFonts w:ascii="Arial" w:cs="Arial" w:eastAsia="Arial" w:hAnsi="Arial"/>
                <w:sz w:val="13"/>
                <w:szCs w:val="13"/>
                <w:b w:val="1"/>
                <w:bCs w:val="1"/>
                <w:color w:val="auto"/>
                <w:w w:val="93"/>
              </w:rPr>
              <w:t>Attributed</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gridSpan w:val="5"/>
          </w:tcPr>
          <w:p>
            <w:pPr>
              <w:jc w:val="center"/>
              <w:ind w:right="460"/>
              <w:spacing w:after="0"/>
              <w:rPr>
                <w:sz w:val="20"/>
                <w:szCs w:val="20"/>
                <w:color w:val="auto"/>
              </w:rPr>
            </w:pPr>
            <w:r>
              <w:rPr>
                <w:rFonts w:ascii="Arial" w:cs="Arial" w:eastAsia="Arial" w:hAnsi="Arial"/>
                <w:sz w:val="13"/>
                <w:szCs w:val="13"/>
                <w:b w:val="1"/>
                <w:bCs w:val="1"/>
                <w:color w:val="auto"/>
                <w:w w:val="93"/>
              </w:rPr>
              <w:t>Attributed</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gridSpan w:val="5"/>
          </w:tcPr>
          <w:p>
            <w:pPr>
              <w:jc w:val="center"/>
              <w:ind w:right="440"/>
              <w:spacing w:after="0"/>
              <w:rPr>
                <w:sz w:val="20"/>
                <w:szCs w:val="20"/>
                <w:color w:val="auto"/>
              </w:rPr>
            </w:pPr>
            <w:r>
              <w:rPr>
                <w:rFonts w:ascii="Arial" w:cs="Arial" w:eastAsia="Arial" w:hAnsi="Arial"/>
                <w:sz w:val="13"/>
                <w:szCs w:val="13"/>
                <w:b w:val="1"/>
                <w:bCs w:val="1"/>
                <w:color w:val="auto"/>
                <w:w w:val="90"/>
              </w:rPr>
              <w:t>Attributed</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40" w:type="dxa"/>
            <w:vAlign w:val="bottom"/>
          </w:tcPr>
          <w:p>
            <w:pPr>
              <w:spacing w:after="0"/>
              <w:rPr>
                <w:sz w:val="15"/>
                <w:szCs w:val="15"/>
                <w:color w:val="auto"/>
              </w:rPr>
            </w:pPr>
          </w:p>
        </w:tc>
        <w:tc>
          <w:tcPr>
            <w:tcW w:w="3220" w:type="dxa"/>
            <w:vAlign w:val="bottom"/>
            <w:gridSpan w:val="9"/>
          </w:tcPr>
          <w:p>
            <w:pPr>
              <w:jc w:val="center"/>
              <w:ind w:right="80"/>
              <w:spacing w:after="0"/>
              <w:rPr>
                <w:sz w:val="20"/>
                <w:szCs w:val="20"/>
                <w:color w:val="auto"/>
              </w:rPr>
            </w:pPr>
            <w:r>
              <w:rPr>
                <w:rFonts w:ascii="Arial" w:cs="Arial" w:eastAsia="Arial" w:hAnsi="Arial"/>
                <w:sz w:val="13"/>
                <w:szCs w:val="13"/>
                <w:b w:val="1"/>
                <w:bCs w:val="1"/>
                <w:color w:val="auto"/>
                <w:w w:val="87"/>
              </w:rPr>
              <w:t>For the Year Ended December 31, 2016</w:t>
            </w:r>
          </w:p>
        </w:tc>
        <w:tc>
          <w:tcPr>
            <w:tcW w:w="3140" w:type="dxa"/>
            <w:vAlign w:val="bottom"/>
            <w:gridSpan w:val="10"/>
          </w:tcPr>
          <w:p>
            <w:pPr>
              <w:jc w:val="center"/>
              <w:ind w:right="80"/>
              <w:spacing w:after="0"/>
              <w:rPr>
                <w:sz w:val="20"/>
                <w:szCs w:val="20"/>
                <w:color w:val="auto"/>
              </w:rPr>
            </w:pPr>
            <w:r>
              <w:rPr>
                <w:rFonts w:ascii="Arial" w:cs="Arial" w:eastAsia="Arial" w:hAnsi="Arial"/>
                <w:sz w:val="13"/>
                <w:szCs w:val="13"/>
                <w:b w:val="1"/>
                <w:bCs w:val="1"/>
                <w:color w:val="auto"/>
                <w:w w:val="87"/>
              </w:rPr>
              <w:t>For the Year Ended December 31, 2015</w:t>
            </w:r>
          </w:p>
        </w:tc>
        <w:tc>
          <w:tcPr>
            <w:tcW w:w="3020" w:type="dxa"/>
            <w:vAlign w:val="bottom"/>
            <w:gridSpan w:val="9"/>
          </w:tcPr>
          <w:p>
            <w:pPr>
              <w:jc w:val="center"/>
              <w:spacing w:after="0"/>
              <w:rPr>
                <w:sz w:val="20"/>
                <w:szCs w:val="20"/>
                <w:color w:val="auto"/>
              </w:rPr>
            </w:pPr>
            <w:r>
              <w:rPr>
                <w:rFonts w:ascii="Arial" w:cs="Arial" w:eastAsia="Arial" w:hAnsi="Arial"/>
                <w:sz w:val="13"/>
                <w:szCs w:val="13"/>
                <w:b w:val="1"/>
                <w:bCs w:val="1"/>
                <w:color w:val="auto"/>
                <w:w w:val="88"/>
              </w:rPr>
              <w:t>For the Year Ended December 31, 2014</w:t>
            </w:r>
          </w:p>
        </w:tc>
        <w:tc>
          <w:tcPr>
            <w:tcW w:w="0" w:type="dxa"/>
            <w:vAlign w:val="bottom"/>
          </w:tcPr>
          <w:p>
            <w:pPr>
              <w:spacing w:after="0"/>
              <w:rPr>
                <w:sz w:val="1"/>
                <w:szCs w:val="1"/>
                <w:color w:val="auto"/>
              </w:rPr>
            </w:pPr>
          </w:p>
        </w:tc>
      </w:tr>
      <w:tr>
        <w:trPr>
          <w:trHeight w:val="144"/>
        </w:trPr>
        <w:tc>
          <w:tcPr>
            <w:tcW w:w="2040" w:type="dxa"/>
            <w:vAlign w:val="bottom"/>
          </w:tcPr>
          <w:p>
            <w:pPr>
              <w:spacing w:after="0"/>
              <w:rPr>
                <w:sz w:val="12"/>
                <w:szCs w:val="12"/>
                <w:color w:val="auto"/>
              </w:rPr>
            </w:pPr>
          </w:p>
        </w:tc>
        <w:tc>
          <w:tcPr>
            <w:tcW w:w="700" w:type="dxa"/>
            <w:vAlign w:val="bottom"/>
            <w:tcBorders>
              <w:top w:val="single" w:sz="8" w:color="auto"/>
            </w:tcBorders>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3"/>
              </w:rPr>
              <w:t>Hughes</w:t>
            </w: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3"/>
              </w:rPr>
              <w:t>Hughes</w:t>
            </w: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Hughes</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Retail</w:t>
            </w:r>
          </w:p>
        </w:tc>
        <w:tc>
          <w:tcPr>
            <w:tcW w:w="82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rPr>
              <w:t>HSSC</w:t>
            </w:r>
          </w:p>
        </w:tc>
        <w:tc>
          <w:tcPr>
            <w:tcW w:w="8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Inter-Group</w:t>
            </w:r>
          </w:p>
        </w:tc>
        <w:tc>
          <w:tcPr>
            <w:tcW w:w="860" w:type="dxa"/>
            <w:vAlign w:val="bottom"/>
            <w:gridSpan w:val="2"/>
          </w:tcPr>
          <w:p>
            <w:pPr>
              <w:ind w:left="260"/>
              <w:spacing w:after="0" w:line="135" w:lineRule="exact"/>
              <w:rPr>
                <w:sz w:val="20"/>
                <w:szCs w:val="20"/>
                <w:color w:val="auto"/>
              </w:rPr>
            </w:pPr>
            <w:r>
              <w:rPr>
                <w:rFonts w:ascii="Arial" w:cs="Arial" w:eastAsia="Arial" w:hAnsi="Arial"/>
                <w:sz w:val="13"/>
                <w:szCs w:val="13"/>
                <w:b w:val="1"/>
                <w:bCs w:val="1"/>
                <w:color w:val="auto"/>
              </w:rPr>
              <w:t>HSS</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Retail</w:t>
            </w:r>
          </w:p>
        </w:tc>
        <w:tc>
          <w:tcPr>
            <w:tcW w:w="54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HSSC</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Inter-Group</w:t>
            </w:r>
          </w:p>
        </w:tc>
        <w:tc>
          <w:tcPr>
            <w:tcW w:w="860" w:type="dxa"/>
            <w:vAlign w:val="bottom"/>
            <w:gridSpan w:val="2"/>
          </w:tcPr>
          <w:p>
            <w:pPr>
              <w:ind w:left="240"/>
              <w:spacing w:after="0" w:line="135" w:lineRule="exact"/>
              <w:rPr>
                <w:sz w:val="20"/>
                <w:szCs w:val="20"/>
                <w:color w:val="auto"/>
              </w:rPr>
            </w:pPr>
            <w:r>
              <w:rPr>
                <w:rFonts w:ascii="Arial" w:cs="Arial" w:eastAsia="Arial" w:hAnsi="Arial"/>
                <w:sz w:val="13"/>
                <w:szCs w:val="13"/>
                <w:b w:val="1"/>
                <w:bCs w:val="1"/>
                <w:color w:val="auto"/>
              </w:rPr>
              <w:t>HSS</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Retail</w:t>
            </w:r>
          </w:p>
        </w:tc>
        <w:tc>
          <w:tcPr>
            <w:tcW w:w="520" w:type="dxa"/>
            <w:vAlign w:val="bottom"/>
          </w:tcPr>
          <w:p>
            <w:pPr>
              <w:ind w:left="140"/>
              <w:spacing w:after="0" w:line="135" w:lineRule="exact"/>
              <w:rPr>
                <w:sz w:val="20"/>
                <w:szCs w:val="20"/>
                <w:color w:val="auto"/>
              </w:rPr>
            </w:pPr>
            <w:r>
              <w:rPr>
                <w:rFonts w:ascii="Arial" w:cs="Arial" w:eastAsia="Arial" w:hAnsi="Arial"/>
                <w:sz w:val="13"/>
                <w:szCs w:val="13"/>
                <w:b w:val="1"/>
                <w:bCs w:val="1"/>
                <w:color w:val="auto"/>
                <w:w w:val="99"/>
              </w:rPr>
              <w:t>HSSC</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Inter-Group</w:t>
            </w:r>
          </w:p>
        </w:tc>
        <w:tc>
          <w:tcPr>
            <w:tcW w:w="760" w:type="dxa"/>
            <w:vAlign w:val="bottom"/>
          </w:tcPr>
          <w:p>
            <w:pPr>
              <w:ind w:left="260"/>
              <w:spacing w:after="0" w:line="135" w:lineRule="exact"/>
              <w:rPr>
                <w:sz w:val="20"/>
                <w:szCs w:val="20"/>
                <w:color w:val="auto"/>
              </w:rPr>
            </w:pPr>
            <w:r>
              <w:rPr>
                <w:rFonts w:ascii="Arial" w:cs="Arial" w:eastAsia="Arial" w:hAnsi="Arial"/>
                <w:sz w:val="13"/>
                <w:szCs w:val="13"/>
                <w:b w:val="1"/>
                <w:bCs w:val="1"/>
                <w:color w:val="auto"/>
              </w:rPr>
              <w:t>HSS</w:t>
            </w:r>
          </w:p>
        </w:tc>
        <w:tc>
          <w:tcPr>
            <w:tcW w:w="0" w:type="dxa"/>
            <w:vAlign w:val="bottom"/>
          </w:tcPr>
          <w:p>
            <w:pPr>
              <w:spacing w:after="0"/>
              <w:rPr>
                <w:sz w:val="1"/>
                <w:szCs w:val="1"/>
                <w:color w:val="auto"/>
              </w:rPr>
            </w:pPr>
          </w:p>
        </w:tc>
      </w:tr>
      <w:tr>
        <w:trPr>
          <w:trHeight w:val="174"/>
        </w:trPr>
        <w:tc>
          <w:tcPr>
            <w:tcW w:w="2040" w:type="dxa"/>
            <w:vAlign w:val="bottom"/>
          </w:tcPr>
          <w:p>
            <w:pPr>
              <w:spacing w:after="0"/>
              <w:rPr>
                <w:sz w:val="15"/>
                <w:szCs w:val="15"/>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Group</w:t>
            </w:r>
          </w:p>
        </w:tc>
        <w:tc>
          <w:tcPr>
            <w:tcW w:w="820" w:type="dxa"/>
            <w:vAlign w:val="bottom"/>
            <w:gridSpan w:val="2"/>
          </w:tcPr>
          <w:p>
            <w:pPr>
              <w:ind w:left="180"/>
              <w:spacing w:after="0"/>
              <w:rPr>
                <w:sz w:val="20"/>
                <w:szCs w:val="20"/>
                <w:color w:val="auto"/>
              </w:rPr>
            </w:pPr>
            <w:r>
              <w:rPr>
                <w:rFonts w:ascii="Arial" w:cs="Arial" w:eastAsia="Arial" w:hAnsi="Arial"/>
                <w:sz w:val="13"/>
                <w:szCs w:val="13"/>
                <w:b w:val="1"/>
                <w:bCs w:val="1"/>
                <w:color w:val="auto"/>
              </w:rPr>
              <w:t>Group</w:t>
            </w:r>
          </w:p>
        </w:tc>
        <w:tc>
          <w:tcPr>
            <w:tcW w:w="840" w:type="dxa"/>
            <w:vAlign w:val="bottom"/>
            <w:gridSpan w:val="3"/>
          </w:tcPr>
          <w:p>
            <w:pPr>
              <w:ind w:left="20"/>
              <w:spacing w:after="0"/>
              <w:rPr>
                <w:sz w:val="20"/>
                <w:szCs w:val="20"/>
                <w:color w:val="auto"/>
              </w:rPr>
            </w:pPr>
            <w:r>
              <w:rPr>
                <w:rFonts w:ascii="Arial" w:cs="Arial" w:eastAsia="Arial" w:hAnsi="Arial"/>
                <w:sz w:val="13"/>
                <w:szCs w:val="13"/>
                <w:b w:val="1"/>
                <w:bCs w:val="1"/>
                <w:color w:val="auto"/>
              </w:rPr>
              <w:t>Eliminations</w:t>
            </w: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Consolidated</w:t>
            </w: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Group</w:t>
            </w:r>
          </w:p>
        </w:tc>
        <w:tc>
          <w:tcPr>
            <w:tcW w:w="540" w:type="dxa"/>
            <w:vAlign w:val="bottom"/>
          </w:tcPr>
          <w:p>
            <w:pPr>
              <w:ind w:left="140"/>
              <w:spacing w:after="0"/>
              <w:rPr>
                <w:sz w:val="20"/>
                <w:szCs w:val="20"/>
                <w:color w:val="auto"/>
              </w:rPr>
            </w:pPr>
            <w:r>
              <w:rPr>
                <w:rFonts w:ascii="Arial" w:cs="Arial" w:eastAsia="Arial" w:hAnsi="Arial"/>
                <w:sz w:val="13"/>
                <w:szCs w:val="13"/>
                <w:b w:val="1"/>
                <w:bCs w:val="1"/>
                <w:color w:val="auto"/>
                <w:w w:val="97"/>
              </w:rPr>
              <w:t>Group</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Arial" w:cs="Arial" w:eastAsia="Arial" w:hAnsi="Arial"/>
                <w:sz w:val="13"/>
                <w:szCs w:val="13"/>
                <w:b w:val="1"/>
                <w:bCs w:val="1"/>
                <w:color w:val="auto"/>
              </w:rPr>
              <w:t>Eliminations</w:t>
            </w: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Consolidated</w:t>
            </w: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Group</w:t>
            </w:r>
          </w:p>
        </w:tc>
        <w:tc>
          <w:tcPr>
            <w:tcW w:w="520" w:type="dxa"/>
            <w:vAlign w:val="bottom"/>
          </w:tcPr>
          <w:p>
            <w:pPr>
              <w:ind w:left="140"/>
              <w:spacing w:after="0"/>
              <w:rPr>
                <w:sz w:val="20"/>
                <w:szCs w:val="20"/>
                <w:color w:val="auto"/>
              </w:rPr>
            </w:pPr>
            <w:r>
              <w:rPr>
                <w:rFonts w:ascii="Arial" w:cs="Arial" w:eastAsia="Arial" w:hAnsi="Arial"/>
                <w:sz w:val="13"/>
                <w:szCs w:val="13"/>
                <w:b w:val="1"/>
                <w:bCs w:val="1"/>
                <w:color w:val="auto"/>
                <w:w w:val="92"/>
              </w:rPr>
              <w:t>Group</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ind w:left="40"/>
              <w:spacing w:after="0"/>
              <w:rPr>
                <w:sz w:val="20"/>
                <w:szCs w:val="20"/>
                <w:color w:val="auto"/>
              </w:rPr>
            </w:pPr>
            <w:r>
              <w:rPr>
                <w:rFonts w:ascii="Arial" w:cs="Arial" w:eastAsia="Arial" w:hAnsi="Arial"/>
                <w:sz w:val="13"/>
                <w:szCs w:val="13"/>
                <w:b w:val="1"/>
                <w:bCs w:val="1"/>
                <w:color w:val="auto"/>
              </w:rPr>
              <w:t>Eliminations</w:t>
            </w:r>
          </w:p>
        </w:tc>
        <w:tc>
          <w:tcPr>
            <w:tcW w:w="760" w:type="dxa"/>
            <w:vAlign w:val="bottom"/>
          </w:tcPr>
          <w:p>
            <w:pPr>
              <w:ind w:left="40"/>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134"/>
        </w:trPr>
        <w:tc>
          <w:tcPr>
            <w:tcW w:w="2040" w:type="dxa"/>
            <w:vAlign w:val="bottom"/>
            <w:tcBorders>
              <w:top w:val="single" w:sz="8" w:color="CCEEFF"/>
            </w:tcBorders>
            <w:shd w:val="clear" w:color="auto" w:fill="CCEEFF"/>
          </w:tcPr>
          <w:p>
            <w:pPr>
              <w:ind w:left="40"/>
              <w:spacing w:after="0" w:line="134" w:lineRule="exact"/>
              <w:rPr>
                <w:sz w:val="20"/>
                <w:szCs w:val="20"/>
                <w:color w:val="auto"/>
              </w:rPr>
            </w:pPr>
            <w:r>
              <w:rPr>
                <w:rFonts w:ascii="Arial" w:cs="Arial" w:eastAsia="Arial" w:hAnsi="Arial"/>
                <w:sz w:val="13"/>
                <w:szCs w:val="13"/>
                <w:color w:val="auto"/>
              </w:rPr>
              <w:t>Cash Flows from Operating</w:t>
            </w: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Activities:</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4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6"/>
              </w:rPr>
              <w:t>$ (3,357)</w:t>
            </w:r>
          </w:p>
        </w:tc>
        <w:tc>
          <w:tcPr>
            <w:tcW w:w="120" w:type="dxa"/>
            <w:vAlign w:val="bottom"/>
          </w:tcPr>
          <w:p>
            <w:pPr>
              <w:spacing w:after="0"/>
              <w:rPr>
                <w:sz w:val="15"/>
                <w:szCs w:val="15"/>
                <w:color w:val="auto"/>
              </w:rPr>
            </w:pP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w w:val="97"/>
              </w:rPr>
              <w:t>$  123,115</w:t>
            </w:r>
          </w:p>
        </w:tc>
        <w:tc>
          <w:tcPr>
            <w:tcW w:w="100" w:type="dxa"/>
            <w:vAlign w:val="bottom"/>
          </w:tcPr>
          <w:p>
            <w:pPr>
              <w:spacing w:after="0"/>
              <w:rPr>
                <w:sz w:val="15"/>
                <w:szCs w:val="15"/>
                <w:color w:val="auto"/>
              </w:rPr>
            </w:pPr>
          </w:p>
        </w:tc>
        <w:tc>
          <w:tcPr>
            <w:tcW w:w="20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57"/>
              <w:spacing w:after="0"/>
              <w:rPr>
                <w:sz w:val="20"/>
                <w:szCs w:val="20"/>
                <w:color w:val="auto"/>
              </w:rPr>
            </w:pPr>
            <w:r>
              <w:rPr>
                <w:rFonts w:ascii="Arial" w:cs="Arial" w:eastAsia="Arial" w:hAnsi="Arial"/>
                <w:sz w:val="13"/>
                <w:szCs w:val="13"/>
                <w:color w:val="auto"/>
              </w:rPr>
              <w:t>1,963</w:t>
            </w:r>
          </w:p>
        </w:tc>
        <w:tc>
          <w:tcPr>
            <w:tcW w:w="120" w:type="dxa"/>
            <w:vAlign w:val="bottom"/>
          </w:tcPr>
          <w:p>
            <w:pPr>
              <w:spacing w:after="0"/>
              <w:rPr>
                <w:sz w:val="15"/>
                <w:szCs w:val="15"/>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auto"/>
              </w:rPr>
              <w:t>$  121,721</w:t>
            </w:r>
          </w:p>
        </w:tc>
        <w:tc>
          <w:tcPr>
            <w:tcW w:w="10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7"/>
              </w:rPr>
              <w:t>$ (19,933)</w:t>
            </w:r>
          </w:p>
        </w:tc>
        <w:tc>
          <w:tcPr>
            <w:tcW w:w="1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w w:val="89"/>
              </w:rPr>
              <w:t>$ 151,743</w:t>
            </w:r>
          </w:p>
        </w:tc>
        <w:tc>
          <w:tcPr>
            <w:tcW w:w="400" w:type="dxa"/>
            <w:vAlign w:val="bottom"/>
            <w:gridSpan w:val="3"/>
            <w:vMerge w:val="restart"/>
          </w:tcPr>
          <w:p>
            <w:pPr>
              <w:ind w:left="22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57"/>
              <w:spacing w:after="0"/>
              <w:rPr>
                <w:sz w:val="20"/>
                <w:szCs w:val="20"/>
                <w:color w:val="auto"/>
              </w:rPr>
            </w:pPr>
            <w:r>
              <w:rPr>
                <w:rFonts w:ascii="Arial" w:cs="Arial" w:eastAsia="Arial" w:hAnsi="Arial"/>
                <w:sz w:val="13"/>
                <w:szCs w:val="13"/>
                <w:color w:val="auto"/>
              </w:rPr>
              <w:t>7,174</w:t>
            </w:r>
          </w:p>
        </w:tc>
        <w:tc>
          <w:tcPr>
            <w:tcW w:w="120" w:type="dxa"/>
            <w:vAlign w:val="bottom"/>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  138,984</w:t>
            </w:r>
          </w:p>
        </w:tc>
        <w:tc>
          <w:tcPr>
            <w:tcW w:w="12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7"/>
              </w:rPr>
              <w:t>$ (22,657)</w:t>
            </w:r>
          </w:p>
        </w:tc>
        <w:tc>
          <w:tcPr>
            <w:tcW w:w="12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w w:val="86"/>
              </w:rPr>
              <w:t>$ 120,197</w:t>
            </w:r>
          </w:p>
        </w:tc>
        <w:tc>
          <w:tcPr>
            <w:tcW w:w="420" w:type="dxa"/>
            <w:vAlign w:val="bottom"/>
            <w:gridSpan w:val="3"/>
            <w:vMerge w:val="restart"/>
          </w:tcPr>
          <w:p>
            <w:pPr>
              <w:ind w:left="24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57"/>
              <w:spacing w:after="0"/>
              <w:rPr>
                <w:sz w:val="20"/>
                <w:szCs w:val="20"/>
                <w:color w:val="auto"/>
              </w:rPr>
            </w:pPr>
            <w:r>
              <w:rPr>
                <w:rFonts w:ascii="Arial" w:cs="Arial" w:eastAsia="Arial" w:hAnsi="Arial"/>
                <w:sz w:val="13"/>
                <w:szCs w:val="13"/>
                <w:color w:val="auto"/>
              </w:rPr>
              <w:t>5,042</w:t>
            </w:r>
          </w:p>
        </w:tc>
        <w:tc>
          <w:tcPr>
            <w:tcW w:w="100" w:type="dxa"/>
            <w:vAlign w:val="bottom"/>
          </w:tcPr>
          <w:p>
            <w:pPr>
              <w:spacing w:after="0"/>
              <w:rPr>
                <w:sz w:val="15"/>
                <w:szCs w:val="15"/>
                <w:color w:val="auto"/>
              </w:rPr>
            </w:pPr>
          </w:p>
        </w:tc>
        <w:tc>
          <w:tcPr>
            <w:tcW w:w="760" w:type="dxa"/>
            <w:vAlign w:val="bottom"/>
            <w:vMerge w:val="restart"/>
          </w:tcPr>
          <w:p>
            <w:pPr>
              <w:ind w:left="40"/>
              <w:spacing w:after="0"/>
              <w:rPr>
                <w:sz w:val="20"/>
                <w:szCs w:val="20"/>
                <w:color w:val="auto"/>
              </w:rPr>
            </w:pPr>
            <w:r>
              <w:rPr>
                <w:rFonts w:ascii="Arial" w:cs="Arial" w:eastAsia="Arial" w:hAnsi="Arial"/>
                <w:sz w:val="13"/>
                <w:szCs w:val="13"/>
                <w:color w:val="auto"/>
              </w:rPr>
              <w:t>$  102,582</w:t>
            </w:r>
          </w:p>
        </w:tc>
        <w:tc>
          <w:tcPr>
            <w:tcW w:w="0" w:type="dxa"/>
            <w:vAlign w:val="bottom"/>
          </w:tcPr>
          <w:p>
            <w:pPr>
              <w:spacing w:after="0"/>
              <w:rPr>
                <w:sz w:val="1"/>
                <w:szCs w:val="1"/>
                <w:color w:val="auto"/>
              </w:rPr>
            </w:pPr>
          </w:p>
        </w:tc>
      </w:tr>
      <w:tr>
        <w:trPr>
          <w:trHeight w:val="81"/>
        </w:trPr>
        <w:tc>
          <w:tcPr>
            <w:tcW w:w="20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411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Adjustments to reconcile net</w:t>
      </w:r>
    </w:p>
    <w:p>
      <w:pPr>
        <w:ind w:left="340"/>
        <w:spacing w:after="0" w:line="221" w:lineRule="auto"/>
        <w:rPr>
          <w:sz w:val="20"/>
          <w:szCs w:val="20"/>
          <w:color w:val="auto"/>
        </w:rPr>
      </w:pPr>
      <w:r>
        <w:rPr>
          <w:rFonts w:ascii="Arial" w:cs="Arial" w:eastAsia="Arial" w:hAnsi="Arial"/>
          <w:sz w:val="14"/>
          <w:szCs w:val="14"/>
          <w:color w:val="auto"/>
        </w:rPr>
        <w:t>income (loss) to net cash</w:t>
      </w:r>
    </w:p>
    <w:p>
      <w:pPr>
        <w:ind w:left="340"/>
        <w:spacing w:after="0" w:line="221" w:lineRule="auto"/>
        <w:rPr>
          <w:sz w:val="20"/>
          <w:szCs w:val="20"/>
          <w:color w:val="auto"/>
        </w:rPr>
      </w:pPr>
      <w:r>
        <w:rPr>
          <w:rFonts w:ascii="Arial" w:cs="Arial" w:eastAsia="Arial" w:hAnsi="Arial"/>
          <w:sz w:val="14"/>
          <w:szCs w:val="14"/>
          <w:color w:val="auto"/>
        </w:rPr>
        <w:t>flows from operating</w:t>
      </w:r>
    </w:p>
    <w:p>
      <w:pPr>
        <w:ind w:left="340"/>
        <w:spacing w:after="0"/>
        <w:rPr>
          <w:sz w:val="20"/>
          <w:szCs w:val="20"/>
          <w:color w:val="auto"/>
        </w:rPr>
      </w:pPr>
      <w:r>
        <w:rPr>
          <w:rFonts w:ascii="Arial" w:cs="Arial" w:eastAsia="Arial" w:hAnsi="Arial"/>
          <w:sz w:val="14"/>
          <w:szCs w:val="14"/>
          <w:color w:val="auto"/>
        </w:rPr>
        <w:t>activities:</w:t>
      </w:r>
    </w:p>
    <w:p>
      <w:pPr>
        <w:sectPr>
          <w:pgSz w:w="11900" w:h="16838" w:orient="portrait"/>
          <w:cols w:equalWidth="0" w:num="1">
            <w:col w:w="11420"/>
          </w:cols>
          <w:pgMar w:left="240" w:top="580" w:right="239" w:bottom="0" w:gutter="0" w:footer="0" w:header="0"/>
        </w:sectPr>
      </w:pPr>
    </w:p>
    <w:p>
      <w:pPr>
        <w:spacing w:after="0" w:line="2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Depreciation and amortization</w:t>
      </w:r>
    </w:p>
    <w:p>
      <w:pPr>
        <w:spacing w:after="0" w:line="132" w:lineRule="exact"/>
        <w:rPr>
          <w:sz w:val="20"/>
          <w:szCs w:val="20"/>
          <w:color w:val="auto"/>
        </w:rPr>
      </w:pPr>
    </w:p>
    <w:p>
      <w:pPr>
        <w:ind w:left="280" w:right="440"/>
        <w:spacing w:after="0" w:line="307" w:lineRule="auto"/>
        <w:rPr>
          <w:sz w:val="20"/>
          <w:szCs w:val="20"/>
          <w:color w:val="auto"/>
        </w:rPr>
      </w:pPr>
      <w:r>
        <w:rPr>
          <w:rFonts w:ascii="Arial" w:cs="Arial" w:eastAsia="Arial" w:hAnsi="Arial"/>
          <w:sz w:val="11"/>
          <w:szCs w:val="11"/>
          <w:color w:val="auto"/>
        </w:rPr>
        <w:t>Equity in earnings of unconsolidated affiliate</w:t>
      </w:r>
    </w:p>
    <w:p>
      <w:pPr>
        <w:spacing w:after="0" w:line="1" w:lineRule="exact"/>
        <w:rPr>
          <w:sz w:val="20"/>
          <w:szCs w:val="20"/>
          <w:color w:val="auto"/>
        </w:rPr>
      </w:pPr>
    </w:p>
    <w:p>
      <w:pPr>
        <w:ind w:left="280" w:right="220"/>
        <w:spacing w:after="0" w:line="230" w:lineRule="auto"/>
        <w:rPr>
          <w:sz w:val="20"/>
          <w:szCs w:val="20"/>
          <w:color w:val="auto"/>
        </w:rPr>
      </w:pPr>
      <w:r>
        <w:rPr>
          <w:rFonts w:ascii="Arial" w:cs="Arial" w:eastAsia="Arial" w:hAnsi="Arial"/>
          <w:sz w:val="13"/>
          <w:szCs w:val="13"/>
          <w:color w:val="auto"/>
        </w:rPr>
        <w:t>Economic interest in loss (earnings) of Hughes Retail Group</w:t>
      </w:r>
    </w:p>
    <w:p>
      <w:pPr>
        <w:spacing w:after="0" w:line="29" w:lineRule="exact"/>
        <w:rPr>
          <w:sz w:val="20"/>
          <w:szCs w:val="20"/>
          <w:color w:val="auto"/>
        </w:rPr>
      </w:pPr>
    </w:p>
    <w:p>
      <w:pPr>
        <w:ind w:left="280" w:right="100"/>
        <w:spacing w:after="0" w:line="237" w:lineRule="auto"/>
        <w:rPr>
          <w:sz w:val="20"/>
          <w:szCs w:val="20"/>
          <w:color w:val="auto"/>
        </w:rPr>
      </w:pPr>
      <w:r>
        <w:rPr>
          <w:rFonts w:ascii="Arial" w:cs="Arial" w:eastAsia="Arial" w:hAnsi="Arial"/>
          <w:sz w:val="13"/>
          <w:szCs w:val="13"/>
          <w:color w:val="auto"/>
        </w:rPr>
        <w:t>Amortization of debt issuance costs</w:t>
      </w:r>
    </w:p>
    <w:p>
      <w:pPr>
        <w:spacing w:after="0" w:line="29" w:lineRule="exact"/>
        <w:rPr>
          <w:sz w:val="20"/>
          <w:szCs w:val="20"/>
          <w:color w:val="auto"/>
        </w:rPr>
      </w:pPr>
    </w:p>
    <w:p>
      <w:pPr>
        <w:ind w:left="280" w:right="20"/>
        <w:spacing w:after="0" w:line="237" w:lineRule="auto"/>
        <w:rPr>
          <w:sz w:val="20"/>
          <w:szCs w:val="20"/>
          <w:color w:val="auto"/>
        </w:rPr>
      </w:pPr>
      <w:r>
        <w:rPr>
          <w:rFonts w:ascii="Arial" w:cs="Arial" w:eastAsia="Arial" w:hAnsi="Arial"/>
          <w:sz w:val="13"/>
          <w:szCs w:val="13"/>
          <w:color w:val="auto"/>
        </w:rPr>
        <w:t>Loss from partial redemption of debt</w:t>
      </w:r>
    </w:p>
    <w:p>
      <w:pPr>
        <w:spacing w:after="0" w:line="29" w:lineRule="exact"/>
        <w:rPr>
          <w:sz w:val="20"/>
          <w:szCs w:val="20"/>
          <w:color w:val="auto"/>
        </w:rPr>
      </w:pPr>
    </w:p>
    <w:p>
      <w:pPr>
        <w:ind w:left="280" w:right="360"/>
        <w:spacing w:after="0" w:line="307" w:lineRule="auto"/>
        <w:rPr>
          <w:sz w:val="20"/>
          <w:szCs w:val="20"/>
          <w:color w:val="auto"/>
        </w:rPr>
      </w:pPr>
      <w:r>
        <w:rPr>
          <w:rFonts w:ascii="Arial" w:cs="Arial" w:eastAsia="Arial" w:hAnsi="Arial"/>
          <w:sz w:val="11"/>
          <w:szCs w:val="11"/>
          <w:color w:val="auto"/>
        </w:rPr>
        <w:t>Dividends received from unconsolidated entity</w:t>
      </w:r>
    </w:p>
    <w:p>
      <w:pPr>
        <w:spacing w:after="0" w:line="1" w:lineRule="exact"/>
        <w:rPr>
          <w:sz w:val="20"/>
          <w:szCs w:val="20"/>
          <w:color w:val="auto"/>
        </w:rPr>
      </w:pPr>
    </w:p>
    <w:p>
      <w:pPr>
        <w:ind w:left="280" w:right="140"/>
        <w:spacing w:after="0" w:line="237" w:lineRule="auto"/>
        <w:rPr>
          <w:sz w:val="20"/>
          <w:szCs w:val="20"/>
          <w:color w:val="auto"/>
        </w:rPr>
      </w:pPr>
      <w:r>
        <w:rPr>
          <w:rFonts w:ascii="Arial" w:cs="Arial" w:eastAsia="Arial" w:hAnsi="Arial"/>
          <w:sz w:val="13"/>
          <w:szCs w:val="13"/>
          <w:color w:val="auto"/>
        </w:rPr>
        <w:t>Proceeds from sale of trading securities</w:t>
      </w:r>
    </w:p>
    <w:p>
      <w:pPr>
        <w:spacing w:after="0" w:line="29" w:lineRule="exact"/>
        <w:rPr>
          <w:sz w:val="20"/>
          <w:szCs w:val="20"/>
          <w:color w:val="auto"/>
        </w:rPr>
      </w:pPr>
    </w:p>
    <w:p>
      <w:pPr>
        <w:ind w:left="500" w:right="40" w:hanging="161"/>
        <w:spacing w:after="0" w:line="277" w:lineRule="auto"/>
        <w:rPr>
          <w:sz w:val="20"/>
          <w:szCs w:val="20"/>
          <w:color w:val="auto"/>
        </w:rPr>
      </w:pPr>
      <w:r>
        <w:rPr>
          <w:rFonts w:ascii="Arial" w:cs="Arial" w:eastAsia="Arial" w:hAnsi="Arial"/>
          <w:sz w:val="11"/>
          <w:szCs w:val="11"/>
          <w:color w:val="auto"/>
        </w:rPr>
        <w:t>Losses (gains) and other-than-temporary impairments on marketable investment securities, net</w:t>
      </w:r>
    </w:p>
    <w:p>
      <w:pPr>
        <w:spacing w:after="0" w:line="10" w:lineRule="exact"/>
        <w:rPr>
          <w:sz w:val="20"/>
          <w:szCs w:val="20"/>
          <w:color w:val="auto"/>
        </w:rPr>
      </w:pPr>
    </w:p>
    <w:p>
      <w:pPr>
        <w:ind w:left="280" w:right="20"/>
        <w:spacing w:after="0" w:line="512" w:lineRule="auto"/>
        <w:rPr>
          <w:sz w:val="20"/>
          <w:szCs w:val="20"/>
          <w:color w:val="auto"/>
        </w:rPr>
      </w:pPr>
      <w:r>
        <w:rPr>
          <w:rFonts w:ascii="Arial" w:cs="Arial" w:eastAsia="Arial" w:hAnsi="Arial"/>
          <w:sz w:val="11"/>
          <w:szCs w:val="11"/>
          <w:color w:val="auto"/>
        </w:rPr>
        <w:t>Stock-based compensation Deferred tax provision (benefit)</w:t>
      </w:r>
    </w:p>
    <w:p>
      <w:pPr>
        <w:spacing w:after="0" w:line="1" w:lineRule="exact"/>
        <w:rPr>
          <w:sz w:val="20"/>
          <w:szCs w:val="20"/>
          <w:color w:val="auto"/>
        </w:rPr>
      </w:pPr>
    </w:p>
    <w:p>
      <w:pPr>
        <w:ind w:left="280" w:right="140"/>
        <w:spacing w:after="0" w:line="273" w:lineRule="auto"/>
        <w:rPr>
          <w:sz w:val="20"/>
          <w:szCs w:val="20"/>
          <w:color w:val="auto"/>
        </w:rPr>
      </w:pPr>
      <w:r>
        <w:rPr>
          <w:rFonts w:ascii="Arial" w:cs="Arial" w:eastAsia="Arial" w:hAnsi="Arial"/>
          <w:sz w:val="12"/>
          <w:szCs w:val="12"/>
          <w:color w:val="auto"/>
        </w:rPr>
        <w:t>Changes in current assets and current liabilities, net</w:t>
      </w:r>
    </w:p>
    <w:p>
      <w:pPr>
        <w:spacing w:after="0" w:line="10" w:lineRule="exact"/>
        <w:rPr>
          <w:sz w:val="20"/>
          <w:szCs w:val="20"/>
          <w:color w:val="auto"/>
        </w:rPr>
      </w:pPr>
    </w:p>
    <w:p>
      <w:pPr>
        <w:ind w:left="280" w:right="140"/>
        <w:spacing w:after="0" w:line="307" w:lineRule="auto"/>
        <w:rPr>
          <w:sz w:val="20"/>
          <w:szCs w:val="20"/>
          <w:color w:val="auto"/>
        </w:rPr>
      </w:pPr>
      <w:r>
        <w:rPr>
          <w:rFonts w:ascii="Arial" w:cs="Arial" w:eastAsia="Arial" w:hAnsi="Arial"/>
          <w:sz w:val="11"/>
          <w:szCs w:val="11"/>
          <w:color w:val="auto"/>
        </w:rPr>
        <w:t>Changes in noncurrent assets and noncurrent liabilities, net</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Other, net</w:t>
      </w:r>
    </w:p>
    <w:p>
      <w:pPr>
        <w:spacing w:after="0" w:line="121" w:lineRule="exact"/>
        <w:rPr>
          <w:sz w:val="20"/>
          <w:szCs w:val="20"/>
          <w:color w:val="auto"/>
        </w:rPr>
      </w:pPr>
    </w:p>
    <w:p>
      <w:pPr>
        <w:ind w:left="500" w:right="380"/>
        <w:spacing w:after="0" w:line="307" w:lineRule="auto"/>
        <w:rPr>
          <w:sz w:val="20"/>
          <w:szCs w:val="20"/>
          <w:color w:val="auto"/>
        </w:rPr>
      </w:pPr>
      <w:r>
        <w:rPr>
          <w:rFonts w:ascii="Arial" w:cs="Arial" w:eastAsia="Arial" w:hAnsi="Arial"/>
          <w:sz w:val="11"/>
          <w:szCs w:val="11"/>
          <w:color w:val="auto"/>
        </w:rPr>
        <w:t>Net cash flows from operating activities</w:t>
      </w:r>
    </w:p>
    <w:p>
      <w:pPr>
        <w:spacing w:after="0" w:line="1" w:lineRule="exact"/>
        <w:rPr>
          <w:sz w:val="20"/>
          <w:szCs w:val="20"/>
          <w:color w:val="auto"/>
        </w:rPr>
      </w:pPr>
    </w:p>
    <w:p>
      <w:pPr>
        <w:ind w:left="40" w:right="500"/>
        <w:spacing w:after="0" w:line="237" w:lineRule="auto"/>
        <w:rPr>
          <w:sz w:val="20"/>
          <w:szCs w:val="20"/>
          <w:color w:val="auto"/>
        </w:rPr>
      </w:pPr>
      <w:r>
        <w:rPr>
          <w:rFonts w:ascii="Arial" w:cs="Arial" w:eastAsia="Arial" w:hAnsi="Arial"/>
          <w:sz w:val="13"/>
          <w:szCs w:val="13"/>
          <w:color w:val="auto"/>
        </w:rPr>
        <w:t>Cash Flows from Investing Activities:</w:t>
      </w:r>
    </w:p>
    <w:p>
      <w:pPr>
        <w:spacing w:after="0" w:line="29" w:lineRule="exact"/>
        <w:rPr>
          <w:sz w:val="20"/>
          <w:szCs w:val="20"/>
          <w:color w:val="auto"/>
        </w:rPr>
      </w:pPr>
    </w:p>
    <w:p>
      <w:pPr>
        <w:ind w:left="40" w:right="40"/>
        <w:spacing w:after="0" w:line="237" w:lineRule="auto"/>
        <w:rPr>
          <w:sz w:val="20"/>
          <w:szCs w:val="20"/>
          <w:color w:val="auto"/>
        </w:rPr>
      </w:pPr>
      <w:r>
        <w:rPr>
          <w:rFonts w:ascii="Arial" w:cs="Arial" w:eastAsia="Arial" w:hAnsi="Arial"/>
          <w:sz w:val="13"/>
          <w:szCs w:val="13"/>
          <w:color w:val="auto"/>
        </w:rPr>
        <w:t>Purchases of marketable investment securities</w:t>
      </w:r>
    </w:p>
    <w:p>
      <w:pPr>
        <w:spacing w:after="0" w:line="29" w:lineRule="exact"/>
        <w:rPr>
          <w:sz w:val="20"/>
          <w:szCs w:val="20"/>
          <w:color w:val="auto"/>
        </w:rPr>
      </w:pPr>
    </w:p>
    <w:p>
      <w:pPr>
        <w:ind w:left="40" w:right="120"/>
        <w:spacing w:after="0" w:line="307" w:lineRule="auto"/>
        <w:rPr>
          <w:sz w:val="20"/>
          <w:szCs w:val="20"/>
          <w:color w:val="auto"/>
        </w:rPr>
      </w:pPr>
      <w:r>
        <w:rPr>
          <w:rFonts w:ascii="Arial" w:cs="Arial" w:eastAsia="Arial" w:hAnsi="Arial"/>
          <w:sz w:val="11"/>
          <w:szCs w:val="11"/>
          <w:color w:val="auto"/>
        </w:rPr>
        <w:t>Sales and maturities of marketable investment securities</w:t>
      </w:r>
    </w:p>
    <w:p>
      <w:pPr>
        <w:spacing w:after="0" w:line="1" w:lineRule="exact"/>
        <w:rPr>
          <w:sz w:val="20"/>
          <w:szCs w:val="20"/>
          <w:color w:val="auto"/>
        </w:rPr>
      </w:pPr>
    </w:p>
    <w:p>
      <w:pPr>
        <w:ind w:left="40" w:right="360"/>
        <w:spacing w:after="0" w:line="237" w:lineRule="auto"/>
        <w:rPr>
          <w:sz w:val="20"/>
          <w:szCs w:val="20"/>
          <w:color w:val="auto"/>
        </w:rPr>
      </w:pPr>
      <w:r>
        <w:rPr>
          <w:rFonts w:ascii="Arial" w:cs="Arial" w:eastAsia="Arial" w:hAnsi="Arial"/>
          <w:sz w:val="13"/>
          <w:szCs w:val="13"/>
          <w:color w:val="auto"/>
        </w:rPr>
        <w:t>Expenditures for property and equipment</w:t>
      </w:r>
    </w:p>
    <w:p>
      <w:pPr>
        <w:spacing w:after="0" w:line="29" w:lineRule="exact"/>
        <w:rPr>
          <w:sz w:val="20"/>
          <w:szCs w:val="20"/>
          <w:color w:val="auto"/>
        </w:rPr>
      </w:pPr>
    </w:p>
    <w:p>
      <w:pPr>
        <w:ind w:left="40" w:right="120"/>
        <w:spacing w:after="0" w:line="237" w:lineRule="auto"/>
        <w:rPr>
          <w:sz w:val="20"/>
          <w:szCs w:val="20"/>
          <w:color w:val="auto"/>
        </w:rPr>
      </w:pPr>
      <w:r>
        <w:rPr>
          <w:rFonts w:ascii="Arial" w:cs="Arial" w:eastAsia="Arial" w:hAnsi="Arial"/>
          <w:sz w:val="13"/>
          <w:szCs w:val="13"/>
          <w:color w:val="auto"/>
        </w:rPr>
        <w:t>Change in restricted cash and cash equivalents</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Inter-group advances</w:t>
      </w:r>
    </w:p>
    <w:p>
      <w:pPr>
        <w:spacing w:after="0" w:line="121" w:lineRule="exact"/>
        <w:rPr>
          <w:sz w:val="20"/>
          <w:szCs w:val="20"/>
          <w:color w:val="auto"/>
        </w:rPr>
      </w:pPr>
    </w:p>
    <w:p>
      <w:pPr>
        <w:ind w:left="40" w:right="120"/>
        <w:spacing w:after="0" w:line="237" w:lineRule="auto"/>
        <w:rPr>
          <w:sz w:val="20"/>
          <w:szCs w:val="20"/>
          <w:color w:val="auto"/>
        </w:rPr>
      </w:pPr>
      <w:r>
        <w:rPr>
          <w:rFonts w:ascii="Arial" w:cs="Arial" w:eastAsia="Arial" w:hAnsi="Arial"/>
          <w:sz w:val="13"/>
          <w:szCs w:val="13"/>
          <w:color w:val="auto"/>
        </w:rPr>
        <w:t>Payment for EchoStar XXI launch services</w:t>
      </w:r>
    </w:p>
    <w:p>
      <w:pPr>
        <w:spacing w:after="0" w:line="29" w:lineRule="exact"/>
        <w:rPr>
          <w:sz w:val="20"/>
          <w:szCs w:val="20"/>
          <w:color w:val="auto"/>
        </w:rPr>
      </w:pPr>
    </w:p>
    <w:p>
      <w:pPr>
        <w:ind w:left="40" w:right="480"/>
        <w:spacing w:after="0" w:line="307" w:lineRule="auto"/>
        <w:rPr>
          <w:sz w:val="20"/>
          <w:szCs w:val="20"/>
          <w:color w:val="auto"/>
        </w:rPr>
      </w:pPr>
      <w:r>
        <w:rPr>
          <w:rFonts w:ascii="Arial" w:cs="Arial" w:eastAsia="Arial" w:hAnsi="Arial"/>
          <w:sz w:val="11"/>
          <w:szCs w:val="11"/>
          <w:color w:val="auto"/>
        </w:rPr>
        <w:t>Expenditures for externally marketed software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net</w:t>
      </w:r>
    </w:p>
    <w:p>
      <w:pPr>
        <w:spacing w:after="0" w:line="121" w:lineRule="exact"/>
        <w:rPr>
          <w:sz w:val="20"/>
          <w:szCs w:val="20"/>
          <w:color w:val="auto"/>
        </w:rPr>
      </w:pPr>
    </w:p>
    <w:p>
      <w:pPr>
        <w:ind w:left="500" w:right="380"/>
        <w:spacing w:after="0" w:line="307" w:lineRule="auto"/>
        <w:rPr>
          <w:sz w:val="20"/>
          <w:szCs w:val="20"/>
          <w:color w:val="auto"/>
        </w:rPr>
      </w:pPr>
      <w:r>
        <w:rPr>
          <w:rFonts w:ascii="Arial" w:cs="Arial" w:eastAsia="Arial" w:hAnsi="Arial"/>
          <w:sz w:val="11"/>
          <w:szCs w:val="11"/>
          <w:color w:val="auto"/>
        </w:rPr>
        <w:t>Net cash flows from investing activities</w:t>
      </w:r>
    </w:p>
    <w:p>
      <w:pPr>
        <w:spacing w:after="0" w:line="1" w:lineRule="exact"/>
        <w:rPr>
          <w:sz w:val="20"/>
          <w:szCs w:val="20"/>
          <w:color w:val="auto"/>
        </w:rPr>
      </w:pPr>
    </w:p>
    <w:p>
      <w:pPr>
        <w:ind w:left="40" w:right="460"/>
        <w:spacing w:after="0" w:line="237" w:lineRule="auto"/>
        <w:rPr>
          <w:sz w:val="20"/>
          <w:szCs w:val="20"/>
          <w:color w:val="auto"/>
        </w:rPr>
      </w:pPr>
      <w:r>
        <w:rPr>
          <w:rFonts w:ascii="Arial" w:cs="Arial" w:eastAsia="Arial" w:hAnsi="Arial"/>
          <w:sz w:val="13"/>
          <w:szCs w:val="13"/>
          <w:color w:val="auto"/>
        </w:rPr>
        <w:t>Cash Flows from Financing Activities:</w:t>
      </w:r>
    </w:p>
    <w:p>
      <w:pPr>
        <w:spacing w:after="0" w:line="29" w:lineRule="exact"/>
        <w:rPr>
          <w:sz w:val="20"/>
          <w:szCs w:val="20"/>
          <w:color w:val="auto"/>
        </w:rPr>
      </w:pPr>
    </w:p>
    <w:p>
      <w:pPr>
        <w:ind w:left="40" w:right="20"/>
        <w:spacing w:after="0" w:line="237" w:lineRule="auto"/>
        <w:rPr>
          <w:sz w:val="20"/>
          <w:szCs w:val="20"/>
          <w:color w:val="auto"/>
        </w:rPr>
      </w:pPr>
      <w:r>
        <w:rPr>
          <w:rFonts w:ascii="Arial" w:cs="Arial" w:eastAsia="Arial" w:hAnsi="Arial"/>
          <w:sz w:val="13"/>
          <w:szCs w:val="13"/>
          <w:color w:val="auto"/>
        </w:rPr>
        <w:t>Proceeds from issuance of long-term debt</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2"/>
          <w:szCs w:val="12"/>
          <w:color w:val="auto"/>
        </w:rPr>
        <w:t>Payments of debt issuance costs</w:t>
      </w:r>
    </w:p>
    <w:p>
      <w:pPr>
        <w:spacing w:after="0" w:line="132" w:lineRule="exact"/>
        <w:rPr>
          <w:sz w:val="20"/>
          <w:szCs w:val="20"/>
          <w:color w:val="auto"/>
        </w:rPr>
      </w:pPr>
    </w:p>
    <w:p>
      <w:pPr>
        <w:ind w:left="200" w:hanging="161"/>
        <w:spacing w:after="0" w:line="230" w:lineRule="auto"/>
        <w:rPr>
          <w:sz w:val="20"/>
          <w:szCs w:val="20"/>
          <w:color w:val="auto"/>
        </w:rPr>
      </w:pPr>
      <w:r>
        <w:rPr>
          <w:rFonts w:ascii="Arial" w:cs="Arial" w:eastAsia="Arial" w:hAnsi="Arial"/>
          <w:sz w:val="13"/>
          <w:szCs w:val="13"/>
          <w:color w:val="auto"/>
        </w:rPr>
        <w:t>Net Proceeds from issuance of Hughes Retail Preferred Tracking Stock</w:t>
      </w:r>
    </w:p>
    <w:p>
      <w:pPr>
        <w:spacing w:after="0" w:line="29" w:lineRule="exact"/>
        <w:rPr>
          <w:sz w:val="20"/>
          <w:szCs w:val="20"/>
          <w:color w:val="auto"/>
        </w:rPr>
      </w:pPr>
    </w:p>
    <w:p>
      <w:pPr>
        <w:ind w:left="200" w:right="80" w:hanging="161"/>
        <w:spacing w:after="0" w:line="307" w:lineRule="auto"/>
        <w:rPr>
          <w:sz w:val="20"/>
          <w:szCs w:val="20"/>
          <w:color w:val="auto"/>
        </w:rPr>
      </w:pPr>
      <w:r>
        <w:rPr>
          <w:rFonts w:ascii="Arial" w:cs="Arial" w:eastAsia="Arial" w:hAnsi="Arial"/>
          <w:sz w:val="11"/>
          <w:szCs w:val="11"/>
          <w:color w:val="auto"/>
        </w:rPr>
        <w:t>Repayment of 6 1/2% Senior Notes Due 2019 and related premium</w:t>
      </w:r>
    </w:p>
    <w:p>
      <w:pPr>
        <w:spacing w:after="0" w:line="1" w:lineRule="exact"/>
        <w:rPr>
          <w:sz w:val="20"/>
          <w:szCs w:val="20"/>
          <w:color w:val="auto"/>
        </w:rPr>
      </w:pPr>
    </w:p>
    <w:p>
      <w:pPr>
        <w:ind w:left="40" w:right="80"/>
        <w:spacing w:after="0" w:line="273" w:lineRule="auto"/>
        <w:rPr>
          <w:sz w:val="20"/>
          <w:szCs w:val="20"/>
          <w:color w:val="auto"/>
        </w:rPr>
      </w:pPr>
      <w:r>
        <w:rPr>
          <w:rFonts w:ascii="Arial" w:cs="Arial" w:eastAsia="Arial" w:hAnsi="Arial"/>
          <w:sz w:val="12"/>
          <w:szCs w:val="12"/>
          <w:color w:val="auto"/>
        </w:rPr>
        <w:t>Repayment of other long-term debt and capital lease obligations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3"/>
          <w:szCs w:val="13"/>
          <w:color w:val="auto"/>
        </w:rPr>
        <w:t>Advances from affiliates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Inter-group advances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Capital contribution from EchoStar</w:t>
      </w:r>
    </w:p>
    <w:p>
      <w:pPr>
        <w:spacing w:after="0" w:line="132" w:lineRule="exact"/>
        <w:rPr>
          <w:sz w:val="20"/>
          <w:szCs w:val="20"/>
          <w:color w:val="auto"/>
        </w:rPr>
      </w:pPr>
    </w:p>
    <w:p>
      <w:pPr>
        <w:ind w:left="40" w:right="260"/>
        <w:spacing w:after="0" w:line="307" w:lineRule="auto"/>
        <w:rPr>
          <w:sz w:val="20"/>
          <w:szCs w:val="20"/>
          <w:color w:val="auto"/>
        </w:rPr>
      </w:pPr>
      <w:r>
        <w:rPr>
          <w:rFonts w:ascii="Arial" w:cs="Arial" w:eastAsia="Arial" w:hAnsi="Arial"/>
          <w:sz w:val="11"/>
          <w:szCs w:val="11"/>
          <w:color w:val="auto"/>
        </w:rPr>
        <w:t>Inter-group equity contributions (distributions), net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net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580" w:type="dxa"/>
            <w:vAlign w:val="bottom"/>
          </w:tcPr>
          <w:p>
            <w:pPr>
              <w:jc w:val="right"/>
              <w:ind w:right="17"/>
              <w:spacing w:after="0"/>
              <w:rPr>
                <w:sz w:val="20"/>
                <w:szCs w:val="20"/>
                <w:color w:val="auto"/>
              </w:rPr>
            </w:pPr>
            <w:r>
              <w:rPr>
                <w:rFonts w:ascii="Arial" w:cs="Arial" w:eastAsia="Arial" w:hAnsi="Arial"/>
                <w:sz w:val="13"/>
                <w:szCs w:val="13"/>
                <w:color w:val="auto"/>
              </w:rPr>
              <w:t>132,122</w:t>
            </w:r>
          </w:p>
        </w:tc>
        <w:tc>
          <w:tcPr>
            <w:tcW w:w="12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290,279</w:t>
            </w:r>
          </w:p>
        </w:tc>
        <w:tc>
          <w:tcPr>
            <w:tcW w:w="100" w:type="dxa"/>
            <w:vAlign w:val="bottom"/>
          </w:tcPr>
          <w:p>
            <w:pPr>
              <w:spacing w:after="0"/>
              <w:rPr>
                <w:sz w:val="13"/>
                <w:szCs w:val="13"/>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(8,268)</w:t>
            </w:r>
          </w:p>
        </w:tc>
        <w:tc>
          <w:tcPr>
            <w:tcW w:w="12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414,133</w:t>
            </w:r>
          </w:p>
        </w:tc>
        <w:tc>
          <w:tcPr>
            <w:tcW w:w="100" w:type="dxa"/>
            <w:vAlign w:val="bottom"/>
          </w:tcPr>
          <w:p>
            <w:pPr>
              <w:spacing w:after="0"/>
              <w:rPr>
                <w:sz w:val="13"/>
                <w:szCs w:val="1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139,443</w:t>
            </w:r>
          </w:p>
        </w:tc>
        <w:tc>
          <w:tcPr>
            <w:tcW w:w="100" w:type="dxa"/>
            <w:vAlign w:val="bottom"/>
          </w:tcPr>
          <w:p>
            <w:pPr>
              <w:spacing w:after="0"/>
              <w:rPr>
                <w:sz w:val="13"/>
                <w:szCs w:val="1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296,138</w:t>
            </w:r>
          </w:p>
        </w:tc>
        <w:tc>
          <w:tcPr>
            <w:tcW w:w="120" w:type="dxa"/>
            <w:vAlign w:val="bottom"/>
          </w:tcPr>
          <w:p>
            <w:pPr>
              <w:spacing w:after="0"/>
              <w:rPr>
                <w:sz w:val="13"/>
                <w:szCs w:val="13"/>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(5,454)</w:t>
            </w:r>
          </w:p>
        </w:tc>
        <w:tc>
          <w:tcPr>
            <w:tcW w:w="120" w:type="dxa"/>
            <w:vAlign w:val="bottom"/>
          </w:tcPr>
          <w:p>
            <w:pPr>
              <w:spacing w:after="0"/>
              <w:rPr>
                <w:sz w:val="13"/>
                <w:szCs w:val="13"/>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430,127</w:t>
            </w:r>
          </w:p>
        </w:tc>
        <w:tc>
          <w:tcPr>
            <w:tcW w:w="120" w:type="dxa"/>
            <w:vAlign w:val="bottom"/>
          </w:tcPr>
          <w:p>
            <w:pPr>
              <w:spacing w:after="0"/>
              <w:rPr>
                <w:sz w:val="13"/>
                <w:szCs w:val="13"/>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134,952</w:t>
            </w:r>
          </w:p>
        </w:tc>
        <w:tc>
          <w:tcPr>
            <w:tcW w:w="120" w:type="dxa"/>
            <w:vAlign w:val="bottom"/>
          </w:tcPr>
          <w:p>
            <w:pPr>
              <w:spacing w:after="0"/>
              <w:rPr>
                <w:sz w:val="13"/>
                <w:szCs w:val="1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318,538</w:t>
            </w:r>
          </w:p>
        </w:tc>
        <w:tc>
          <w:tcPr>
            <w:tcW w:w="100" w:type="dxa"/>
            <w:vAlign w:val="bottom"/>
          </w:tcPr>
          <w:p>
            <w:pPr>
              <w:spacing w:after="0"/>
              <w:rPr>
                <w:sz w:val="13"/>
                <w:szCs w:val="13"/>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(1,352)</w:t>
            </w:r>
          </w:p>
        </w:tc>
        <w:tc>
          <w:tcPr>
            <w:tcW w:w="10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452,138</w:t>
            </w:r>
          </w:p>
        </w:tc>
      </w:tr>
      <w:tr>
        <w:trPr>
          <w:trHeight w:val="324"/>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(9,444)</w:t>
            </w: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(9,444)</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(8,502)</w:t>
            </w: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(8,502)</w:t>
            </w:r>
          </w:p>
        </w:tc>
        <w:tc>
          <w:tcPr>
            <w:tcW w:w="1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(5,121)</w:t>
            </w: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(5,121)</w:t>
            </w:r>
          </w:p>
        </w:tc>
      </w:tr>
      <w:tr>
        <w:trPr>
          <w:trHeight w:val="459"/>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2,413</w:t>
            </w:r>
          </w:p>
        </w:tc>
        <w:tc>
          <w:tcPr>
            <w:tcW w:w="10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(2,413)</w:t>
            </w: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14,330</w:t>
            </w:r>
          </w:p>
        </w:tc>
        <w:tc>
          <w:tcPr>
            <w:tcW w:w="12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(14,330)</w:t>
            </w:r>
          </w:p>
        </w:tc>
        <w:tc>
          <w:tcPr>
            <w:tcW w:w="1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15,943</w:t>
            </w:r>
          </w:p>
        </w:tc>
        <w:tc>
          <w:tcPr>
            <w:tcW w:w="100" w:type="dxa"/>
            <w:vAlign w:val="bottom"/>
          </w:tcPr>
          <w:p>
            <w:pPr>
              <w:spacing w:after="0"/>
              <w:rPr>
                <w:sz w:val="24"/>
                <w:szCs w:val="2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(15,943)</w:t>
            </w:r>
          </w:p>
        </w:tc>
        <w:tc>
          <w:tcPr>
            <w:tcW w:w="10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324"/>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6,551</w:t>
            </w: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6,551</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6,042</w:t>
            </w: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6,042</w:t>
            </w:r>
          </w:p>
        </w:tc>
        <w:tc>
          <w:tcPr>
            <w:tcW w:w="1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5,813</w:t>
            </w: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5,813</w:t>
            </w:r>
          </w:p>
        </w:tc>
      </w:tr>
      <w:tr>
        <w:trPr>
          <w:trHeight w:val="324"/>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5,044</w:t>
            </w: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5,044</w:t>
            </w:r>
          </w:p>
        </w:tc>
        <w:tc>
          <w:tcPr>
            <w:tcW w:w="1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324"/>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2,400</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2,400</w:t>
            </w:r>
          </w:p>
        </w:tc>
      </w:tr>
      <w:tr>
        <w:trPr>
          <w:trHeight w:val="324"/>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7,140</w:t>
            </w: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7,140</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380</w:t>
            </w: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380</w:t>
            </w:r>
          </w:p>
        </w:tc>
        <w:tc>
          <w:tcPr>
            <w:tcW w:w="1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17,053</w:t>
            </w: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17,053</w:t>
            </w:r>
          </w:p>
        </w:tc>
      </w:tr>
      <w:tr>
        <w:trPr>
          <w:trHeight w:val="594"/>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(6,995)</w:t>
            </w: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(6,995)</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12,602</w:t>
            </w: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12,602</w:t>
            </w:r>
          </w:p>
        </w:tc>
        <w:tc>
          <w:tcPr>
            <w:tcW w:w="1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32</w:t>
            </w:r>
          </w:p>
        </w:tc>
      </w:tr>
      <w:tr>
        <w:trPr>
          <w:trHeight w:val="270"/>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4,822</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4,822</w:t>
            </w:r>
          </w:p>
        </w:tc>
        <w:tc>
          <w:tcPr>
            <w:tcW w:w="1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5,204</w:t>
            </w:r>
          </w:p>
        </w:tc>
        <w:tc>
          <w:tcPr>
            <w:tcW w:w="1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5,204</w:t>
            </w:r>
          </w:p>
        </w:tc>
        <w:tc>
          <w:tcPr>
            <w:tcW w:w="12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3,152</w:t>
            </w: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3,152</w:t>
            </w:r>
          </w:p>
        </w:tc>
      </w:tr>
      <w:tr>
        <w:trPr>
          <w:trHeight w:val="270"/>
        </w:trPr>
        <w:tc>
          <w:tcPr>
            <w:tcW w:w="580" w:type="dxa"/>
            <w:vAlign w:val="bottom"/>
          </w:tcPr>
          <w:p>
            <w:pPr>
              <w:jc w:val="right"/>
              <w:spacing w:after="0"/>
              <w:rPr>
                <w:sz w:val="20"/>
                <w:szCs w:val="20"/>
                <w:color w:val="auto"/>
              </w:rPr>
            </w:pPr>
            <w:r>
              <w:rPr>
                <w:rFonts w:ascii="Arial" w:cs="Arial" w:eastAsia="Arial" w:hAnsi="Arial"/>
                <w:sz w:val="13"/>
                <w:szCs w:val="13"/>
                <w:color w:val="auto"/>
              </w:rPr>
              <w:t>(19,722)</w:t>
            </w:r>
          </w:p>
        </w:tc>
        <w:tc>
          <w:tcPr>
            <w:tcW w:w="120" w:type="dxa"/>
            <w:vAlign w:val="bottom"/>
          </w:tcPr>
          <w:p>
            <w:pPr>
              <w:spacing w:after="0"/>
              <w:rPr>
                <w:sz w:val="23"/>
                <w:szCs w:val="2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90,623</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70,901</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(24,162)</w:t>
            </w:r>
          </w:p>
        </w:tc>
        <w:tc>
          <w:tcPr>
            <w:tcW w:w="10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92,173</w:t>
            </w:r>
          </w:p>
        </w:tc>
        <w:tc>
          <w:tcPr>
            <w:tcW w:w="1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68,011</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(31,607)</w:t>
            </w:r>
          </w:p>
        </w:tc>
        <w:tc>
          <w:tcPr>
            <w:tcW w:w="12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65,099</w:t>
            </w: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33,492</w:t>
            </w:r>
          </w:p>
        </w:tc>
      </w:tr>
      <w:tr>
        <w:trPr>
          <w:trHeight w:val="324"/>
        </w:trPr>
        <w:tc>
          <w:tcPr>
            <w:tcW w:w="580" w:type="dxa"/>
            <w:vAlign w:val="bottom"/>
          </w:tcPr>
          <w:p>
            <w:pPr>
              <w:jc w:val="right"/>
              <w:ind w:right="17"/>
              <w:spacing w:after="0"/>
              <w:rPr>
                <w:sz w:val="20"/>
                <w:szCs w:val="20"/>
                <w:color w:val="auto"/>
              </w:rPr>
            </w:pPr>
            <w:r>
              <w:rPr>
                <w:rFonts w:ascii="Arial" w:cs="Arial" w:eastAsia="Arial" w:hAnsi="Arial"/>
                <w:sz w:val="13"/>
                <w:szCs w:val="13"/>
                <w:color w:val="auto"/>
              </w:rPr>
              <w:t>26,009</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(103,100)</w:t>
            </w:r>
          </w:p>
        </w:tc>
        <w:tc>
          <w:tcPr>
            <w:tcW w:w="10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(536)</w:t>
            </w:r>
          </w:p>
        </w:tc>
        <w:tc>
          <w:tcPr>
            <w:tcW w:w="12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(77,627)</w:t>
            </w:r>
          </w:p>
        </w:tc>
        <w:tc>
          <w:tcPr>
            <w:tcW w:w="100" w:type="dxa"/>
            <w:vAlign w:val="bottom"/>
          </w:tcPr>
          <w:p>
            <w:pPr>
              <w:spacing w:after="0"/>
              <w:rPr>
                <w:sz w:val="24"/>
                <w:szCs w:val="24"/>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13,951</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(102,616)</w:t>
            </w:r>
          </w:p>
        </w:tc>
        <w:tc>
          <w:tcPr>
            <w:tcW w:w="12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(331)</w:t>
            </w:r>
          </w:p>
        </w:tc>
        <w:tc>
          <w:tcPr>
            <w:tcW w:w="120" w:type="dxa"/>
            <w:vAlign w:val="bottom"/>
          </w:tcPr>
          <w:p>
            <w:pPr>
              <w:spacing w:after="0"/>
              <w:rPr>
                <w:sz w:val="24"/>
                <w:szCs w:val="2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(88,996)</w:t>
            </w:r>
          </w:p>
        </w:tc>
        <w:tc>
          <w:tcPr>
            <w:tcW w:w="120" w:type="dxa"/>
            <w:vAlign w:val="bottom"/>
          </w:tcPr>
          <w:p>
            <w:pPr>
              <w:spacing w:after="0"/>
              <w:rPr>
                <w:sz w:val="24"/>
                <w:szCs w:val="2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18,996</w:t>
            </w:r>
          </w:p>
        </w:tc>
        <w:tc>
          <w:tcPr>
            <w:tcW w:w="12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29,999</w:t>
            </w:r>
          </w:p>
        </w:tc>
        <w:tc>
          <w:tcPr>
            <w:tcW w:w="100" w:type="dxa"/>
            <w:vAlign w:val="bottom"/>
          </w:tcPr>
          <w:p>
            <w:pPr>
              <w:spacing w:after="0"/>
              <w:rPr>
                <w:sz w:val="24"/>
                <w:szCs w:val="2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1,899</w:t>
            </w:r>
          </w:p>
        </w:tc>
        <w:tc>
          <w:tcPr>
            <w:tcW w:w="10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50,894</w:t>
            </w:r>
          </w:p>
        </w:tc>
      </w:tr>
      <w:tr>
        <w:trPr>
          <w:trHeight w:val="324"/>
        </w:trPr>
        <w:tc>
          <w:tcPr>
            <w:tcW w:w="580" w:type="dxa"/>
            <w:vAlign w:val="bottom"/>
          </w:tcPr>
          <w:p>
            <w:pPr>
              <w:jc w:val="right"/>
              <w:ind w:right="17"/>
              <w:spacing w:after="0"/>
              <w:rPr>
                <w:sz w:val="20"/>
                <w:szCs w:val="20"/>
                <w:color w:val="auto"/>
              </w:rPr>
            </w:pPr>
            <w:r>
              <w:rPr>
                <w:rFonts w:ascii="Arial" w:cs="Arial" w:eastAsia="Arial" w:hAnsi="Arial"/>
                <w:sz w:val="13"/>
                <w:szCs w:val="13"/>
                <w:color w:val="auto"/>
              </w:rPr>
              <w:t>6,640</w:t>
            </w:r>
          </w:p>
        </w:tc>
        <w:tc>
          <w:tcPr>
            <w:tcW w:w="120" w:type="dxa"/>
            <w:vAlign w:val="bottom"/>
          </w:tcPr>
          <w:p>
            <w:pPr>
              <w:spacing w:after="0"/>
              <w:rPr>
                <w:sz w:val="24"/>
                <w:szCs w:val="2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7,793</w:t>
            </w:r>
          </w:p>
        </w:tc>
        <w:tc>
          <w:tcPr>
            <w:tcW w:w="10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(200)</w:t>
            </w:r>
          </w:p>
        </w:tc>
        <w:tc>
          <w:tcPr>
            <w:tcW w:w="12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14,233</w:t>
            </w:r>
          </w:p>
        </w:tc>
        <w:tc>
          <w:tcPr>
            <w:tcW w:w="100" w:type="dxa"/>
            <w:vAlign w:val="bottom"/>
          </w:tcPr>
          <w:p>
            <w:pPr>
              <w:spacing w:after="0"/>
              <w:rPr>
                <w:sz w:val="24"/>
                <w:szCs w:val="24"/>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3,946</w:t>
            </w:r>
          </w:p>
        </w:tc>
        <w:tc>
          <w:tcPr>
            <w:tcW w:w="100" w:type="dxa"/>
            <w:vAlign w:val="bottom"/>
          </w:tcPr>
          <w:p>
            <w:pPr>
              <w:spacing w:after="0"/>
              <w:rPr>
                <w:sz w:val="24"/>
                <w:szCs w:val="2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4,072</w:t>
            </w:r>
          </w:p>
        </w:tc>
        <w:tc>
          <w:tcPr>
            <w:tcW w:w="12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4"/>
                <w:szCs w:val="2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8,038</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(687)</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(8,503)</w:t>
            </w:r>
          </w:p>
        </w:tc>
        <w:tc>
          <w:tcPr>
            <w:tcW w:w="100" w:type="dxa"/>
            <w:vAlign w:val="bottom"/>
          </w:tcPr>
          <w:p>
            <w:pPr>
              <w:spacing w:after="0"/>
              <w:rPr>
                <w:sz w:val="24"/>
                <w:szCs w:val="2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647</w:t>
            </w:r>
          </w:p>
        </w:tc>
        <w:tc>
          <w:tcPr>
            <w:tcW w:w="10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(8,543)</w:t>
            </w:r>
          </w:p>
        </w:tc>
      </w:tr>
      <w:tr>
        <w:trPr>
          <w:trHeight w:val="280"/>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10,436</w:t>
            </w: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10,436</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(1,444)</w:t>
            </w: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(1,444)</w:t>
            </w:r>
          </w:p>
        </w:tc>
        <w:tc>
          <w:tcPr>
            <w:tcW w:w="1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(320)</w:t>
            </w: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(320)</w:t>
            </w:r>
          </w:p>
        </w:tc>
      </w:tr>
      <w:tr>
        <w:trPr>
          <w:trHeight w:val="304"/>
        </w:trPr>
        <w:tc>
          <w:tcPr>
            <w:tcW w:w="5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141,692</w:t>
            </w:r>
          </w:p>
        </w:tc>
        <w:tc>
          <w:tcPr>
            <w:tcW w:w="120" w:type="dxa"/>
            <w:vAlign w:val="bottom"/>
          </w:tcPr>
          <w:p>
            <w:pPr>
              <w:spacing w:after="0"/>
              <w:rPr>
                <w:sz w:val="24"/>
                <w:szCs w:val="24"/>
                <w:color w:val="auto"/>
              </w:rPr>
            </w:pPr>
          </w:p>
        </w:tc>
        <w:tc>
          <w:tcPr>
            <w:tcW w:w="7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433,633</w:t>
            </w:r>
          </w:p>
        </w:tc>
        <w:tc>
          <w:tcPr>
            <w:tcW w:w="100" w:type="dxa"/>
            <w:vAlign w:val="bottom"/>
          </w:tcPr>
          <w:p>
            <w:pPr>
              <w:spacing w:after="0"/>
              <w:rPr>
                <w:sz w:val="24"/>
                <w:szCs w:val="24"/>
                <w:color w:val="auto"/>
              </w:rPr>
            </w:pP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(9,454)</w:t>
            </w:r>
          </w:p>
        </w:tc>
        <w:tc>
          <w:tcPr>
            <w:tcW w:w="120" w:type="dxa"/>
            <w:vAlign w:val="bottom"/>
          </w:tcPr>
          <w:p>
            <w:pPr>
              <w:spacing w:after="0"/>
              <w:rPr>
                <w:sz w:val="24"/>
                <w:szCs w:val="24"/>
                <w:color w:val="auto"/>
              </w:rPr>
            </w:pPr>
          </w:p>
        </w:tc>
        <w:tc>
          <w:tcPr>
            <w:tcW w:w="7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565,871</w:t>
            </w:r>
          </w:p>
        </w:tc>
        <w:tc>
          <w:tcPr>
            <w:tcW w:w="100" w:type="dxa"/>
            <w:vAlign w:val="bottom"/>
          </w:tcPr>
          <w:p>
            <w:pPr>
              <w:spacing w:after="0"/>
              <w:rPr>
                <w:sz w:val="24"/>
                <w:szCs w:val="24"/>
                <w:color w:val="auto"/>
              </w:rPr>
            </w:pPr>
          </w:p>
        </w:tc>
        <w:tc>
          <w:tcPr>
            <w:tcW w:w="6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113,245</w:t>
            </w:r>
          </w:p>
        </w:tc>
        <w:tc>
          <w:tcPr>
            <w:tcW w:w="100" w:type="dxa"/>
            <w:vAlign w:val="bottom"/>
          </w:tcPr>
          <w:p>
            <w:pPr>
              <w:spacing w:after="0"/>
              <w:rPr>
                <w:sz w:val="24"/>
                <w:szCs w:val="24"/>
                <w:color w:val="auto"/>
              </w:rPr>
            </w:pPr>
          </w:p>
        </w:tc>
        <w:tc>
          <w:tcPr>
            <w:tcW w:w="6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475,166</w:t>
            </w:r>
          </w:p>
        </w:tc>
        <w:tc>
          <w:tcPr>
            <w:tcW w:w="120" w:type="dxa"/>
            <w:vAlign w:val="bottom"/>
          </w:tcPr>
          <w:p>
            <w:pPr>
              <w:spacing w:after="0"/>
              <w:rPr>
                <w:sz w:val="24"/>
                <w:szCs w:val="24"/>
                <w:color w:val="auto"/>
              </w:rPr>
            </w:pP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(12,921)</w:t>
            </w:r>
          </w:p>
        </w:tc>
        <w:tc>
          <w:tcPr>
            <w:tcW w:w="12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575,490</w:t>
            </w:r>
          </w:p>
        </w:tc>
        <w:tc>
          <w:tcPr>
            <w:tcW w:w="120" w:type="dxa"/>
            <w:vAlign w:val="bottom"/>
          </w:tcPr>
          <w:p>
            <w:pPr>
              <w:spacing w:after="0"/>
              <w:rPr>
                <w:sz w:val="24"/>
                <w:szCs w:val="24"/>
                <w:color w:val="auto"/>
              </w:rPr>
            </w:pPr>
          </w:p>
        </w:tc>
        <w:tc>
          <w:tcPr>
            <w:tcW w:w="5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98,997</w:t>
            </w:r>
          </w:p>
        </w:tc>
        <w:tc>
          <w:tcPr>
            <w:tcW w:w="120" w:type="dxa"/>
            <w:vAlign w:val="bottom"/>
          </w:tcPr>
          <w:p>
            <w:pPr>
              <w:spacing w:after="0"/>
              <w:rPr>
                <w:sz w:val="24"/>
                <w:szCs w:val="24"/>
                <w:color w:val="auto"/>
              </w:rPr>
            </w:pPr>
          </w:p>
        </w:tc>
        <w:tc>
          <w:tcPr>
            <w:tcW w:w="6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564,282</w:t>
            </w:r>
          </w:p>
        </w:tc>
        <w:tc>
          <w:tcPr>
            <w:tcW w:w="10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(9,707)</w:t>
            </w:r>
          </w:p>
        </w:tc>
        <w:tc>
          <w:tcPr>
            <w:tcW w:w="100" w:type="dxa"/>
            <w:vAlign w:val="bottom"/>
          </w:tcPr>
          <w:p>
            <w:pPr>
              <w:spacing w:after="0"/>
              <w:rPr>
                <w:sz w:val="24"/>
                <w:szCs w:val="24"/>
                <w:color w:val="auto"/>
              </w:rPr>
            </w:pPr>
          </w:p>
        </w:tc>
        <w:tc>
          <w:tcPr>
            <w:tcW w:w="7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653,572</w:t>
            </w:r>
          </w:p>
        </w:tc>
      </w:tr>
      <w:tr>
        <w:trPr>
          <w:trHeight w:val="619"/>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(396,730)</w:t>
            </w: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(396,730)</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(208,821)</w:t>
            </w: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(208,821)</w:t>
            </w:r>
          </w:p>
        </w:tc>
        <w:tc>
          <w:tcPr>
            <w:tcW w:w="1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96"/>
              </w:rPr>
              <w:t>(509,814)</w:t>
            </w: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(509,814)</w:t>
            </w:r>
          </w:p>
        </w:tc>
      </w:tr>
      <w:tr>
        <w:trPr>
          <w:trHeight w:val="324"/>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452,446</w:t>
            </w: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452,446</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355,202</w:t>
            </w: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355,202</w:t>
            </w:r>
          </w:p>
        </w:tc>
        <w:tc>
          <w:tcPr>
            <w:tcW w:w="1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234,970</w:t>
            </w: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234,970</w:t>
            </w:r>
          </w:p>
        </w:tc>
      </w:tr>
      <w:tr>
        <w:trPr>
          <w:trHeight w:val="324"/>
        </w:trPr>
        <w:tc>
          <w:tcPr>
            <w:tcW w:w="580" w:type="dxa"/>
            <w:vAlign w:val="bottom"/>
          </w:tcPr>
          <w:p>
            <w:pPr>
              <w:jc w:val="right"/>
              <w:spacing w:after="0"/>
              <w:rPr>
                <w:sz w:val="20"/>
                <w:szCs w:val="20"/>
                <w:color w:val="auto"/>
              </w:rPr>
            </w:pPr>
            <w:r>
              <w:rPr>
                <w:rFonts w:ascii="Arial" w:cs="Arial" w:eastAsia="Arial" w:hAnsi="Arial"/>
                <w:sz w:val="13"/>
                <w:szCs w:val="13"/>
                <w:color w:val="auto"/>
              </w:rPr>
              <w:t>(97,035)</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(293,706)</w:t>
            </w:r>
          </w:p>
        </w:tc>
        <w:tc>
          <w:tcPr>
            <w:tcW w:w="10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9,454</w:t>
            </w:r>
          </w:p>
        </w:tc>
        <w:tc>
          <w:tcPr>
            <w:tcW w:w="12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(381,287)</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(116,194)</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(283,441)</w:t>
            </w:r>
          </w:p>
        </w:tc>
        <w:tc>
          <w:tcPr>
            <w:tcW w:w="12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12,921</w:t>
            </w:r>
          </w:p>
        </w:tc>
        <w:tc>
          <w:tcPr>
            <w:tcW w:w="120" w:type="dxa"/>
            <w:vAlign w:val="bottom"/>
          </w:tcPr>
          <w:p>
            <w:pPr>
              <w:spacing w:after="0"/>
              <w:rPr>
                <w:sz w:val="24"/>
                <w:szCs w:val="2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(386,714)</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(125,882)</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(131,166)</w:t>
            </w:r>
          </w:p>
        </w:tc>
        <w:tc>
          <w:tcPr>
            <w:tcW w:w="100" w:type="dxa"/>
            <w:vAlign w:val="bottom"/>
          </w:tcPr>
          <w:p>
            <w:pPr>
              <w:spacing w:after="0"/>
              <w:rPr>
                <w:sz w:val="24"/>
                <w:szCs w:val="2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9,707</w:t>
            </w:r>
          </w:p>
        </w:tc>
        <w:tc>
          <w:tcPr>
            <w:tcW w:w="10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(247,341)</w:t>
            </w:r>
          </w:p>
        </w:tc>
      </w:tr>
      <w:tr>
        <w:trPr>
          <w:trHeight w:val="324"/>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8,320</w:t>
            </w: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8,320</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(2,488)</w:t>
            </w: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(2,488)</w:t>
            </w:r>
          </w:p>
        </w:tc>
        <w:tc>
          <w:tcPr>
            <w:tcW w:w="1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(2,538)</w:t>
            </w: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(2,538)</w:t>
            </w:r>
          </w:p>
        </w:tc>
      </w:tr>
      <w:tr>
        <w:trPr>
          <w:trHeight w:val="270"/>
        </w:trPr>
        <w:tc>
          <w:tcPr>
            <w:tcW w:w="580" w:type="dxa"/>
            <w:vAlign w:val="bottom"/>
          </w:tcPr>
          <w:p>
            <w:pPr>
              <w:jc w:val="right"/>
              <w:spacing w:after="0"/>
              <w:rPr>
                <w:sz w:val="20"/>
                <w:szCs w:val="20"/>
                <w:color w:val="auto"/>
              </w:rPr>
            </w:pPr>
            <w:r>
              <w:rPr>
                <w:rFonts w:ascii="Arial" w:cs="Arial" w:eastAsia="Arial" w:hAnsi="Arial"/>
                <w:sz w:val="13"/>
                <w:szCs w:val="13"/>
                <w:color w:val="auto"/>
              </w:rPr>
              <w:t>(14,259)</w:t>
            </w:r>
          </w:p>
        </w:tc>
        <w:tc>
          <w:tcPr>
            <w:tcW w:w="120" w:type="dxa"/>
            <w:vAlign w:val="bottom"/>
          </w:tcPr>
          <w:p>
            <w:pPr>
              <w:spacing w:after="0"/>
              <w:rPr>
                <w:sz w:val="23"/>
                <w:szCs w:val="2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30,398</w:t>
            </w:r>
          </w:p>
        </w:tc>
        <w:tc>
          <w:tcPr>
            <w:tcW w:w="10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(16,139)</w:t>
            </w:r>
          </w:p>
        </w:tc>
        <w:tc>
          <w:tcPr>
            <w:tcW w:w="12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(2,949)</w:t>
            </w:r>
          </w:p>
        </w:tc>
        <w:tc>
          <w:tcPr>
            <w:tcW w:w="12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2,949</w:t>
            </w:r>
          </w:p>
        </w:tc>
        <w:tc>
          <w:tcPr>
            <w:tcW w:w="1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(27,449)</w:t>
            </w:r>
          </w:p>
        </w:tc>
        <w:tc>
          <w:tcPr>
            <w:tcW w:w="100" w:type="dxa"/>
            <w:vAlign w:val="bottom"/>
          </w:tcPr>
          <w:p>
            <w:pPr>
              <w:spacing w:after="0"/>
              <w:rPr>
                <w:sz w:val="23"/>
                <w:szCs w:val="23"/>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27,449</w:t>
            </w:r>
          </w:p>
        </w:tc>
        <w:tc>
          <w:tcPr>
            <w:tcW w:w="100" w:type="dxa"/>
            <w:vAlign w:val="bottom"/>
          </w:tcPr>
          <w:p>
            <w:pPr>
              <w:spacing w:after="0"/>
              <w:rPr>
                <w:sz w:val="23"/>
                <w:szCs w:val="2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324"/>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(23,750)</w:t>
            </w: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(23,750)</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(11,875)</w:t>
            </w: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(11,875)</w:t>
            </w:r>
          </w:p>
        </w:tc>
        <w:tc>
          <w:tcPr>
            <w:tcW w:w="1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324"/>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(23,252)</w:t>
            </w: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(23,252)</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(22,327)</w:t>
            </w: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(22,327)</w:t>
            </w:r>
          </w:p>
        </w:tc>
        <w:tc>
          <w:tcPr>
            <w:tcW w:w="1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(22,955)</w:t>
            </w: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(22,955)</w:t>
            </w:r>
          </w:p>
        </w:tc>
      </w:tr>
      <w:tr>
        <w:trPr>
          <w:trHeight w:val="280"/>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(1,636)</w:t>
            </w: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(1,636)</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(35)</w:t>
            </w:r>
          </w:p>
        </w:tc>
      </w:tr>
      <w:tr>
        <w:trPr>
          <w:trHeight w:val="304"/>
        </w:trPr>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(111,294)</w:t>
            </w:r>
          </w:p>
        </w:tc>
        <w:tc>
          <w:tcPr>
            <w:tcW w:w="120" w:type="dxa"/>
            <w:vAlign w:val="bottom"/>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(247,910)</w:t>
            </w:r>
          </w:p>
        </w:tc>
        <w:tc>
          <w:tcPr>
            <w:tcW w:w="100" w:type="dxa"/>
            <w:vAlign w:val="bottom"/>
          </w:tcPr>
          <w:p>
            <w:pPr>
              <w:spacing w:after="0"/>
              <w:rPr>
                <w:sz w:val="24"/>
                <w:szCs w:val="24"/>
                <w:color w:val="auto"/>
              </w:rPr>
            </w:pP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(6,685)</w:t>
            </w:r>
          </w:p>
        </w:tc>
        <w:tc>
          <w:tcPr>
            <w:tcW w:w="120" w:type="dxa"/>
            <w:vAlign w:val="bottom"/>
          </w:tcPr>
          <w:p>
            <w:pPr>
              <w:spacing w:after="0"/>
              <w:rPr>
                <w:sz w:val="24"/>
                <w:szCs w:val="24"/>
                <w:color w:val="auto"/>
              </w:rPr>
            </w:pPr>
          </w:p>
        </w:tc>
        <w:tc>
          <w:tcPr>
            <w:tcW w:w="7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(365,889)</w:t>
            </w:r>
          </w:p>
        </w:tc>
        <w:tc>
          <w:tcPr>
            <w:tcW w:w="100" w:type="dxa"/>
            <w:vAlign w:val="bottom"/>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(116,194)</w:t>
            </w:r>
          </w:p>
        </w:tc>
        <w:tc>
          <w:tcPr>
            <w:tcW w:w="100" w:type="dxa"/>
            <w:vAlign w:val="bottom"/>
          </w:tcPr>
          <w:p>
            <w:pPr>
              <w:spacing w:after="0"/>
              <w:rPr>
                <w:sz w:val="24"/>
                <w:szCs w:val="2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(176,709)</w:t>
            </w:r>
          </w:p>
        </w:tc>
        <w:tc>
          <w:tcPr>
            <w:tcW w:w="120" w:type="dxa"/>
            <w:vAlign w:val="bottom"/>
          </w:tcPr>
          <w:p>
            <w:pPr>
              <w:spacing w:after="0"/>
              <w:rPr>
                <w:sz w:val="24"/>
                <w:szCs w:val="24"/>
                <w:color w:val="auto"/>
              </w:rPr>
            </w:pPr>
          </w:p>
        </w:tc>
        <w:tc>
          <w:tcPr>
            <w:tcW w:w="7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15,870</w:t>
            </w:r>
          </w:p>
        </w:tc>
        <w:tc>
          <w:tcPr>
            <w:tcW w:w="12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(277,033)</w:t>
            </w:r>
          </w:p>
        </w:tc>
        <w:tc>
          <w:tcPr>
            <w:tcW w:w="120" w:type="dxa"/>
            <w:vAlign w:val="bottom"/>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(125,882)</w:t>
            </w:r>
          </w:p>
        </w:tc>
        <w:tc>
          <w:tcPr>
            <w:tcW w:w="120" w:type="dxa"/>
            <w:vAlign w:val="bottom"/>
          </w:tcPr>
          <w:p>
            <w:pPr>
              <w:spacing w:after="0"/>
              <w:rPr>
                <w:sz w:val="24"/>
                <w:szCs w:val="2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(458,987)</w:t>
            </w:r>
          </w:p>
        </w:tc>
        <w:tc>
          <w:tcPr>
            <w:tcW w:w="10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37,156</w:t>
            </w:r>
          </w:p>
        </w:tc>
        <w:tc>
          <w:tcPr>
            <w:tcW w:w="100" w:type="dxa"/>
            <w:vAlign w:val="bottom"/>
          </w:tcPr>
          <w:p>
            <w:pPr>
              <w:spacing w:after="0"/>
              <w:rPr>
                <w:sz w:val="24"/>
                <w:szCs w:val="24"/>
                <w:color w:val="auto"/>
              </w:rPr>
            </w:pPr>
          </w:p>
        </w:tc>
        <w:tc>
          <w:tcPr>
            <w:tcW w:w="7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(547,713)</w:t>
            </w:r>
          </w:p>
        </w:tc>
      </w:tr>
      <w:tr>
        <w:trPr>
          <w:trHeight w:val="619"/>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1,500,000</w:t>
            </w: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1,500,000</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270"/>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(7,097)</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(7,097)</w:t>
            </w:r>
          </w:p>
        </w:tc>
        <w:tc>
          <w:tcPr>
            <w:tcW w:w="1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459"/>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10,601</w:t>
            </w: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10,601</w:t>
            </w:r>
          </w:p>
        </w:tc>
      </w:tr>
      <w:tr>
        <w:trPr>
          <w:trHeight w:val="324"/>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(113,300)</w:t>
            </w: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(113,300)</w:t>
            </w:r>
          </w:p>
        </w:tc>
        <w:tc>
          <w:tcPr>
            <w:tcW w:w="1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324"/>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(31,669)</w:t>
            </w: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(31,669)</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(39,441)</w:t>
            </w: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(39,441)</w:t>
            </w:r>
          </w:p>
        </w:tc>
        <w:tc>
          <w:tcPr>
            <w:tcW w:w="1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(59,835)</w:t>
            </w: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(59,835)</w:t>
            </w:r>
          </w:p>
        </w:tc>
      </w:tr>
      <w:tr>
        <w:trPr>
          <w:trHeight w:val="270"/>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6,982</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6,982</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20,002</w:t>
            </w:r>
          </w:p>
        </w:tc>
        <w:tc>
          <w:tcPr>
            <w:tcW w:w="1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20,002</w:t>
            </w:r>
          </w:p>
        </w:tc>
        <w:tc>
          <w:tcPr>
            <w:tcW w:w="12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270"/>
        </w:trPr>
        <w:tc>
          <w:tcPr>
            <w:tcW w:w="580" w:type="dxa"/>
            <w:vAlign w:val="bottom"/>
          </w:tcPr>
          <w:p>
            <w:pPr>
              <w:jc w:val="right"/>
              <w:spacing w:after="0"/>
              <w:rPr>
                <w:sz w:val="20"/>
                <w:szCs w:val="20"/>
                <w:color w:val="auto"/>
              </w:rPr>
            </w:pPr>
            <w:r>
              <w:rPr>
                <w:rFonts w:ascii="Arial" w:cs="Arial" w:eastAsia="Arial" w:hAnsi="Arial"/>
                <w:sz w:val="13"/>
                <w:szCs w:val="13"/>
                <w:color w:val="auto"/>
              </w:rPr>
              <w:t>(30,398)</w:t>
            </w:r>
          </w:p>
        </w:tc>
        <w:tc>
          <w:tcPr>
            <w:tcW w:w="120" w:type="dxa"/>
            <w:vAlign w:val="bottom"/>
          </w:tcPr>
          <w:p>
            <w:pPr>
              <w:spacing w:after="0"/>
              <w:rPr>
                <w:sz w:val="23"/>
                <w:szCs w:val="2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14,259</w:t>
            </w:r>
          </w:p>
        </w:tc>
        <w:tc>
          <w:tcPr>
            <w:tcW w:w="10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16,139</w:t>
            </w:r>
          </w:p>
        </w:tc>
        <w:tc>
          <w:tcPr>
            <w:tcW w:w="12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2,949</w:t>
            </w:r>
          </w:p>
        </w:tc>
        <w:tc>
          <w:tcPr>
            <w:tcW w:w="10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(2,949)</w:t>
            </w:r>
          </w:p>
        </w:tc>
        <w:tc>
          <w:tcPr>
            <w:tcW w:w="1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27,449</w:t>
            </w:r>
          </w:p>
        </w:tc>
        <w:tc>
          <w:tcPr>
            <w:tcW w:w="12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(27,449)</w:t>
            </w:r>
          </w:p>
        </w:tc>
        <w:tc>
          <w:tcPr>
            <w:tcW w:w="100" w:type="dxa"/>
            <w:vAlign w:val="bottom"/>
          </w:tcPr>
          <w:p>
            <w:pPr>
              <w:spacing w:after="0"/>
              <w:rPr>
                <w:sz w:val="23"/>
                <w:szCs w:val="2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270"/>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23,750</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23,750</w:t>
            </w:r>
          </w:p>
        </w:tc>
        <w:tc>
          <w:tcPr>
            <w:tcW w:w="1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324"/>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(564)</w:t>
            </w:r>
          </w:p>
        </w:tc>
        <w:tc>
          <w:tcPr>
            <w:tcW w:w="12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564</w:t>
            </w: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270"/>
        </w:trPr>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(4,157)</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(4,157)</w:t>
            </w:r>
          </w:p>
        </w:tc>
        <w:tc>
          <w:tcPr>
            <w:tcW w:w="1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(5,154)</w:t>
            </w:r>
          </w:p>
        </w:tc>
        <w:tc>
          <w:tcPr>
            <w:tcW w:w="1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(5,154)</w:t>
            </w:r>
          </w:p>
        </w:tc>
        <w:tc>
          <w:tcPr>
            <w:tcW w:w="12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-6986905</wp:posOffset>
            </wp:positionV>
            <wp:extent cx="724662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-6489700</wp:posOffset>
            </wp:positionV>
            <wp:extent cx="724662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-6078220</wp:posOffset>
            </wp:positionV>
            <wp:extent cx="7246620"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-5666105</wp:posOffset>
            </wp:positionV>
            <wp:extent cx="7246620" cy="3771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-5117465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-4740275</wp:posOffset>
            </wp:positionV>
            <wp:extent cx="7246620"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-4363085</wp:posOffset>
            </wp:positionV>
            <wp:extent cx="724662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-3950970</wp:posOffset>
            </wp:positionV>
            <wp:extent cx="724662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-3539490</wp:posOffset>
            </wp:positionV>
            <wp:extent cx="7246620"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-3128010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-2750820</wp:posOffset>
            </wp:positionV>
            <wp:extent cx="7246620"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-2372995</wp:posOffset>
            </wp:positionV>
            <wp:extent cx="7246620"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-1961515</wp:posOffset>
            </wp:positionV>
            <wp:extent cx="7246620"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-1584325</wp:posOffset>
            </wp:positionV>
            <wp:extent cx="7246620" cy="291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-1087120</wp:posOffset>
            </wp:positionV>
            <wp:extent cx="7246620"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-709295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-366395</wp:posOffset>
            </wp:positionV>
            <wp:extent cx="7246620"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900" w:space="140"/>
            <w:col w:w="9380"/>
          </w:cols>
          <w:pgMar w:left="240" w:top="580" w:right="239" w:bottom="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2040" w:type="dxa"/>
            <w:vAlign w:val="bottom"/>
            <w:tcBorders>
              <w:top w:val="single" w:sz="8" w:color="CCEEFF"/>
            </w:tcBorders>
            <w:shd w:val="clear" w:color="auto" w:fill="CCEEFF"/>
          </w:tcPr>
          <w:p>
            <w:pPr>
              <w:ind w:left="500"/>
              <w:spacing w:after="0" w:line="144" w:lineRule="exact"/>
              <w:rPr>
                <w:sz w:val="20"/>
                <w:szCs w:val="20"/>
                <w:color w:val="auto"/>
              </w:rPr>
            </w:pPr>
            <w:r>
              <w:rPr>
                <w:rFonts w:ascii="Arial" w:cs="Arial" w:eastAsia="Arial" w:hAnsi="Arial"/>
                <w:sz w:val="13"/>
                <w:szCs w:val="13"/>
                <w:color w:val="auto"/>
              </w:rPr>
              <w:t>Net cash flows from</w:t>
            </w: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financing activities</w:t>
            </w: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(30,398)</w:t>
            </w:r>
          </w:p>
        </w:tc>
        <w:tc>
          <w:tcPr>
            <w:tcW w:w="12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1,502,068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16,139</w:t>
            </w:r>
          </w:p>
        </w:tc>
        <w:tc>
          <w:tcPr>
            <w:tcW w:w="12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1,487,809</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8"/>
              </w:rPr>
              <w:t>2,949</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(137,893)</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(2,949)</w:t>
            </w:r>
          </w:p>
        </w:tc>
        <w:tc>
          <w:tcPr>
            <w:tcW w:w="12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(137,893)</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0"/>
              </w:rPr>
              <w:t>26,885</w:t>
            </w:r>
          </w:p>
        </w:tc>
        <w:tc>
          <w:tcPr>
            <w:tcW w:w="12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(48,563)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9"/>
              </w:rPr>
              <w:t>(27,449)</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(49,127)</w:t>
            </w:r>
          </w:p>
        </w:tc>
        <w:tc>
          <w:tcPr>
            <w:tcW w:w="0" w:type="dxa"/>
            <w:vAlign w:val="bottom"/>
          </w:tcPr>
          <w:p>
            <w:pPr>
              <w:spacing w:after="0"/>
              <w:rPr>
                <w:sz w:val="1"/>
                <w:szCs w:val="1"/>
                <w:color w:val="auto"/>
              </w:rPr>
            </w:pPr>
          </w:p>
        </w:tc>
      </w:tr>
      <w:tr>
        <w:trPr>
          <w:trHeight w:val="128"/>
        </w:trPr>
        <w:tc>
          <w:tcPr>
            <w:tcW w:w="2040" w:type="dxa"/>
            <w:vAlign w:val="bottom"/>
          </w:tcPr>
          <w:p>
            <w:pPr>
              <w:ind w:left="500"/>
              <w:spacing w:after="0" w:line="128" w:lineRule="exact"/>
              <w:rPr>
                <w:sz w:val="20"/>
                <w:szCs w:val="20"/>
                <w:color w:val="auto"/>
              </w:rPr>
            </w:pPr>
            <w:r>
              <w:rPr>
                <w:rFonts w:ascii="Arial" w:cs="Arial" w:eastAsia="Arial" w:hAnsi="Arial"/>
                <w:sz w:val="13"/>
                <w:szCs w:val="13"/>
                <w:color w:val="auto"/>
                <w:w w:val="96"/>
              </w:rPr>
              <w:t>Effect of exchange rates on</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40" w:type="dxa"/>
            <w:vAlign w:val="bottom"/>
          </w:tcPr>
          <w:p>
            <w:pPr>
              <w:ind w:left="500"/>
              <w:spacing w:after="0"/>
              <w:rPr>
                <w:sz w:val="20"/>
                <w:szCs w:val="20"/>
                <w:color w:val="auto"/>
              </w:rPr>
            </w:pPr>
            <w:r>
              <w:rPr>
                <w:rFonts w:ascii="Arial" w:cs="Arial" w:eastAsia="Arial" w:hAnsi="Arial"/>
                <w:sz w:val="13"/>
                <w:szCs w:val="13"/>
                <w:color w:val="auto"/>
                <w:w w:val="99"/>
              </w:rPr>
              <w:t>cash and cash equivalents</w:t>
            </w:r>
          </w:p>
        </w:tc>
        <w:tc>
          <w:tcPr>
            <w:tcW w:w="10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(3,131)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(3,131)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5,116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5,116</w:t>
            </w:r>
          </w:p>
        </w:tc>
        <w:tc>
          <w:tcPr>
            <w:tcW w:w="0" w:type="dxa"/>
            <w:vAlign w:val="bottom"/>
          </w:tcPr>
          <w:p>
            <w:pPr>
              <w:spacing w:after="0"/>
              <w:rPr>
                <w:sz w:val="1"/>
                <w:szCs w:val="1"/>
                <w:color w:val="auto"/>
              </w:rPr>
            </w:pPr>
          </w:p>
        </w:tc>
      </w:tr>
      <w:tr>
        <w:trPr>
          <w:trHeight w:val="134"/>
        </w:trPr>
        <w:tc>
          <w:tcPr>
            <w:tcW w:w="2040" w:type="dxa"/>
            <w:vAlign w:val="bottom"/>
            <w:tcBorders>
              <w:top w:val="single" w:sz="8" w:color="CCEEFF"/>
            </w:tcBorders>
            <w:shd w:val="clear" w:color="auto" w:fill="CCEEFF"/>
          </w:tcPr>
          <w:p>
            <w:pPr>
              <w:ind w:left="40"/>
              <w:spacing w:after="0" w:line="134" w:lineRule="exact"/>
              <w:rPr>
                <w:sz w:val="20"/>
                <w:szCs w:val="20"/>
                <w:color w:val="auto"/>
              </w:rPr>
            </w:pPr>
            <w:r>
              <w:rPr>
                <w:rFonts w:ascii="Arial" w:cs="Arial" w:eastAsia="Arial" w:hAnsi="Arial"/>
                <w:sz w:val="13"/>
                <w:szCs w:val="13"/>
                <w:color w:val="auto"/>
                <w:w w:val="94"/>
              </w:rPr>
              <w:t>Net increase (decrease) in cash and</w:t>
            </w: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equivalents</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1,687,974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1,687,974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157,433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157,433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61,848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61,848</w:t>
            </w:r>
          </w:p>
        </w:tc>
        <w:tc>
          <w:tcPr>
            <w:tcW w:w="0" w:type="dxa"/>
            <w:vAlign w:val="bottom"/>
          </w:tcPr>
          <w:p>
            <w:pPr>
              <w:spacing w:after="0"/>
              <w:rPr>
                <w:sz w:val="1"/>
                <w:szCs w:val="1"/>
                <w:color w:val="auto"/>
              </w:rPr>
            </w:pPr>
          </w:p>
        </w:tc>
      </w:tr>
      <w:tr>
        <w:trPr>
          <w:trHeight w:val="148"/>
        </w:trPr>
        <w:tc>
          <w:tcPr>
            <w:tcW w:w="2040" w:type="dxa"/>
            <w:vAlign w:val="bottom"/>
          </w:tcPr>
          <w:p>
            <w:pPr>
              <w:ind w:left="40"/>
              <w:spacing w:after="0" w:line="148" w:lineRule="exact"/>
              <w:rPr>
                <w:sz w:val="20"/>
                <w:szCs w:val="20"/>
                <w:color w:val="auto"/>
              </w:rPr>
            </w:pPr>
            <w:r>
              <w:rPr>
                <w:rFonts w:ascii="Arial" w:cs="Arial" w:eastAsia="Arial" w:hAnsi="Arial"/>
                <w:sz w:val="13"/>
                <w:szCs w:val="13"/>
                <w:color w:val="auto"/>
              </w:rPr>
              <w:t>Cash and cash equivalents,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beginning of period</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382,990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382,990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225,557</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225,557</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163,709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163,709</w:t>
            </w:r>
          </w:p>
        </w:tc>
        <w:tc>
          <w:tcPr>
            <w:tcW w:w="0" w:type="dxa"/>
            <w:vAlign w:val="bottom"/>
          </w:tcPr>
          <w:p>
            <w:pPr>
              <w:spacing w:after="0"/>
              <w:rPr>
                <w:sz w:val="1"/>
                <w:szCs w:val="1"/>
                <w:color w:val="auto"/>
              </w:rPr>
            </w:pPr>
          </w:p>
        </w:tc>
      </w:tr>
      <w:tr>
        <w:trPr>
          <w:trHeight w:val="134"/>
        </w:trPr>
        <w:tc>
          <w:tcPr>
            <w:tcW w:w="2040" w:type="dxa"/>
            <w:vAlign w:val="bottom"/>
            <w:shd w:val="clear" w:color="auto" w:fill="CCEEFF"/>
          </w:tcPr>
          <w:p>
            <w:pPr>
              <w:ind w:left="40"/>
              <w:spacing w:after="0" w:line="134" w:lineRule="exact"/>
              <w:rPr>
                <w:sz w:val="20"/>
                <w:szCs w:val="20"/>
                <w:color w:val="auto"/>
              </w:rPr>
            </w:pPr>
            <w:r>
              <w:rPr>
                <w:rFonts w:ascii="Arial" w:cs="Arial" w:eastAsia="Arial" w:hAnsi="Arial"/>
                <w:sz w:val="13"/>
                <w:szCs w:val="13"/>
                <w:color w:val="auto"/>
                <w:w w:val="99"/>
              </w:rPr>
              <w:t>Cash and cash equivalents, end of</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7"/>
              </w:rPr>
              <w:t>$ 2,070,964</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90"/>
              </w:rPr>
              <w:t>$ 2,070,964</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9"/>
              </w:rPr>
              <w:t>$ 382,990</w:t>
            </w:r>
          </w:p>
        </w:tc>
        <w:tc>
          <w:tcPr>
            <w:tcW w:w="1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97"/>
              </w:rPr>
              <w:t>$  382,990</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6"/>
              </w:rPr>
              <w:t>$ 225,557</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  225,557</w:t>
            </w: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period</w:t>
            </w:r>
          </w:p>
        </w:tc>
        <w:tc>
          <w:tcPr>
            <w:tcW w:w="100" w:type="dxa"/>
            <w:vAlign w:val="bottom"/>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25" w:right="1440"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18"/>
          <w:szCs w:val="18"/>
          <w:b w:val="1"/>
          <w:bCs w:val="1"/>
          <w:color w:val="auto"/>
        </w:rPr>
        <w:t>NOTES TO CONDENSED ATTRIBUTED FINANCIAL INFORMATION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Business Description</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Hughes Retail Group is generally comprised of our business of providing satellite broadband internet services to residential retail subscribers in the United States, including the assets and liabilities primarily associated with the operation of the business; and the business operations, revenue, billings, operating and other direct and indirect support activities to provide services to the business and Hughes retail subscribers. The Hughes Retail Group also includes any proceeds associated with a sale or transfer of the Hughes Retail Group or any assets of the Hughes Retail Group, and any other assets acquired by or for the account of the Hughes Retail Group or otherwise attributed, contributed, allocated or transferred to the Hughes Retail Group from time to time. The HSSC Group consists of all other operations of HSS, including all existing and future businesses other than the Hughes Retail Group. HSS has adopted a policy statement (the “Policy Statement”) as described in Note 2 below, which sets forth management and allocation policies for purposes of attributing all of the business and operations of HSS to either the Hughes Retail Group or the HSSC Group (each as fully defined in the Policy Statement and collectively, the “Groups”).</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Basis of Presentation</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overall objective of the attributed financial information is to present HSS’ attributed amounts reported in its consolidated financial statements to the Hughes Retail Group and the HSSC Group. The Policy Statement contains specific provisions that determine how certain assets, liabilities, revenue and expenses are attributed to the Groups. The Policy Statement does not explicitly address the attribution of all amounts reported in our consolidated financial statements; accordingly, management applies judgment in attributing certain amounts based on its assessment of the activities of the Groups and the guiding principles set forth in the Policy Statement.</w:t>
      </w:r>
    </w:p>
    <w:p>
      <w:pPr>
        <w:spacing w:after="0" w:line="18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Set forth below is an overview of the Policy Statement and additional discussion about how we have attributed amounts in our consolidated financial statements to the Groups.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Statement</w:t>
      </w:r>
    </w:p>
    <w:p>
      <w:pPr>
        <w:spacing w:after="0" w:line="22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In accordance with the Policy Statement, all existing and future retail subscribers in the United States, including related customer contracts, are attributed to the Hughes Retail Group. Assets and liabilities that are directly related to the Hughes Retail Group are attributed to the Hughes Retail Group, including certain accounts receivable, inventory, property and equipment, deferred subscriber acquisition costs, intangible assets and tax related assets and liabilities. To the extent practicable, costs and expenses are attributed without markup to the Hughes Retail Group or the HSSC Group based on specific identification. Common or shared costs, including corporate overhead, are allocated between the Hughes Retail Group and the HSSC Group using objective methods and criteria that reflect the relative usage of the corresponding functions or services. Where resources are shared by the Groups and determinations based on use alone are not practicable, we use other methods and criteria that we believe are fair and result in a reasonable estimate of the costs associated with operation, utilization, and maintenance of such resources to each Group. Such methods and criteria may include allocations based on revenue, operating costs, square footage, headcount or management estimates. Under the documents governing the Tracking Stock, any change in our management’s allocation methodologies requires the consent of the holders of a majority of the outstanding shares of the Tracking Stock, but does not require the consent of our common shareholders.</w:t>
      </w:r>
    </w:p>
    <w:p>
      <w:pPr>
        <w:spacing w:after="0" w:line="18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Hughes Retail Group utilizes broadband satellite capacity that is operated and maintained by the HSSC Group. The Policy Statement provides for a monthly charge to the Hughes Retail Group for its utilization of such capacity based on the number of retail subscribers and revenue per month. In addition, the Policy Statement establishes pricing for the Hughes Retail Group purchases of customer rental equipment from the HSSC Group based on cost plus a fixed margin percentage. Income taxes incurred by HSS and its subsidiaries that include operations of the Hughes Retail Group are allocated between the HSSC Group and the Hughes Retail Group based primarily on the relative amounts of earnings or loss attributable to each Group.</w:t>
      </w:r>
    </w:p>
    <w:p>
      <w:pPr>
        <w:spacing w:after="0" w:line="15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various attributions, allocations and inter-group charges provided for in the Policy Statement generally do not affect the amounts reported in HSS’ consolidated financial statements, except for effects on the attribution of equity and net income or loss between the holders of Tracking Stock and HSS’ common shareholders. The Policy Statement also does not significantly affect the way that the Hughes segment management assesses operating performance and allocates resources. In addition, our chief operating decision maker reviews the Hughes Retail Group financial information only to the extent such information is included in our periodic filings with the SEC. Therefore we do not consider the Hughes Retail Group to be a separate operating segment.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NOTES TO CONDENSED ATTRIBUTED FINANCIAL INFORMATION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Attributions</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Assets attributed to the Hughes Retail Group based on specific identification consist primarily of trade accounts receivable from retail broadband subscribers, property and equipment (primarily customer rental equipment) used solely in the retail business, and deferred subscriber acquisition costs included in other noncurrent assets. Goodwill and other intangible assets (primarily customer relationships, developed technology and trademarks), which were recognized in connection with our acquisition of Hughes Communications, Inc. in June 2011, were attributed to the Hughes Retail Group based on an analysis of information for the retail business that was available at the acquisition date.</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attribution to the Hughes Retail Group has been made for certain significant assets that it shares with the HSSC Group, including regulatory authorizations and property and equipment (such as satellites and related terrestrial facilities), because those assets are operated and maintained by the HSSC Group and it is not practicable to allocate the asset carrying amounts between the Groups. However, the Hughes Retail Group has the right to use such assets and is charged for its use of such assets in accordance with the Policy Statement.</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Liabilities attributed to the Hughes Retail Group based on specific identification consist primarily of customer prepayments and deferred revenue related to retail subscribers and deferred tax liabilities related to assets and liabilities that have been attributed to the Hughes Retail Group. Except to a limited extent, it is not practicable to attribute accounts payable and accrued liabilities to the Hughes Retail Group because those amounts arise from centralized processes managed by the HSSC Group. The Hughes Retail Group generally incurs inter-group payables to all other operations in connection with such centralized processes. As provided in the Policy Statement, none of our long-term debt is attributed to the Hughes Retail Group; however, interest is charged on all inter-group payables.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Expense Attributions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Hughes Retail Group revenue relates to services and equipment provided to retail broadband subscribers and is readily identifiable based on specific identification.</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Expenses attributed to the Hughes Retail Group based on specific identification include depreciation of property and equipment and amortization of intangible assets that are attributed to the Hughes Retail Group. Certain other operating expenses, such as compensation of employees that work exclusively in the retail business, are also attributed to the Hughes Retail Group based on specific identification. A substantial portion of the Hughes Retail Group cost of sales is based on the specific inter-group pricing provisions of the Policy Statement, including a monthly charge per retail subscriber and charges for customer rental equipment at cost plus a fixed margin percentage. The Hughes Retail Group operating expenses also reflect allocations of corporate overhead and other expenses incurred by HSS.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Attributions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Hughes Retail Group participates in HSS’ centralized cash management system and does not maintain separate cash accounts. Under the centralized cash management system, net advances of cash to or from the Hughes Retail Group are reflected in an inter-group receivable or payable account, which bears interest at the same rate earned by HSS on its cash and marketable investment securities portfolio. There is no allocation of HSS’ long-term debt or related interest costs to the Hughes Retail Group.</w:t>
      </w:r>
    </w:p>
    <w:p>
      <w:pPr>
        <w:spacing w:after="0" w:line="187"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Cash receipts from retail broadband subscribers and payments of certain expenses attributed to the Hughes Retail Group on a specific identification basis generally are reflected in the attributed statements of cash flows in the period the cash is received or paid. It is not practicable to determine the timing of related cash disbursements under the centralized cash management system for other costs and expenses attributed to the Hughes Retail Group. The accompanying statements of cash flows generally presents cash flows related to such transactions when they are recognized on an accrual basis in an inter-group receivable or payable account. Periodic changes in inter-group receivables or payables generally are indicative of amounts received or paid by the HSSC Group on behalf of the Hughes Retail Group and are reported in the accompanying attributed statements of cash flows as investing activity for the Group with a net receivable balance or as financing activity for the Group with a net payable balance.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Attributions for Periods Prior to Adoption of the Policy Statement</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Except as discussed below, attributions of assets, liabilities, revenue, expenses and cash flows to the Hughes Retail Group in periods prior to the adoption of the Policy Statement effective March 1, 2014 are substantially as described above. However,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NOTES TO CONDENSED ATTRIBUTED FINANCIAL INFORMATION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because the Policy Statement was not effective, the attributed financial information for periods prior to March 1, 2014 do not reflect retrospective application of specific pricing terms in the Policy Statement, such as the monthly charge per subscriber or the cost-plus-fixed-margin pricing for equipment transfers. In lieu of charges based on such specific terms, the attributed financial information for periods prior to March 1, 2014 reflect actual costs incurred for specifically identified items or are based on allocations of actual costs incurred for shared resources. In addition, because no arrangement for interest-bearing inter-group receivables or payables existed prior to March 1, 2014, no such accounts or related interest are reflected in the attributed financial information for periods prior to March 1, 2014. In such periods, HSS’ equity in the net assets of the Hughes Retail Group is presented as “Equity/ Attributed net assets” and periodic changes in such equity are presented as “Inter-group equity contributions (distributions), net” within financing activities in the attributed statements of cash flows. As a result of our use of different attribution methods for certain items in periods prior to March 1, 2014, the attributed financial position, results of operations and cash flows of the Groups are not directly comparable to the corresponding attributed financial information for periods after March 1, 2014. Accordingly, the attributed financial information for periods prior to March 1, 2014 does not purport to present the attributed financial information that would have resulted if the Policy Statement had been adopted in such periods.</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for the Hughes Retail Group consisted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Depreciable Life</w:t>
            </w:r>
          </w:p>
        </w:tc>
        <w:tc>
          <w:tcPr>
            <w:tcW w:w="380" w:type="dxa"/>
            <w:vAlign w:val="bottom"/>
          </w:tcPr>
          <w:p>
            <w:pPr>
              <w:spacing w:after="0"/>
              <w:rPr>
                <w:sz w:val="20"/>
                <w:szCs w:val="20"/>
                <w:color w:val="auto"/>
              </w:rPr>
            </w:pPr>
          </w:p>
        </w:tc>
        <w:tc>
          <w:tcPr>
            <w:tcW w:w="306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880" w:type="dxa"/>
            <w:vAlign w:val="bottom"/>
            <w:gridSpan w:val="2"/>
            <w:vMerge w:val="continue"/>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(In Years)</w:t>
            </w: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rental equipment</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681,121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584,086</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(537,625)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(421,589)</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143,496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162,497</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Depreciation expense associated with the Hughes Retail Group property and equipment, net of retirements, was $116.0 million, $119.8 million and $110.8 million for the years ended December 31, 2016, 2015 and 2014, respectively.</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Goodwill is assigned to reporting units of our operating segments. A portion of the Hughes segment goodwill was attributed to the Hughes Retail Group as if the Hughes Retail Group had been a separate reporting unit at June 8, 2011, the date EchoStar completed the acquisition of Hughes Communications, Inc. Approximately $260.0 million of the $504.2 million Hughes segment goodwill was attributed to the Hughes Retail Group.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for the Hughes Retail Group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As of December 31,</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Carrying</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Carrying</w:t>
            </w:r>
          </w:p>
        </w:tc>
      </w:tr>
      <w:tr>
        <w:trPr>
          <w:trHeight w:val="234"/>
        </w:trPr>
        <w:tc>
          <w:tcPr>
            <w:tcW w:w="2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Amount</w:t>
            </w:r>
          </w:p>
        </w:tc>
        <w:tc>
          <w:tcPr>
            <w:tcW w:w="2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Amortization</w:t>
            </w:r>
          </w:p>
        </w:tc>
        <w:tc>
          <w:tcPr>
            <w:tcW w:w="20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r>
      <w:tr>
        <w:trPr>
          <w:trHeight w:val="27"/>
        </w:trPr>
        <w:tc>
          <w:tcPr>
            <w:tcW w:w="2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center"/>
              <w:ind w:right="320"/>
              <w:spacing w:after="0"/>
              <w:rPr>
                <w:sz w:val="20"/>
                <w:szCs w:val="20"/>
                <w:color w:val="auto"/>
              </w:rPr>
            </w:pPr>
            <w:r>
              <w:rPr>
                <w:rFonts w:ascii="Arial" w:cs="Arial" w:eastAsia="Arial" w:hAnsi="Arial"/>
                <w:sz w:val="18"/>
                <w:szCs w:val="18"/>
                <w:color w:val="auto"/>
                <w:w w:val="90"/>
              </w:rPr>
              <w:t>(In thousands)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15,440</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Technology-based</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(21,868)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5,549</w:t>
            </w:r>
          </w:p>
        </w:tc>
      </w:tr>
      <w:tr>
        <w:trPr>
          <w:trHeight w:val="27"/>
        </w:trPr>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 portfolio</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10,499</w:t>
            </w:r>
          </w:p>
        </w:tc>
      </w:tr>
      <w:tr>
        <w:trPr>
          <w:trHeight w:val="237"/>
        </w:trPr>
        <w:tc>
          <w:tcPr>
            <w:tcW w:w="2880" w:type="dxa"/>
            <w:vAlign w:val="bottom"/>
          </w:tcPr>
          <w:p>
            <w:pPr>
              <w:ind w:left="180"/>
              <w:spacing w:after="0"/>
              <w:rPr>
                <w:sz w:val="20"/>
                <w:szCs w:val="20"/>
                <w:color w:val="auto"/>
              </w:rPr>
            </w:pPr>
            <w:r>
              <w:rPr>
                <w:rFonts w:ascii="Arial" w:cs="Arial" w:eastAsia="Arial" w:hAnsi="Arial"/>
                <w:sz w:val="18"/>
                <w:szCs w:val="18"/>
                <w:color w:val="auto"/>
              </w:rPr>
              <w:t>Total other intangible assets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182,220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(166,818)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15,402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182,220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(150,732)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31,488</w:t>
            </w:r>
          </w:p>
        </w:tc>
      </w:tr>
      <w:tr>
        <w:trPr>
          <w:trHeight w:val="27"/>
        </w:trPr>
        <w:tc>
          <w:tcPr>
            <w:tcW w:w="2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Customer relationships are amortized predominantly in relation to the expected contribution of cash flow to the business over the life of the intangible asset. Other intangible assets are amortized on a straight-line basis over the periods the assets 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NOTES TO CONDENSED ATTRIBUTED FINANCIAL INFORMATION -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expected to contribute to our cash flows. Amortization expense was $16.1 million, $19.6 million and $24.2 million for the years ended December 31, 2016, 2015 and 2014, respectively.</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establish a provision for income taxes currently payable or receivable and for income tax amounts deferred to future periods based upon a separate return allocation method which results in income tax expense that approximates the expense that would result if the Hughes Retail Group was a stand-alone entity. Deferred tax assets and liabilities are recorded for the estimated future tax effects of differences that exist between the financial reporting carrying amount and tax bases of assets and liabilities.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Deferred tax assets are offset by valuation allowances when we determine it is more likely than not that such deferred tax assets will not be realized in the foreseeable future.</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accordance with the Policy Statement, all income tax obligations and benefits that arose prior to March 1, 2014, except for deferred income taxes related to differences between the financial reporting carrying amounts and tax bases of the Hughes Retail Group assets and liabilities, are attributable to the HSSC Group. Because no arrangements for inter-group settlement of income taxes existed prior to March 1, 2014, no inter-group receivables or payables were recognized for attributed income tax expenses or benefits related to operations for periods prior to March 1, 2014.</w:t>
      </w:r>
    </w:p>
    <w:p>
      <w:pPr>
        <w:spacing w:after="0" w:line="17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have accounted for income taxes for the Hughes Retail Group in the accompanying attributed financial information in a manner similar to a stand-alone company. To the extent this methodology differs from our tax sharing policy, differences have been reflected in the attributed net assets of the groups.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benefit (provision) for income taxes for the Hughes Retail Group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60" w:type="dxa"/>
            <w:vAlign w:val="bottom"/>
            <w:gridSpan w:val="6"/>
          </w:tcPr>
          <w:p>
            <w:pPr>
              <w:jc w:val="center"/>
              <w:ind w:left="650"/>
              <w:spacing w:after="0"/>
              <w:rPr>
                <w:sz w:val="20"/>
                <w:szCs w:val="20"/>
                <w:color w:val="auto"/>
              </w:rPr>
            </w:pPr>
            <w:r>
              <w:rPr>
                <w:rFonts w:ascii="Arial" w:cs="Arial" w:eastAsia="Arial" w:hAnsi="Arial"/>
                <w:sz w:val="18"/>
                <w:szCs w:val="18"/>
                <w:b w:val="1"/>
                <w:bCs w:val="1"/>
                <w:color w:val="auto"/>
                <w:w w:val="90"/>
              </w:rPr>
              <w:t>For the Years Ended December 31,</w:t>
            </w:r>
          </w:p>
        </w:tc>
        <w:tc>
          <w:tcPr>
            <w:tcW w:w="112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r>
      <w:tr>
        <w:trPr>
          <w:trHeight w:val="27"/>
        </w:trPr>
        <w:tc>
          <w:tcPr>
            <w:tcW w:w="5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(In thousands)</w:t>
            </w: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(14,411)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(9,125)</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(13,788)</w:t>
            </w:r>
          </w:p>
        </w:tc>
      </w:tr>
      <w:tr>
        <w:trPr>
          <w:trHeight w:val="27"/>
        </w:trPr>
        <w:tc>
          <w:tcPr>
            <w:tcW w:w="5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and local</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(2,982)</w:t>
            </w:r>
          </w:p>
        </w:tc>
      </w:tr>
      <w:tr>
        <w:trPr>
          <w:trHeight w:val="237"/>
        </w:trPr>
        <w:tc>
          <w:tcPr>
            <w:tcW w:w="5820" w:type="dxa"/>
            <w:vAlign w:val="bottom"/>
          </w:tcPr>
          <w:p>
            <w:pPr>
              <w:ind w:left="180"/>
              <w:spacing w:after="0"/>
              <w:rPr>
                <w:sz w:val="20"/>
                <w:szCs w:val="20"/>
                <w:color w:val="auto"/>
              </w:rPr>
            </w:pPr>
            <w:r>
              <w:rPr>
                <w:rFonts w:ascii="Arial" w:cs="Arial" w:eastAsia="Arial" w:hAnsi="Arial"/>
                <w:sz w:val="18"/>
                <w:szCs w:val="18"/>
                <w:color w:val="auto"/>
              </w:rPr>
              <w:t>Total current benefit (provision)</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(17,525)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(11,097)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(16,770)</w:t>
            </w:r>
          </w:p>
        </w:tc>
      </w:tr>
      <w:tr>
        <w:trPr>
          <w:trHeight w:val="27"/>
        </w:trPr>
        <w:tc>
          <w:tcPr>
            <w:tcW w:w="5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Federal</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17,445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21,372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27,954</w:t>
            </w:r>
          </w:p>
        </w:tc>
      </w:tr>
      <w:tr>
        <w:trPr>
          <w:trHeight w:val="27"/>
        </w:trPr>
        <w:tc>
          <w:tcPr>
            <w:tcW w:w="5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and local</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3,652</w:t>
            </w:r>
          </w:p>
        </w:tc>
      </w:tr>
      <w:tr>
        <w:trPr>
          <w:trHeight w:val="237"/>
        </w:trPr>
        <w:tc>
          <w:tcPr>
            <w:tcW w:w="5820" w:type="dxa"/>
            <w:vAlign w:val="bottom"/>
          </w:tcPr>
          <w:p>
            <w:pPr>
              <w:ind w:left="180"/>
              <w:spacing w:after="0"/>
              <w:rPr>
                <w:sz w:val="20"/>
                <w:szCs w:val="20"/>
                <w:color w:val="auto"/>
              </w:rPr>
            </w:pPr>
            <w:r>
              <w:rPr>
                <w:rFonts w:ascii="Arial" w:cs="Arial" w:eastAsia="Arial" w:hAnsi="Arial"/>
                <w:sz w:val="18"/>
                <w:szCs w:val="18"/>
                <w:color w:val="auto"/>
              </w:rPr>
              <w:t>Income tax benefit (provision)</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19,723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24,162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31,606</w:t>
            </w:r>
          </w:p>
        </w:tc>
      </w:tr>
      <w:tr>
        <w:trPr>
          <w:trHeight w:val="27"/>
        </w:trPr>
        <w:tc>
          <w:tcPr>
            <w:tcW w:w="5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income tax benefit (provision) ,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14,836</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actual tax provisions for the Hughes Retail Group for the years ended December 31, 2016, 2015 and 2014 reconcile to the amounts computed by applying the statutory federal tax rate to income (loss) before income taxes as shown below:</w:t>
      </w:r>
    </w:p>
    <w:p>
      <w:pPr>
        <w:spacing w:after="0" w:line="112"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34290</wp:posOffset>
            </wp:positionV>
            <wp:extent cx="36874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2016</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8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2014</w:t>
            </w:r>
          </w:p>
        </w:tc>
      </w:tr>
      <w:tr>
        <w:trPr>
          <w:trHeight w:val="27"/>
        </w:trPr>
        <w:tc>
          <w:tcPr>
            <w:tcW w:w="55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rate</w:t>
            </w:r>
          </w:p>
        </w:tc>
        <w:tc>
          <w:tcPr>
            <w:tcW w:w="1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effect</w:t>
            </w: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55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effective tax rate</w:t>
            </w:r>
          </w:p>
        </w:tc>
        <w:tc>
          <w:tcPr>
            <w:tcW w:w="1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6800" w:type="dxa"/>
            <w:vAlign w:val="bottom"/>
            <w:gridSpan w:val="2"/>
          </w:tcPr>
          <w:p>
            <w:pPr>
              <w:jc w:val="right"/>
              <w:ind w:right="1040"/>
              <w:spacing w:after="0"/>
              <w:rPr>
                <w:sz w:val="20"/>
                <w:szCs w:val="20"/>
                <w:color w:val="auto"/>
              </w:rPr>
            </w:pPr>
            <w:r>
              <w:rPr>
                <w:rFonts w:ascii="Arial" w:cs="Arial" w:eastAsia="Arial" w:hAnsi="Arial"/>
                <w:sz w:val="18"/>
                <w:szCs w:val="18"/>
                <w:color w:val="auto"/>
              </w:rPr>
              <w:t>8</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5" w:name="page116"/>
    <w:bookmarkEnd w:id="115"/>
    <w:p>
      <w:pPr>
        <w:jc w:val="center"/>
        <w:ind w:right="-39"/>
        <w:spacing w:after="0"/>
        <w:rPr>
          <w:sz w:val="20"/>
          <w:szCs w:val="20"/>
          <w:color w:val="auto"/>
        </w:rPr>
      </w:pPr>
      <w:r>
        <w:rPr>
          <w:rFonts w:ascii="Arial" w:cs="Arial" w:eastAsia="Arial" w:hAnsi="Arial"/>
          <w:sz w:val="18"/>
          <w:szCs w:val="18"/>
          <w:b w:val="1"/>
          <w:bCs w:val="1"/>
          <w:color w:val="auto"/>
        </w:rPr>
        <w:t>NOTES TO CONDENSED ATTRIBUTED FINANCIAL INFORMATION -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income tax assets and deferred income tax liabilities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Hughes Retail Group are presented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As of December 31,</w:t>
            </w:r>
          </w:p>
        </w:tc>
        <w:tc>
          <w:tcPr>
            <w:tcW w:w="1060" w:type="dxa"/>
            <w:vAlign w:val="bottom"/>
          </w:tcPr>
          <w:p>
            <w:pPr>
              <w:spacing w:after="0"/>
              <w:rPr>
                <w:sz w:val="20"/>
                <w:szCs w:val="20"/>
                <w:color w:val="auto"/>
              </w:rPr>
            </w:pPr>
          </w:p>
        </w:tc>
      </w:tr>
      <w:tr>
        <w:trPr>
          <w:trHeight w:val="27"/>
        </w:trPr>
        <w:tc>
          <w:tcPr>
            <w:tcW w:w="73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jc w:val="right"/>
              <w:ind w:right="610"/>
              <w:spacing w:after="0"/>
              <w:rPr>
                <w:sz w:val="20"/>
                <w:szCs w:val="20"/>
                <w:color w:val="auto"/>
              </w:rPr>
            </w:pPr>
            <w:r>
              <w:rPr>
                <w:rFonts w:ascii="Arial" w:cs="Arial" w:eastAsia="Arial" w:hAnsi="Arial"/>
                <w:sz w:val="18"/>
                <w:szCs w:val="18"/>
                <w:b w:val="1"/>
                <w:bCs w:val="1"/>
                <w:color w:val="auto"/>
                <w:w w:val="84"/>
              </w:rPr>
              <w:t>2015</w:t>
            </w:r>
          </w:p>
        </w:tc>
      </w:tr>
      <w:tr>
        <w:trPr>
          <w:trHeight w:val="27"/>
        </w:trPr>
        <w:tc>
          <w:tcPr>
            <w:tcW w:w="73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gridSpan w:val="3"/>
          </w:tcPr>
          <w:p>
            <w:pPr>
              <w:jc w:val="right"/>
              <w:ind w:right="130"/>
              <w:spacing w:after="0"/>
              <w:rPr>
                <w:sz w:val="20"/>
                <w:szCs w:val="20"/>
                <w:color w:val="auto"/>
              </w:rPr>
            </w:pPr>
            <w:r>
              <w:rPr>
                <w:rFonts w:ascii="Arial" w:cs="Arial" w:eastAsia="Arial" w:hAnsi="Arial"/>
                <w:sz w:val="18"/>
                <w:szCs w:val="18"/>
                <w:color w:val="auto"/>
              </w:rPr>
              <w:t>(In thousands)</w:t>
            </w:r>
          </w:p>
        </w:tc>
        <w:tc>
          <w:tcPr>
            <w:tcW w:w="1060" w:type="dxa"/>
            <w:vAlign w:val="bottom"/>
          </w:tcPr>
          <w:p>
            <w:pPr>
              <w:spacing w:after="0"/>
              <w:rPr>
                <w:sz w:val="20"/>
                <w:szCs w:val="20"/>
                <w:color w:val="auto"/>
              </w:rPr>
            </w:pPr>
          </w:p>
        </w:tc>
      </w:tr>
      <w:tr>
        <w:trPr>
          <w:trHeight w:val="27"/>
        </w:trPr>
        <w:tc>
          <w:tcPr>
            <w:tcW w:w="7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Accrued expense</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4,346</w:t>
            </w:r>
          </w:p>
        </w:tc>
        <w:tc>
          <w:tcPr>
            <w:tcW w:w="1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5,875</w:t>
            </w:r>
          </w:p>
        </w:tc>
      </w:tr>
      <w:tr>
        <w:trPr>
          <w:trHeight w:val="27"/>
        </w:trPr>
        <w:tc>
          <w:tcPr>
            <w:tcW w:w="7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w:t>
            </w: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32,918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12,791</w:t>
            </w:r>
          </w:p>
        </w:tc>
      </w:tr>
      <w:tr>
        <w:trPr>
          <w:trHeight w:val="27"/>
        </w:trPr>
        <w:tc>
          <w:tcPr>
            <w:tcW w:w="73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tax assets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39,407</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19,685</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Equity/Attributed Net Assets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reported amounts of equity/attributed net assets for the Hughes Retail Group and the HSSC Group represent the excess of attributed assets over attributed liabilities for the respective groups. The HSSC Group equity reflects EchoStar’s aggregate 71.89% economic interest in the net assets of the Hughes Retail Group, which comprises DISH Network’s 51.89% economic interest in the Hughes Retail Group represented by EchoStar Tracking Stock and EchoStar’s 20.0% retained interest in the Hughes Retail Group.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Hughes Retail Group equity/attributed net assets consisted of attributed paid-in capital and accumulated earnings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8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89"/>
              </w:rPr>
              <w:t>As of December 31,</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4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80" w:type="dxa"/>
            <w:vAlign w:val="bottom"/>
            <w:gridSpan w:val="3"/>
          </w:tcPr>
          <w:p>
            <w:pPr>
              <w:jc w:val="right"/>
              <w:ind w:right="510"/>
              <w:spacing w:after="0"/>
              <w:rPr>
                <w:sz w:val="20"/>
                <w:szCs w:val="20"/>
                <w:color w:val="auto"/>
              </w:rPr>
            </w:pPr>
            <w:r>
              <w:rPr>
                <w:rFonts w:ascii="Arial" w:cs="Arial" w:eastAsia="Arial" w:hAnsi="Arial"/>
                <w:sz w:val="18"/>
                <w:szCs w:val="18"/>
                <w:color w:val="auto"/>
              </w:rPr>
              <w:t>(In thousands)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Attributed paid-in-capital</w:t>
            </w:r>
          </w:p>
        </w:tc>
        <w:tc>
          <w:tcPr>
            <w:tcW w:w="4060" w:type="dxa"/>
            <w:vAlign w:val="bottom"/>
            <w:tcBorders>
              <w:bottom w:val="single" w:sz="8" w:color="CCEEFF"/>
            </w:tcBorders>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456,122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456,122</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Attributed accumulated earnings (deficit):</w:t>
            </w:r>
          </w:p>
        </w:tc>
        <w:tc>
          <w:tcPr>
            <w:tcW w:w="3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Periods prior to March 1, 2014</w:t>
            </w:r>
          </w:p>
        </w:tc>
        <w:tc>
          <w:tcPr>
            <w:tcW w:w="30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33,395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33,395</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Periods beginning March 1, 2014</w:t>
            </w:r>
          </w:p>
        </w:tc>
        <w:tc>
          <w:tcPr>
            <w:tcW w:w="3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(47,176)</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(43,819)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(13,781)</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(10,424)</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Total equity/ attributed net assets</w:t>
            </w:r>
          </w:p>
        </w:tc>
        <w:tc>
          <w:tcPr>
            <w:tcW w:w="30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442,341</w:t>
            </w:r>
          </w:p>
        </w:tc>
        <w:tc>
          <w:tcPr>
            <w:tcW w:w="120" w:type="dxa"/>
            <w:vAlign w:val="bottom"/>
          </w:tcPr>
          <w:p>
            <w:pPr>
              <w:spacing w:after="0"/>
              <w:rPr>
                <w:sz w:val="20"/>
                <w:szCs w:val="20"/>
                <w:color w:val="auto"/>
              </w:rPr>
            </w:pPr>
          </w:p>
        </w:tc>
        <w:tc>
          <w:tcPr>
            <w:tcW w:w="106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6"/>
              </w:rPr>
              <w:t>445,698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000" w:type="dxa"/>
            <w:vAlign w:val="bottom"/>
            <w:vMerge w:val="restart"/>
          </w:tcPr>
          <w:p>
            <w:pPr>
              <w:jc w:val="right"/>
              <w:ind w:right="1510"/>
              <w:spacing w:after="0"/>
              <w:rPr>
                <w:sz w:val="20"/>
                <w:szCs w:val="20"/>
                <w:color w:val="auto"/>
              </w:rPr>
            </w:pPr>
            <w:r>
              <w:rPr>
                <w:rFonts w:ascii="Arial" w:cs="Arial" w:eastAsia="Arial" w:hAnsi="Arial"/>
                <w:sz w:val="18"/>
                <w:szCs w:val="18"/>
                <w:color w:val="auto"/>
              </w:rPr>
              <w:t>9</w:t>
            </w: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000" w:type="dxa"/>
            <w:vAlign w:val="bottom"/>
            <w:vMerge w:val="continue"/>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6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o"/>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emdash "/>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1)"/>
      <w:numFmt w:val="lowerRoman"/>
      <w:start w:val="3"/>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1)"/>
      <w:numFmt w:val="lowerRoman"/>
      <w:start w:val="2"/>
    </w:lvl>
  </w:abstractNum>
  <w:abstractNum w:abstractNumId="24">
    <w:nsid w:val="153EA438"/>
    <w:multiLevelType w:val="hybridMultilevel"/>
    <w:lvl w:ilvl="0">
      <w:lvlJc w:val="left"/>
      <w:lvlText w:val="(%1)"/>
      <w:numFmt w:val="lowerRoman"/>
      <w:start w:val="2"/>
    </w:lvl>
  </w:abstractNum>
  <w:abstractNum w:abstractNumId="25">
    <w:nsid w:val="3855585C"/>
    <w:multiLevelType w:val="hybridMultilevel"/>
    <w:lvl w:ilvl="0">
      <w:lvlJc w:val="left"/>
      <w:lvlText w:val="(%1)"/>
      <w:numFmt w:val="lowerRoman"/>
      <w:start w:val="1"/>
    </w:lvl>
  </w:abstractNum>
  <w:abstractNum w:abstractNumId="26">
    <w:nsid w:val="70A64E2A"/>
    <w:multiLevelType w:val="hybridMultilevel"/>
    <w:lvl w:ilvl="0">
      <w:lvlJc w:val="left"/>
      <w:lvlText w:val="(%1)"/>
      <w:numFmt w:val="lowerRoman"/>
      <w:start w:val="3"/>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1)"/>
      <w:numFmt w:val="upperLetter"/>
      <w:start w:val="8"/>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1)"/>
      <w:numFmt w:val="lowerRoman"/>
      <w:start w:val="3"/>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1)"/>
      <w:numFmt w:val="lowerLetter"/>
      <w:start w:val="1"/>
    </w:lvl>
  </w:abstractNum>
  <w:abstractNum w:abstractNumId="50">
    <w:nsid w:val="374A3FE6"/>
    <w:multiLevelType w:val="hybridMultilevel"/>
    <w:lvl w:ilvl="0">
      <w:lvlJc w:val="left"/>
      <w:lvlText w:val="%1)"/>
      <w:numFmt w:val="lowerLetter"/>
      <w:start w:val="2"/>
    </w:lvl>
  </w:abstractNum>
  <w:abstractNum w:abstractNumId="51">
    <w:nsid w:val="4F4EF005"/>
    <w:multiLevelType w:val="hybridMultilevel"/>
    <w:lvl w:ilvl="0">
      <w:lvlJc w:val="left"/>
      <w:lvlText w:val="%1)"/>
      <w:numFmt w:val="lowerLetter"/>
      <w:start w:val="3"/>
    </w:lvl>
  </w:abstractNum>
  <w:abstractNum w:abstractNumId="52">
    <w:nsid w:val="23F9C13C"/>
    <w:multiLevelType w:val="hybridMultilevel"/>
    <w:lvl w:ilvl="0">
      <w:lvlJc w:val="left"/>
      <w:lvlText w:val="%1."/>
      <w:numFmt w:val="decimal"/>
      <w:start w:val="5"/>
    </w:lvl>
    <w:lvl w:ilvl="1">
      <w:lvlJc w:val="left"/>
      <w:lvlText w:val="%2)"/>
      <w:numFmt w:val="lowerLetter"/>
      <w:start w:val="1"/>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1)"/>
      <w:numFmt w:val="lowerLetter"/>
      <w:start w:val="3"/>
    </w:lvl>
  </w:abstractNum>
  <w:abstractNum w:abstractNumId="55">
    <w:nsid w:val="39386575"/>
    <w:multiLevelType w:val="hybridMultilevel"/>
    <w:lvl w:ilvl="0">
      <w:lvlJc w:val="left"/>
      <w:lvlText w:val="%1."/>
      <w:numFmt w:val="decimal"/>
      <w:start w:val="5"/>
    </w:lvl>
    <w:lvl w:ilvl="1">
      <w:lvlJc w:val="left"/>
      <w:lvlText w:val="%2."/>
      <w:numFmt w:val="lowerLetter"/>
      <w:start w:val="1"/>
    </w:lvl>
  </w:abstractNum>
  <w:abstractNum w:abstractNumId="56">
    <w:nsid w:val="1CF10FD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2019-12-29T09:19:36Z</dcterms:created>
  <dcterms:modified xsi:type="dcterms:W3CDTF">2019-12-29T09:19:36Z</dcterms:modified>
</cp:coreProperties>
</file>