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72026_060707.xml.htm"/>
      <w:bookmarkStart w:id="1" w:name="ksform407072026_0607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Hershman Lisa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EchoStar CORP</w:t>
              </w:r>
            </w:hyperlink>
            <w:r>
              <w:rPr/>
              <w:t xml:space="preserve"> [ </w:t>
            </w:r>
            <w:r>
              <w:rPr>
                <w:rFonts w:ascii="Times;serif" w:hAnsi="Times;serif"/>
                <w:color w:val="0000FF"/>
                <w:sz w:val="24"/>
                <w:shd w:fill="FFFFFF" w:val="clear"/>
              </w:rPr>
              <w:t>ECHO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24.49</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2,428</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100.88</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7,572</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38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Non-Employee Director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automatically effected upon the expiration of the option pursuant to the terms of the Issuer's 2017 Non-Employee Director Stock Option Plan and NED Stock Option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cover the exercise price of the option and certain tax obligations in connection with the automatic exercise of the vested options listed in Table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the option were 100% vested upon the date of the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W. Hershman, by Daniel W. Conroy,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8958" TargetMode="External"/><Relationship Id="rId5" Type="http://schemas.openxmlformats.org/officeDocument/2006/relationships/hyperlink" Target="http://www.sec.gov/cgi-bin/browse-edgar?action=getcompany&amp;CIK=00014154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3613</Characters>
  <CharactersWithSpaces>4211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