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64"/>
        <w:spacing w:after="0"/>
        <w:rPr>
          <w:sz w:val="20"/>
          <w:szCs w:val="20"/>
          <w:color w:val="auto"/>
        </w:rPr>
      </w:pPr>
      <w:r>
        <w:rPr>
          <w:rFonts w:ascii="Arial" w:cs="Arial" w:eastAsia="Arial" w:hAnsi="Arial"/>
          <w:sz w:val="18"/>
          <w:szCs w:val="18"/>
          <w:b w:val="1"/>
          <w:bCs w:val="1"/>
          <w:color w:val="auto"/>
        </w:rPr>
        <w:t>UNITED STATES</w:t>
      </w:r>
    </w:p>
    <w:p>
      <w:pPr>
        <w:spacing w:after="0" w:line="63" w:lineRule="exact"/>
        <w:rPr>
          <w:sz w:val="24"/>
          <w:szCs w:val="24"/>
          <w:color w:val="auto"/>
        </w:rPr>
      </w:pPr>
    </w:p>
    <w:p>
      <w:pPr>
        <w:jc w:val="center"/>
        <w:ind w:right="-264"/>
        <w:spacing w:after="0"/>
        <w:rPr>
          <w:sz w:val="20"/>
          <w:szCs w:val="20"/>
          <w:color w:val="auto"/>
        </w:rPr>
      </w:pPr>
      <w:r>
        <w:rPr>
          <w:rFonts w:ascii="Arial" w:cs="Arial" w:eastAsia="Arial" w:hAnsi="Arial"/>
          <w:sz w:val="18"/>
          <w:szCs w:val="18"/>
          <w:b w:val="1"/>
          <w:bCs w:val="1"/>
          <w:color w:val="auto"/>
        </w:rPr>
        <w:t>SECURITIES AND EXCHANGE COMMISSION</w:t>
      </w:r>
    </w:p>
    <w:p>
      <w:pPr>
        <w:spacing w:after="0" w:line="63" w:lineRule="exact"/>
        <w:rPr>
          <w:sz w:val="24"/>
          <w:szCs w:val="24"/>
          <w:color w:val="auto"/>
        </w:rPr>
      </w:pPr>
    </w:p>
    <w:p>
      <w:pPr>
        <w:jc w:val="center"/>
        <w:ind w:right="-264"/>
        <w:spacing w:after="0"/>
        <w:rPr>
          <w:sz w:val="20"/>
          <w:szCs w:val="20"/>
          <w:color w:val="auto"/>
        </w:rPr>
      </w:pPr>
      <w:r>
        <w:rPr>
          <w:rFonts w:ascii="Arial" w:cs="Arial" w:eastAsia="Arial" w:hAnsi="Arial"/>
          <w:sz w:val="18"/>
          <w:szCs w:val="18"/>
          <w:b w:val="1"/>
          <w:bCs w:val="1"/>
          <w:color w:val="auto"/>
        </w:rPr>
        <w:t>Washington, D.C. 20549</w:t>
      </w:r>
    </w:p>
    <w:p>
      <w:pPr>
        <w:spacing w:after="0" w:line="288" w:lineRule="exact"/>
        <w:rPr>
          <w:sz w:val="24"/>
          <w:szCs w:val="24"/>
          <w:color w:val="auto"/>
        </w:rPr>
      </w:pPr>
    </w:p>
    <w:p>
      <w:pPr>
        <w:jc w:val="center"/>
        <w:ind w:right="-264"/>
        <w:spacing w:after="0"/>
        <w:rPr>
          <w:sz w:val="20"/>
          <w:szCs w:val="20"/>
          <w:color w:val="auto"/>
        </w:rPr>
      </w:pPr>
      <w:r>
        <w:rPr>
          <w:rFonts w:ascii="Arial" w:cs="Arial" w:eastAsia="Arial" w:hAnsi="Arial"/>
          <w:sz w:val="25"/>
          <w:szCs w:val="25"/>
          <w:b w:val="1"/>
          <w:bCs w:val="1"/>
          <w:color w:val="auto"/>
        </w:rPr>
        <w:t>SCHEDULE 14A</w:t>
      </w:r>
    </w:p>
    <w:p>
      <w:pPr>
        <w:spacing w:after="0" w:line="356" w:lineRule="exact"/>
        <w:rPr>
          <w:sz w:val="24"/>
          <w:szCs w:val="24"/>
          <w:color w:val="auto"/>
        </w:rPr>
      </w:pPr>
    </w:p>
    <w:p>
      <w:pPr>
        <w:jc w:val="center"/>
        <w:ind w:right="-264"/>
        <w:spacing w:after="0"/>
        <w:rPr>
          <w:sz w:val="20"/>
          <w:szCs w:val="20"/>
          <w:color w:val="auto"/>
        </w:rPr>
      </w:pPr>
      <w:r>
        <w:rPr>
          <w:rFonts w:ascii="Arial" w:cs="Arial" w:eastAsia="Arial" w:hAnsi="Arial"/>
          <w:sz w:val="18"/>
          <w:szCs w:val="18"/>
          <w:color w:val="auto"/>
        </w:rPr>
        <w:t>Proxy Statement Pursuant to Section 14(a) of</w:t>
      </w:r>
    </w:p>
    <w:p>
      <w:pPr>
        <w:spacing w:after="0" w:line="23" w:lineRule="exact"/>
        <w:rPr>
          <w:sz w:val="24"/>
          <w:szCs w:val="24"/>
          <w:color w:val="auto"/>
        </w:rPr>
      </w:pPr>
    </w:p>
    <w:p>
      <w:pPr>
        <w:jc w:val="center"/>
        <w:ind w:right="-244"/>
        <w:spacing w:after="0"/>
        <w:tabs>
          <w:tab w:leader="none" w:pos="200" w:val="left"/>
        </w:tabs>
        <w:rPr>
          <w:sz w:val="20"/>
          <w:szCs w:val="20"/>
          <w:color w:val="auto"/>
        </w:rPr>
      </w:pPr>
      <w:r>
        <w:rPr>
          <w:rFonts w:ascii="Arial" w:cs="Arial" w:eastAsia="Arial" w:hAnsi="Arial"/>
          <w:sz w:val="17"/>
          <w:szCs w:val="17"/>
          <w:color w:val="auto"/>
        </w:rPr>
        <w:t>the Securities Exchange Act of 1934 (Amendment No.</w:t>
      </w:r>
      <w:r>
        <w:rPr>
          <w:sz w:val="20"/>
          <w:szCs w:val="20"/>
          <w:color w:val="auto"/>
        </w:rPr>
        <w:tab/>
      </w:r>
      <w:r>
        <w:rPr>
          <w:rFonts w:ascii="Arial" w:cs="Arial" w:eastAsia="Arial" w:hAnsi="Arial"/>
          <w:sz w:val="18"/>
          <w:szCs w:val="18"/>
          <w:color w:val="auto"/>
        </w:rPr>
        <w:t>)</w:t>
      </w:r>
    </w:p>
    <w:p>
      <w:pPr>
        <w:spacing w:after="0" w:line="278" w:lineRule="exact"/>
        <w:rPr>
          <w:sz w:val="24"/>
          <w:szCs w:val="24"/>
          <w:color w:val="auto"/>
        </w:rPr>
      </w:pPr>
    </w:p>
    <w:p>
      <w:pPr>
        <w:ind w:left="5"/>
        <w:spacing w:after="0"/>
        <w:rPr>
          <w:sz w:val="20"/>
          <w:szCs w:val="20"/>
          <w:color w:val="auto"/>
        </w:rPr>
      </w:pPr>
      <w:r>
        <w:rPr>
          <w:rFonts w:ascii="Arial" w:cs="Arial" w:eastAsia="Arial" w:hAnsi="Arial"/>
          <w:sz w:val="18"/>
          <w:szCs w:val="18"/>
          <w:color w:val="auto"/>
        </w:rPr>
        <w:t>Filed by the Registrant x</w:t>
      </w:r>
    </w:p>
    <w:p>
      <w:pPr>
        <w:spacing w:after="0" w:line="293" w:lineRule="exact"/>
        <w:rPr>
          <w:sz w:val="24"/>
          <w:szCs w:val="24"/>
          <w:color w:val="auto"/>
        </w:rPr>
      </w:pPr>
    </w:p>
    <w:p>
      <w:pPr>
        <w:ind w:left="5"/>
        <w:spacing w:after="0"/>
        <w:rPr>
          <w:sz w:val="20"/>
          <w:szCs w:val="20"/>
          <w:color w:val="auto"/>
        </w:rPr>
      </w:pPr>
      <w:r>
        <w:rPr>
          <w:rFonts w:ascii="Arial" w:cs="Arial" w:eastAsia="Arial" w:hAnsi="Arial"/>
          <w:sz w:val="18"/>
          <w:szCs w:val="18"/>
          <w:color w:val="auto"/>
        </w:rPr>
        <w:t>Filed by a Party other than the Registrant o</w:t>
      </w:r>
    </w:p>
    <w:p>
      <w:pPr>
        <w:spacing w:after="0" w:line="293" w:lineRule="exact"/>
        <w:rPr>
          <w:sz w:val="24"/>
          <w:szCs w:val="24"/>
          <w:color w:val="auto"/>
        </w:rPr>
      </w:pPr>
    </w:p>
    <w:p>
      <w:pPr>
        <w:ind w:left="5"/>
        <w:spacing w:after="0"/>
        <w:rPr>
          <w:sz w:val="20"/>
          <w:szCs w:val="20"/>
          <w:color w:val="auto"/>
        </w:rPr>
      </w:pPr>
      <w:r>
        <w:rPr>
          <w:rFonts w:ascii="Arial" w:cs="Arial" w:eastAsia="Arial" w:hAnsi="Arial"/>
          <w:sz w:val="18"/>
          <w:szCs w:val="18"/>
          <w:color w:val="auto"/>
        </w:rPr>
        <w:t>Check the appropriate box:</w:t>
      </w:r>
    </w:p>
    <w:p>
      <w:pPr>
        <w:spacing w:after="0" w:line="63" w:lineRule="exact"/>
        <w:rPr>
          <w:sz w:val="24"/>
          <w:szCs w:val="24"/>
          <w:color w:val="auto"/>
        </w:rPr>
      </w:pPr>
    </w:p>
    <w:p>
      <w:pPr>
        <w:ind w:left="585" w:hanging="585"/>
        <w:spacing w:after="0"/>
        <w:tabs>
          <w:tab w:leader="none" w:pos="585"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59" w:lineRule="exact"/>
        <w:rPr>
          <w:rFonts w:ascii="Arial" w:cs="Arial" w:eastAsia="Arial" w:hAnsi="Arial"/>
          <w:sz w:val="18"/>
          <w:szCs w:val="18"/>
          <w:color w:val="auto"/>
        </w:rPr>
      </w:pPr>
    </w:p>
    <w:p>
      <w:pPr>
        <w:ind w:left="585" w:hanging="585"/>
        <w:spacing w:after="0"/>
        <w:tabs>
          <w:tab w:leader="none" w:pos="585"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67" w:lineRule="exact"/>
        <w:rPr>
          <w:rFonts w:ascii="Arial" w:cs="Arial" w:eastAsia="Arial" w:hAnsi="Arial"/>
          <w:sz w:val="18"/>
          <w:szCs w:val="18"/>
          <w:color w:val="auto"/>
        </w:rPr>
      </w:pPr>
    </w:p>
    <w:p>
      <w:pPr>
        <w:ind w:left="5"/>
        <w:spacing w:after="0"/>
        <w:rPr>
          <w:rFonts w:ascii="Arial" w:cs="Arial" w:eastAsia="Arial" w:hAnsi="Arial"/>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Definitive Proxy Statement</w:t>
      </w:r>
    </w:p>
    <w:p>
      <w:pPr>
        <w:spacing w:after="0" w:line="63" w:lineRule="exact"/>
        <w:rPr>
          <w:rFonts w:ascii="Arial" w:cs="Arial" w:eastAsia="Arial" w:hAnsi="Arial"/>
          <w:sz w:val="18"/>
          <w:szCs w:val="18"/>
          <w:color w:val="auto"/>
        </w:rPr>
      </w:pPr>
    </w:p>
    <w:p>
      <w:pPr>
        <w:ind w:left="585" w:hanging="585"/>
        <w:spacing w:after="0"/>
        <w:tabs>
          <w:tab w:leader="none" w:pos="585" w:val="left"/>
        </w:tabs>
        <w:numPr>
          <w:ilvl w:val="0"/>
          <w:numId w:val="1"/>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63" w:lineRule="exact"/>
        <w:rPr>
          <w:rFonts w:ascii="Arial" w:cs="Arial" w:eastAsia="Arial" w:hAnsi="Arial"/>
          <w:sz w:val="18"/>
          <w:szCs w:val="18"/>
          <w:color w:val="auto"/>
        </w:rPr>
      </w:pPr>
    </w:p>
    <w:p>
      <w:pPr>
        <w:ind w:left="585" w:hanging="585"/>
        <w:spacing w:after="0"/>
        <w:tabs>
          <w:tab w:leader="none" w:pos="585"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under §240.14a-12</w:t>
      </w:r>
    </w:p>
    <w:p>
      <w:pPr>
        <w:spacing w:after="0" w:line="284" w:lineRule="exact"/>
        <w:rPr>
          <w:sz w:val="24"/>
          <w:szCs w:val="24"/>
          <w:color w:val="auto"/>
        </w:rPr>
      </w:pPr>
    </w:p>
    <w:p>
      <w:pPr>
        <w:jc w:val="center"/>
        <w:ind w:right="-264"/>
        <w:spacing w:after="0"/>
        <w:rPr>
          <w:sz w:val="20"/>
          <w:szCs w:val="20"/>
          <w:color w:val="auto"/>
        </w:rPr>
      </w:pPr>
      <w:r>
        <w:rPr>
          <w:rFonts w:ascii="Arial" w:cs="Arial" w:eastAsia="Arial" w:hAnsi="Arial"/>
          <w:sz w:val="25"/>
          <w:szCs w:val="25"/>
          <w:b w:val="1"/>
          <w:bCs w:val="1"/>
          <w:color w:val="auto"/>
        </w:rPr>
        <w:t>EchoStar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-16510</wp:posOffset>
            </wp:positionH>
            <wp:positionV relativeFrom="paragraph">
              <wp:posOffset>38100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6" w:lineRule="exact"/>
        <w:rPr>
          <w:sz w:val="24"/>
          <w:szCs w:val="24"/>
          <w:color w:val="auto"/>
        </w:rPr>
      </w:pPr>
    </w:p>
    <w:p>
      <w:pPr>
        <w:jc w:val="center"/>
        <w:ind w:right="-264"/>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-16510</wp:posOffset>
            </wp:positionH>
            <wp:positionV relativeFrom="paragraph">
              <wp:posOffset>323850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ind w:right="-264"/>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93" w:lineRule="exact"/>
        <w:rPr>
          <w:sz w:val="24"/>
          <w:szCs w:val="24"/>
          <w:color w:val="auto"/>
        </w:rPr>
      </w:pPr>
    </w:p>
    <w:p>
      <w:pPr>
        <w:ind w:left="5"/>
        <w:spacing w:after="0"/>
        <w:rPr>
          <w:sz w:val="20"/>
          <w:szCs w:val="20"/>
          <w:color w:val="auto"/>
        </w:rPr>
      </w:pPr>
      <w:r>
        <w:rPr>
          <w:rFonts w:ascii="Arial" w:cs="Arial" w:eastAsia="Arial" w:hAnsi="Arial"/>
          <w:sz w:val="18"/>
          <w:szCs w:val="18"/>
          <w:color w:val="auto"/>
        </w:rPr>
        <w:t>Payment of Filing Fee (Check the appropriate box):</w:t>
      </w:r>
    </w:p>
    <w:p>
      <w:pPr>
        <w:spacing w:after="0" w:line="63" w:lineRule="exact"/>
        <w:rPr>
          <w:sz w:val="24"/>
          <w:szCs w:val="24"/>
          <w:color w:val="auto"/>
        </w:rPr>
      </w:pPr>
    </w:p>
    <w:p>
      <w:pPr>
        <w:ind w:left="585" w:hanging="585"/>
        <w:spacing w:after="0"/>
        <w:tabs>
          <w:tab w:leader="none" w:pos="585" w:val="left"/>
        </w:tabs>
        <w:numPr>
          <w:ilvl w:val="0"/>
          <w:numId w:val="2"/>
        </w:numPr>
        <w:rPr>
          <w:rFonts w:ascii="Arial" w:cs="Arial" w:eastAsia="Arial" w:hAnsi="Arial"/>
          <w:sz w:val="18"/>
          <w:szCs w:val="18"/>
          <w:color w:val="auto"/>
        </w:rPr>
      </w:pPr>
      <w:r>
        <w:rPr>
          <w:rFonts w:ascii="Arial" w:cs="Arial" w:eastAsia="Arial" w:hAnsi="Arial"/>
          <w:sz w:val="18"/>
          <w:szCs w:val="18"/>
          <w:color w:val="auto"/>
        </w:rPr>
        <w:t>No fee required.</w:t>
      </w:r>
    </w:p>
    <w:p>
      <w:pPr>
        <w:spacing w:after="0" w:line="63" w:lineRule="exact"/>
        <w:rPr>
          <w:sz w:val="24"/>
          <w:szCs w:val="24"/>
          <w:color w:val="auto"/>
        </w:rPr>
      </w:pPr>
    </w:p>
    <w:p>
      <w:pPr>
        <w:ind w:left="585" w:hanging="585"/>
        <w:spacing w:after="0"/>
        <w:tabs>
          <w:tab w:leader="none" w:pos="585" w:val="left"/>
        </w:tabs>
        <w:numPr>
          <w:ilvl w:val="0"/>
          <w:numId w:val="3"/>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14a-6(i)(1) and 0-11.</w:t>
      </w:r>
    </w:p>
    <w:p>
      <w:pPr>
        <w:spacing w:after="0" w:line="63" w:lineRule="exact"/>
        <w:rPr>
          <w:rFonts w:ascii="Arial" w:cs="Arial" w:eastAsia="Arial" w:hAnsi="Arial"/>
          <w:sz w:val="18"/>
          <w:szCs w:val="18"/>
          <w:color w:val="auto"/>
        </w:rPr>
      </w:pPr>
    </w:p>
    <w:p>
      <w:pPr>
        <w:ind w:left="1265" w:hanging="684"/>
        <w:spacing w:after="0"/>
        <w:tabs>
          <w:tab w:leader="none" w:pos="1265"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360" w:lineRule="exact"/>
        <w:rPr>
          <w:rFonts w:ascii="Arial" w:cs="Arial" w:eastAsia="Arial" w:hAnsi="Arial"/>
          <w:sz w:val="18"/>
          <w:szCs w:val="18"/>
          <w:color w:val="auto"/>
        </w:rPr>
      </w:pPr>
    </w:p>
    <w:p>
      <w:pPr>
        <w:ind w:left="1265" w:hanging="684"/>
        <w:spacing w:after="0"/>
        <w:tabs>
          <w:tab w:leader="none" w:pos="1265"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360" w:lineRule="exact"/>
        <w:rPr>
          <w:rFonts w:ascii="Arial" w:cs="Arial" w:eastAsia="Arial" w:hAnsi="Arial"/>
          <w:sz w:val="18"/>
          <w:szCs w:val="18"/>
          <w:color w:val="auto"/>
        </w:rPr>
      </w:pPr>
    </w:p>
    <w:p>
      <w:pPr>
        <w:ind w:left="1265" w:right="20" w:hanging="684"/>
        <w:spacing w:after="0" w:line="277" w:lineRule="auto"/>
        <w:tabs>
          <w:tab w:leader="none" w:pos="1265"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305" w:lineRule="exact"/>
        <w:rPr>
          <w:rFonts w:ascii="Arial" w:cs="Arial" w:eastAsia="Arial" w:hAnsi="Arial"/>
          <w:sz w:val="18"/>
          <w:szCs w:val="18"/>
          <w:color w:val="auto"/>
        </w:rPr>
      </w:pPr>
    </w:p>
    <w:p>
      <w:pPr>
        <w:ind w:left="1265" w:hanging="684"/>
        <w:spacing w:after="0"/>
        <w:tabs>
          <w:tab w:leader="none" w:pos="1265"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360" w:lineRule="exact"/>
        <w:rPr>
          <w:rFonts w:ascii="Arial" w:cs="Arial" w:eastAsia="Arial" w:hAnsi="Arial"/>
          <w:sz w:val="18"/>
          <w:szCs w:val="18"/>
          <w:color w:val="auto"/>
        </w:rPr>
      </w:pPr>
    </w:p>
    <w:p>
      <w:pPr>
        <w:ind w:left="1265" w:hanging="684"/>
        <w:spacing w:after="0"/>
        <w:tabs>
          <w:tab w:leader="none" w:pos="1265"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346" w:lineRule="exact"/>
        <w:rPr>
          <w:rFonts w:ascii="Arial" w:cs="Arial" w:eastAsia="Arial" w:hAnsi="Arial"/>
          <w:sz w:val="18"/>
          <w:szCs w:val="18"/>
          <w:color w:val="auto"/>
        </w:rPr>
      </w:pPr>
    </w:p>
    <w:p>
      <w:pPr>
        <w:ind w:left="585" w:hanging="585"/>
        <w:spacing w:after="0"/>
        <w:tabs>
          <w:tab w:leader="none" w:pos="585" w:val="left"/>
        </w:tabs>
        <w:numPr>
          <w:ilvl w:val="0"/>
          <w:numId w:val="3"/>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63" w:lineRule="exact"/>
        <w:rPr>
          <w:rFonts w:ascii="Arial" w:cs="Arial" w:eastAsia="Arial" w:hAnsi="Arial"/>
          <w:sz w:val="18"/>
          <w:szCs w:val="18"/>
          <w:color w:val="auto"/>
        </w:rPr>
      </w:pPr>
    </w:p>
    <w:p>
      <w:pPr>
        <w:ind w:left="585" w:hanging="585"/>
        <w:spacing w:after="0" w:line="298" w:lineRule="auto"/>
        <w:tabs>
          <w:tab w:leader="none" w:pos="585" w:val="left"/>
        </w:tabs>
        <w:numPr>
          <w:ilvl w:val="0"/>
          <w:numId w:val="3"/>
        </w:numPr>
        <w:rPr>
          <w:rFonts w:ascii="Arial" w:cs="Arial" w:eastAsia="Arial" w:hAnsi="Arial"/>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ind w:left="1385" w:hanging="804"/>
        <w:spacing w:after="0"/>
        <w:tabs>
          <w:tab w:leader="none" w:pos="1385"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360" w:lineRule="exact"/>
        <w:rPr>
          <w:rFonts w:ascii="Arial" w:cs="Arial" w:eastAsia="Arial" w:hAnsi="Arial"/>
          <w:sz w:val="18"/>
          <w:szCs w:val="18"/>
          <w:color w:val="auto"/>
        </w:rPr>
      </w:pPr>
    </w:p>
    <w:p>
      <w:pPr>
        <w:ind w:left="1385" w:hanging="804"/>
        <w:spacing w:after="0"/>
        <w:tabs>
          <w:tab w:leader="none" w:pos="1385"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360" w:lineRule="exact"/>
        <w:rPr>
          <w:rFonts w:ascii="Arial" w:cs="Arial" w:eastAsia="Arial" w:hAnsi="Arial"/>
          <w:sz w:val="18"/>
          <w:szCs w:val="18"/>
          <w:color w:val="auto"/>
        </w:rPr>
      </w:pPr>
    </w:p>
    <w:p>
      <w:pPr>
        <w:ind w:left="1385" w:hanging="804"/>
        <w:spacing w:after="0"/>
        <w:tabs>
          <w:tab w:leader="none" w:pos="1385"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360" w:lineRule="exact"/>
        <w:rPr>
          <w:rFonts w:ascii="Arial" w:cs="Arial" w:eastAsia="Arial" w:hAnsi="Arial"/>
          <w:sz w:val="18"/>
          <w:szCs w:val="18"/>
          <w:color w:val="auto"/>
        </w:rPr>
      </w:pPr>
    </w:p>
    <w:p>
      <w:pPr>
        <w:ind w:left="1385" w:hanging="804"/>
        <w:spacing w:after="0"/>
        <w:tabs>
          <w:tab w:leader="none" w:pos="1385"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857885</wp:posOffset>
            </wp:positionH>
            <wp:positionV relativeFrom="paragraph">
              <wp:posOffset>238125</wp:posOffset>
            </wp:positionV>
            <wp:extent cx="63715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371590" cy="8890"/>
                    </a:xfrm>
                    <a:prstGeom prst="rect">
                      <a:avLst/>
                    </a:prstGeom>
                    <a:noFill/>
                  </pic:spPr>
                </pic:pic>
              </a:graphicData>
            </a:graphic>
          </wp:anchor>
        </w:drawing>
        <w:drawing>
          <wp:anchor simplePos="0" relativeHeight="251657728" behindDoc="1" locked="0" layoutInCell="0" allowOverlap="1">
            <wp:simplePos x="0" y="0"/>
            <wp:positionH relativeFrom="column">
              <wp:posOffset>857885</wp:posOffset>
            </wp:positionH>
            <wp:positionV relativeFrom="paragraph">
              <wp:posOffset>-147320</wp:posOffset>
            </wp:positionV>
            <wp:extent cx="63715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371590" cy="8890"/>
                    </a:xfrm>
                    <a:prstGeom prst="rect">
                      <a:avLst/>
                    </a:prstGeom>
                    <a:noFill/>
                  </pic:spPr>
                </pic:pic>
              </a:graphicData>
            </a:graphic>
          </wp:anchor>
        </w:drawing>
        <w:drawing>
          <wp:anchor simplePos="0" relativeHeight="251657728" behindDoc="1" locked="0" layoutInCell="0" allowOverlap="1">
            <wp:simplePos x="0" y="0"/>
            <wp:positionH relativeFrom="column">
              <wp:posOffset>857885</wp:posOffset>
            </wp:positionH>
            <wp:positionV relativeFrom="paragraph">
              <wp:posOffset>-507365</wp:posOffset>
            </wp:positionV>
            <wp:extent cx="63715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371590" cy="8890"/>
                    </a:xfrm>
                    <a:prstGeom prst="rect">
                      <a:avLst/>
                    </a:prstGeom>
                    <a:noFill/>
                  </pic:spPr>
                </pic:pic>
              </a:graphicData>
            </a:graphic>
          </wp:anchor>
        </w:drawing>
        <w:drawing>
          <wp:anchor simplePos="0" relativeHeight="251657728" behindDoc="1" locked="0" layoutInCell="0" allowOverlap="1">
            <wp:simplePos x="0" y="0"/>
            <wp:positionH relativeFrom="column">
              <wp:posOffset>857885</wp:posOffset>
            </wp:positionH>
            <wp:positionV relativeFrom="paragraph">
              <wp:posOffset>-868045</wp:posOffset>
            </wp:positionV>
            <wp:extent cx="63715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371590" cy="8890"/>
                    </a:xfrm>
                    <a:prstGeom prst="rect">
                      <a:avLst/>
                    </a:prstGeom>
                    <a:noFill/>
                  </pic:spPr>
                </pic:pic>
              </a:graphicData>
            </a:graphic>
          </wp:anchor>
        </w:drawing>
        <w:drawing>
          <wp:anchor simplePos="0" relativeHeight="251657728" behindDoc="1" locked="0" layoutInCell="0" allowOverlap="1">
            <wp:simplePos x="0" y="0"/>
            <wp:positionH relativeFrom="column">
              <wp:posOffset>789305</wp:posOffset>
            </wp:positionH>
            <wp:positionV relativeFrom="paragraph">
              <wp:posOffset>-1699895</wp:posOffset>
            </wp:positionV>
            <wp:extent cx="64401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40170" cy="8890"/>
                    </a:xfrm>
                    <a:prstGeom prst="rect">
                      <a:avLst/>
                    </a:prstGeom>
                    <a:noFill/>
                  </pic:spPr>
                </pic:pic>
              </a:graphicData>
            </a:graphic>
          </wp:anchor>
        </w:drawing>
        <w:drawing>
          <wp:anchor simplePos="0" relativeHeight="251657728" behindDoc="1" locked="0" layoutInCell="0" allowOverlap="1">
            <wp:simplePos x="0" y="0"/>
            <wp:positionH relativeFrom="column">
              <wp:posOffset>789305</wp:posOffset>
            </wp:positionH>
            <wp:positionV relativeFrom="paragraph">
              <wp:posOffset>-2059940</wp:posOffset>
            </wp:positionV>
            <wp:extent cx="64401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40170" cy="8890"/>
                    </a:xfrm>
                    <a:prstGeom prst="rect">
                      <a:avLst/>
                    </a:prstGeom>
                    <a:noFill/>
                  </pic:spPr>
                </pic:pic>
              </a:graphicData>
            </a:graphic>
          </wp:anchor>
        </w:drawing>
        <w:drawing>
          <wp:anchor simplePos="0" relativeHeight="251657728" behindDoc="1" locked="0" layoutInCell="0" allowOverlap="1">
            <wp:simplePos x="0" y="0"/>
            <wp:positionH relativeFrom="column">
              <wp:posOffset>789305</wp:posOffset>
            </wp:positionH>
            <wp:positionV relativeFrom="paragraph">
              <wp:posOffset>-2419985</wp:posOffset>
            </wp:positionV>
            <wp:extent cx="64401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40170" cy="8890"/>
                    </a:xfrm>
                    <a:prstGeom prst="rect">
                      <a:avLst/>
                    </a:prstGeom>
                    <a:noFill/>
                  </pic:spPr>
                </pic:pic>
              </a:graphicData>
            </a:graphic>
          </wp:anchor>
        </w:drawing>
        <w:drawing>
          <wp:anchor simplePos="0" relativeHeight="251657728" behindDoc="1" locked="0" layoutInCell="0" allowOverlap="1">
            <wp:simplePos x="0" y="0"/>
            <wp:positionH relativeFrom="column">
              <wp:posOffset>789305</wp:posOffset>
            </wp:positionH>
            <wp:positionV relativeFrom="paragraph">
              <wp:posOffset>-2917190</wp:posOffset>
            </wp:positionV>
            <wp:extent cx="64401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40170" cy="8890"/>
                    </a:xfrm>
                    <a:prstGeom prst="rect">
                      <a:avLst/>
                    </a:prstGeom>
                    <a:noFill/>
                  </pic:spPr>
                </pic:pic>
              </a:graphicData>
            </a:graphic>
          </wp:anchor>
        </w:drawing>
        <w:drawing>
          <wp:anchor simplePos="0" relativeHeight="251657728" behindDoc="1" locked="0" layoutInCell="0" allowOverlap="1">
            <wp:simplePos x="0" y="0"/>
            <wp:positionH relativeFrom="column">
              <wp:posOffset>789305</wp:posOffset>
            </wp:positionH>
            <wp:positionV relativeFrom="paragraph">
              <wp:posOffset>-3277870</wp:posOffset>
            </wp:positionV>
            <wp:extent cx="644017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40170" cy="8890"/>
                    </a:xfrm>
                    <a:prstGeom prst="rect">
                      <a:avLst/>
                    </a:prstGeom>
                    <a:noFill/>
                  </pic:spPr>
                </pic:pic>
              </a:graphicData>
            </a:graphic>
          </wp:anchor>
        </w:drawing>
      </w:r>
    </w:p>
    <w:p>
      <w:pPr>
        <w:sectPr>
          <w:pgSz w:w="11900" w:h="16838" w:orient="portrait"/>
          <w:cols w:equalWidth="0" w:num="1">
            <w:col w:w="11105"/>
          </w:cols>
          <w:pgMar w:left="275" w:top="391" w:right="519" w:bottom="1440" w:gutter="0" w:footer="0" w:header="0"/>
        </w:sectPr>
      </w:pPr>
    </w:p>
    <w:bookmarkStart w:id="1" w:name="page2"/>
    <w:bookmarkEnd w:id="1"/>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2807335</wp:posOffset>
            </wp:positionH>
            <wp:positionV relativeFrom="page">
              <wp:posOffset>243205</wp:posOffset>
            </wp:positionV>
            <wp:extent cx="1955165" cy="5314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1955165" cy="53149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March 20,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EAR</w:t>
      </w:r>
      <w:r>
        <w:rPr>
          <w:rFonts w:ascii="Arial" w:cs="Arial" w:eastAsia="Arial" w:hAnsi="Arial"/>
          <w:sz w:val="18"/>
          <w:szCs w:val="18"/>
          <w:color w:val="auto"/>
        </w:rPr>
        <w:t xml:space="preserve"> S</w:t>
      </w:r>
      <w:r>
        <w:rPr>
          <w:rFonts w:ascii="Arial" w:cs="Arial" w:eastAsia="Arial" w:hAnsi="Arial"/>
          <w:sz w:val="14"/>
          <w:szCs w:val="14"/>
          <w:color w:val="auto"/>
        </w:rPr>
        <w:t>HAREHOLDER</w:t>
      </w:r>
      <w:r>
        <w:rPr>
          <w:rFonts w:ascii="Arial" w:cs="Arial" w:eastAsia="Arial" w:hAnsi="Arial"/>
          <w:sz w:val="18"/>
          <w:szCs w:val="18"/>
          <w:color w:val="auto"/>
        </w:rPr>
        <w:t>:</w:t>
      </w:r>
    </w:p>
    <w:p>
      <w:pPr>
        <w:spacing w:after="0" w:line="23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It is my pleasure to invite you to attend the 2018 Annual Meeting of Shareholders (the “Annual Meeting”) of EchoStar Corporation (“EchoStar”). The Annual Meeting will be held on Monday, April 30, 2018, at 11:00 a.m., local time, at EchoStar’s headquarters located at 100 Inverness Terrace East, Englewood, Colorado 80112.</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enclosed Notice of the Annual Meeting and Proxy Statement describe the proposals to be considered and voted upon at the Annual Meeting. During the Annual Meeting, we will also review EchoStar’s operations and other items of general interest regarding the corporation.</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All shareholders are invited to attend the Annual Meeting. Whether or not you plan to attend the Annual Meeting in person, it is important that you be represented. To ensure that your vote is received and counted, please follow the instructions included with your proxy card to vote online or by mail or telephone.</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behalf of the Board of Directors and senior management, I would like to express our appreciation for your support and interest in EchoStar. I look forward to seeing you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531495" cy="4457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31495"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CHARLES W. ERGEN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Chairman of the Board of Directors</w:t>
      </w:r>
    </w:p>
    <w:p>
      <w:pPr>
        <w:sectPr>
          <w:pgSz w:w="11900" w:h="16838" w:orient="portrait"/>
          <w:cols w:equalWidth="0" w:num="1">
            <w:col w:w="11420"/>
          </w:cols>
          <w:pgMar w:left="240" w:top="1440" w:right="239" w:bottom="1440" w:gutter="0" w:footer="0" w:header="0"/>
        </w:sectPr>
      </w:pPr>
    </w:p>
    <w:bookmarkStart w:id="2" w:name="page3"/>
    <w:bookmarkEnd w:id="2"/>
    <w:p>
      <w:pPr>
        <w:ind w:left="32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2576195</wp:posOffset>
            </wp:positionH>
            <wp:positionV relativeFrom="page">
              <wp:posOffset>243205</wp:posOffset>
            </wp:positionV>
            <wp:extent cx="2418080" cy="6515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2418080" cy="651510"/>
                    </a:xfrm>
                    <a:prstGeom prst="rect">
                      <a:avLst/>
                    </a:prstGeom>
                    <a:noFill/>
                  </pic:spPr>
                </pic:pic>
              </a:graphicData>
            </a:graphic>
          </wp:anchor>
        </w:drawing>
        <w:t>NOTICE OF 2018 ANNUAL MEETING OF SHAREHOLDERS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O THE</w:t>
      </w:r>
      <w:r>
        <w:rPr>
          <w:rFonts w:ascii="Arial" w:cs="Arial" w:eastAsia="Arial" w:hAnsi="Arial"/>
          <w:sz w:val="18"/>
          <w:szCs w:val="18"/>
          <w:color w:val="auto"/>
        </w:rPr>
        <w:t xml:space="preserve"> S</w:t>
      </w:r>
      <w:r>
        <w:rPr>
          <w:rFonts w:ascii="Arial" w:cs="Arial" w:eastAsia="Arial" w:hAnsi="Arial"/>
          <w:sz w:val="14"/>
          <w:szCs w:val="14"/>
          <w:color w:val="auto"/>
        </w:rPr>
        <w:t>HAREHOLDERS OF</w:t>
      </w:r>
      <w:r>
        <w:rPr>
          <w:rFonts w:ascii="Arial" w:cs="Arial" w:eastAsia="Arial" w:hAnsi="Arial"/>
          <w:sz w:val="18"/>
          <w:szCs w:val="18"/>
          <w:color w:val="auto"/>
        </w:rPr>
        <w:t xml:space="preserve"> E</w:t>
      </w:r>
      <w:r>
        <w:rPr>
          <w:rFonts w:ascii="Arial" w:cs="Arial" w:eastAsia="Arial" w:hAnsi="Arial"/>
          <w:sz w:val="14"/>
          <w:szCs w:val="14"/>
          <w:color w:val="auto"/>
        </w:rPr>
        <w:t>CHO</w:t>
      </w:r>
      <w:r>
        <w:rPr>
          <w:rFonts w:ascii="Arial" w:cs="Arial" w:eastAsia="Arial" w:hAnsi="Arial"/>
          <w:sz w:val="18"/>
          <w:szCs w:val="18"/>
          <w:color w:val="auto"/>
        </w:rPr>
        <w:t>S</w:t>
      </w:r>
      <w:r>
        <w:rPr>
          <w:rFonts w:ascii="Arial" w:cs="Arial" w:eastAsia="Arial" w:hAnsi="Arial"/>
          <w:sz w:val="14"/>
          <w:szCs w:val="14"/>
          <w:color w:val="auto"/>
        </w:rPr>
        <w:t>TAR</w:t>
      </w:r>
      <w:r>
        <w:rPr>
          <w:rFonts w:ascii="Arial" w:cs="Arial" w:eastAsia="Arial" w:hAnsi="Arial"/>
          <w:sz w:val="18"/>
          <w:szCs w:val="18"/>
          <w:color w:val="auto"/>
        </w:rPr>
        <w:t xml:space="preserve"> C</w:t>
      </w:r>
      <w:r>
        <w:rPr>
          <w:rFonts w:ascii="Arial" w:cs="Arial" w:eastAsia="Arial" w:hAnsi="Arial"/>
          <w:sz w:val="14"/>
          <w:szCs w:val="14"/>
          <w:color w:val="auto"/>
        </w:rPr>
        <w:t>ORPORATION</w:t>
      </w:r>
      <w:r>
        <w:rPr>
          <w:rFonts w:ascii="Arial" w:cs="Arial" w:eastAsia="Arial" w:hAnsi="Arial"/>
          <w:sz w:val="18"/>
          <w:szCs w:val="18"/>
          <w:color w:val="auto"/>
        </w:rPr>
        <w:t>:</w:t>
      </w:r>
    </w:p>
    <w:p>
      <w:pPr>
        <w:spacing w:after="0" w:line="23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2018 Annual Meeting of Shareholders (the “Annual Meeting”) of EchoStar Corporation will be held on Monday, April 30, 2018, at 11:00 a.m., local time, at our headquarters located at 100 Inverness Terrace East, Englewood, Colorado 80112, for the following purposes:</w:t>
      </w:r>
    </w:p>
    <w:p>
      <w:pPr>
        <w:spacing w:after="0" w:line="170" w:lineRule="exact"/>
        <w:rPr>
          <w:sz w:val="20"/>
          <w:szCs w:val="20"/>
          <w:color w:val="auto"/>
        </w:rPr>
      </w:pPr>
    </w:p>
    <w:p>
      <w:pPr>
        <w:ind w:left="840" w:hanging="319"/>
        <w:spacing w:after="0"/>
        <w:tabs>
          <w:tab w:leader="none" w:pos="8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elect eight directors to our Board of Directors;</w:t>
      </w:r>
    </w:p>
    <w:p>
      <w:pPr>
        <w:spacing w:after="0" w:line="225" w:lineRule="exact"/>
        <w:rPr>
          <w:rFonts w:ascii="Arial" w:cs="Arial" w:eastAsia="Arial" w:hAnsi="Arial"/>
          <w:sz w:val="18"/>
          <w:szCs w:val="18"/>
          <w:color w:val="auto"/>
        </w:rPr>
      </w:pPr>
    </w:p>
    <w:p>
      <w:pPr>
        <w:ind w:left="840" w:hanging="319"/>
        <w:spacing w:after="0"/>
        <w:tabs>
          <w:tab w:leader="none" w:pos="840" w:val="left"/>
        </w:tabs>
        <w:numPr>
          <w:ilvl w:val="0"/>
          <w:numId w:val="4"/>
        </w:numPr>
        <w:rPr>
          <w:rFonts w:ascii="Arial" w:cs="Arial" w:eastAsia="Arial" w:hAnsi="Arial"/>
          <w:sz w:val="16"/>
          <w:szCs w:val="16"/>
          <w:color w:val="auto"/>
        </w:rPr>
      </w:pPr>
      <w:r>
        <w:rPr>
          <w:rFonts w:ascii="Arial" w:cs="Arial" w:eastAsia="Arial" w:hAnsi="Arial"/>
          <w:sz w:val="16"/>
          <w:szCs w:val="16"/>
          <w:color w:val="auto"/>
        </w:rPr>
        <w:t>To ratify the appointment of KPMG LLP as our independent registered public accounting firm for the fiscal year ending December 31, 2018; and</w:t>
      </w:r>
    </w:p>
    <w:p>
      <w:pPr>
        <w:spacing w:after="0" w:line="248" w:lineRule="exact"/>
        <w:rPr>
          <w:rFonts w:ascii="Arial" w:cs="Arial" w:eastAsia="Arial" w:hAnsi="Arial"/>
          <w:sz w:val="16"/>
          <w:szCs w:val="16"/>
          <w:color w:val="auto"/>
        </w:rPr>
      </w:pPr>
    </w:p>
    <w:p>
      <w:pPr>
        <w:ind w:left="840" w:hanging="319"/>
        <w:spacing w:after="0" w:line="277" w:lineRule="auto"/>
        <w:tabs>
          <w:tab w:leader="none" w:pos="8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consider and act upon any other business that may properly come before the Annual Meeting or any adjournment or postponement of the Annual Meeting.</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You may vote on these matters in person or by proxy. Whether or not you plan to attend the Annual Meeting, we ask that you vote using one of the following methods to ensure that your shares will be represented at the meeting in accordance with your wishes:</w:t>
      </w:r>
    </w:p>
    <w:p>
      <w:pPr>
        <w:spacing w:after="0" w:line="170" w:lineRule="exact"/>
        <w:rPr>
          <w:sz w:val="20"/>
          <w:szCs w:val="20"/>
          <w:color w:val="auto"/>
        </w:rPr>
      </w:pPr>
    </w:p>
    <w:p>
      <w:pPr>
        <w:ind w:left="820" w:hanging="299"/>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Vote online or by telephone, by following the instructions included with your proxy card; or</w:t>
      </w:r>
    </w:p>
    <w:p>
      <w:pPr>
        <w:spacing w:after="0" w:line="265" w:lineRule="exact"/>
        <w:rPr>
          <w:rFonts w:ascii="Arial" w:cs="Arial" w:eastAsia="Arial" w:hAnsi="Arial"/>
          <w:sz w:val="18"/>
          <w:szCs w:val="18"/>
          <w:color w:val="auto"/>
        </w:rPr>
      </w:pPr>
    </w:p>
    <w:p>
      <w:pPr>
        <w:ind w:left="820" w:hanging="299"/>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Vote by mail, by completing and returning the enclosed proxy card in the enclosed addressed stamped envelope.</w:t>
      </w:r>
    </w:p>
    <w:p>
      <w:pPr>
        <w:spacing w:after="0" w:line="2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Only shareholders of record at the close of business on March 2, 2018 are entitled to notice of, and to vote at, the Annual Meeting or any adjournment or postponement of the Annual Meeting. This Proxy Statement and proxy card were either made available to you on the Internet or mailed to you beginning on or about March 20, 2018.</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14605</wp:posOffset>
            </wp:positionV>
            <wp:extent cx="1037590" cy="4629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037590"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color w:val="auto"/>
        </w:rPr>
        <w:t>DEAN A. MANSON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Executive Vice President, General Counsel and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March 20, 2018</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Important Notice Regarding the Availability of Proxy Materials for the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Annual Meeting of Shareholders to be held April 30, 2018:</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Our Annual Report, Proxy Statement and Notice of Internet Availability of Proxy Materials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are available at proxyvote.com.</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100 Inverness Terrace East· Englewood, Colorado 80112· Tel: (303) 706-4000 · Fax: (303) 728-5048</w:t>
      </w:r>
    </w:p>
    <w:p>
      <w:pPr>
        <w:sectPr>
          <w:pgSz w:w="11900" w:h="16838" w:orient="portrait"/>
          <w:cols w:equalWidth="0" w:num="1">
            <w:col w:w="11420"/>
          </w:cols>
          <w:pgMar w:left="240" w:top="1391"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16"/>
        </w:trPr>
        <w:tc>
          <w:tcPr>
            <w:tcW w:w="8720" w:type="dxa"/>
            <w:vAlign w:val="bottom"/>
          </w:tcPr>
          <w:p>
            <w:pPr>
              <w:jc w:val="center"/>
              <w:ind w:left="850"/>
              <w:spacing w:after="0"/>
              <w:rPr>
                <w:sz w:val="20"/>
                <w:szCs w:val="20"/>
                <w:color w:val="auto"/>
              </w:rPr>
            </w:pPr>
            <w:r>
              <w:rPr>
                <w:rFonts w:ascii="Arial" w:cs="Arial" w:eastAsia="Arial" w:hAnsi="Arial"/>
                <w:sz w:val="18"/>
                <w:szCs w:val="18"/>
                <w:b w:val="1"/>
                <w:bCs w:val="1"/>
                <w:color w:val="auto"/>
                <w:w w:val="99"/>
              </w:rPr>
              <w:t>PROXY STATEMENT</w:t>
            </w:r>
          </w:p>
        </w:tc>
        <w:tc>
          <w:tcPr>
            <w:tcW w:w="760" w:type="dxa"/>
            <w:vAlign w:val="bottom"/>
          </w:tcPr>
          <w:p>
            <w:pPr>
              <w:spacing w:after="0"/>
              <w:rPr>
                <w:sz w:val="18"/>
                <w:szCs w:val="18"/>
                <w:color w:val="auto"/>
              </w:rPr>
            </w:pPr>
          </w:p>
        </w:tc>
      </w:tr>
      <w:tr>
        <w:trPr>
          <w:trHeight w:val="216"/>
        </w:trPr>
        <w:tc>
          <w:tcPr>
            <w:tcW w:w="8720" w:type="dxa"/>
            <w:vAlign w:val="bottom"/>
          </w:tcPr>
          <w:p>
            <w:pPr>
              <w:jc w:val="center"/>
              <w:ind w:left="850"/>
              <w:spacing w:after="0"/>
              <w:rPr>
                <w:sz w:val="20"/>
                <w:szCs w:val="20"/>
                <w:color w:val="auto"/>
              </w:rPr>
            </w:pPr>
            <w:r>
              <w:rPr>
                <w:rFonts w:ascii="Arial" w:cs="Arial" w:eastAsia="Arial" w:hAnsi="Arial"/>
                <w:sz w:val="18"/>
                <w:szCs w:val="18"/>
                <w:b w:val="1"/>
                <w:bCs w:val="1"/>
                <w:color w:val="auto"/>
              </w:rPr>
              <w:t>OF</w:t>
            </w:r>
          </w:p>
        </w:tc>
        <w:tc>
          <w:tcPr>
            <w:tcW w:w="760" w:type="dxa"/>
            <w:vAlign w:val="bottom"/>
          </w:tcPr>
          <w:p>
            <w:pPr>
              <w:spacing w:after="0"/>
              <w:rPr>
                <w:sz w:val="18"/>
                <w:szCs w:val="18"/>
                <w:color w:val="auto"/>
              </w:rPr>
            </w:pPr>
          </w:p>
        </w:tc>
      </w:tr>
      <w:tr>
        <w:trPr>
          <w:trHeight w:val="234"/>
        </w:trPr>
        <w:tc>
          <w:tcPr>
            <w:tcW w:w="8720" w:type="dxa"/>
            <w:vAlign w:val="bottom"/>
          </w:tcPr>
          <w:p>
            <w:pPr>
              <w:jc w:val="center"/>
              <w:ind w:left="870"/>
              <w:spacing w:after="0"/>
              <w:rPr>
                <w:sz w:val="20"/>
                <w:szCs w:val="20"/>
                <w:color w:val="auto"/>
              </w:rPr>
            </w:pPr>
            <w:r>
              <w:rPr>
                <w:rFonts w:ascii="Arial" w:cs="Arial" w:eastAsia="Arial" w:hAnsi="Arial"/>
                <w:sz w:val="18"/>
                <w:szCs w:val="18"/>
                <w:b w:val="1"/>
                <w:bCs w:val="1"/>
                <w:color w:val="auto"/>
                <w:w w:val="99"/>
              </w:rPr>
              <w:t>ECHOSTAR CORPORATION</w:t>
            </w:r>
          </w:p>
        </w:tc>
        <w:tc>
          <w:tcPr>
            <w:tcW w:w="760" w:type="dxa"/>
            <w:vAlign w:val="bottom"/>
          </w:tcPr>
          <w:p>
            <w:pPr>
              <w:spacing w:after="0"/>
              <w:rPr>
                <w:sz w:val="20"/>
                <w:szCs w:val="20"/>
                <w:color w:val="auto"/>
              </w:rPr>
            </w:pPr>
          </w:p>
        </w:tc>
      </w:tr>
      <w:tr>
        <w:trPr>
          <w:trHeight w:val="432"/>
        </w:trPr>
        <w:tc>
          <w:tcPr>
            <w:tcW w:w="8720" w:type="dxa"/>
            <w:vAlign w:val="bottom"/>
          </w:tcPr>
          <w:p>
            <w:pPr>
              <w:jc w:val="center"/>
              <w:ind w:left="870"/>
              <w:spacing w:after="0"/>
              <w:rPr>
                <w:sz w:val="20"/>
                <w:szCs w:val="20"/>
                <w:color w:val="auto"/>
              </w:rPr>
            </w:pPr>
            <w:r>
              <w:rPr>
                <w:rFonts w:ascii="Arial" w:cs="Arial" w:eastAsia="Arial" w:hAnsi="Arial"/>
                <w:sz w:val="18"/>
                <w:szCs w:val="18"/>
                <w:b w:val="1"/>
                <w:bCs w:val="1"/>
                <w:color w:val="auto"/>
                <w:w w:val="98"/>
              </w:rPr>
              <w:t>TABLE OF CONTENTS</w:t>
            </w:r>
          </w:p>
        </w:tc>
        <w:tc>
          <w:tcPr>
            <w:tcW w:w="760" w:type="dxa"/>
            <w:vAlign w:val="bottom"/>
          </w:tcPr>
          <w:p>
            <w:pPr>
              <w:spacing w:after="0"/>
              <w:rPr>
                <w:sz w:val="24"/>
                <w:szCs w:val="24"/>
                <w:color w:val="auto"/>
              </w:rPr>
            </w:pPr>
          </w:p>
        </w:tc>
      </w:tr>
      <w:tr>
        <w:trPr>
          <w:trHeight w:val="378"/>
        </w:trPr>
        <w:tc>
          <w:tcPr>
            <w:tcW w:w="8720" w:type="dxa"/>
            <w:vAlign w:val="bottom"/>
          </w:tcPr>
          <w:p>
            <w:pPr>
              <w:spacing w:after="0"/>
              <w:rPr>
                <w:sz w:val="20"/>
                <w:szCs w:val="20"/>
                <w:color w:val="auto"/>
              </w:rPr>
            </w:pPr>
            <w:r>
              <w:rPr>
                <w:rFonts w:ascii="Arial" w:cs="Arial" w:eastAsia="Arial" w:hAnsi="Arial"/>
                <w:sz w:val="18"/>
                <w:szCs w:val="18"/>
                <w:b w:val="1"/>
                <w:bCs w:val="1"/>
                <w:color w:val="auto"/>
              </w:rPr>
              <w:t>GENERAL INFORMATION</w:t>
            </w:r>
          </w:p>
        </w:tc>
        <w:tc>
          <w:tcPr>
            <w:tcW w:w="760" w:type="dxa"/>
            <w:vAlign w:val="bottom"/>
          </w:tcPr>
          <w:p>
            <w:pPr>
              <w:ind w:left="580"/>
              <w:spacing w:after="0"/>
              <w:rPr>
                <w:rFonts w:ascii="Arial" w:cs="Arial" w:eastAsia="Arial" w:hAnsi="Arial"/>
                <w:sz w:val="18"/>
                <w:szCs w:val="18"/>
                <w:b w:val="1"/>
                <w:bCs w:val="1"/>
                <w:color w:val="auto"/>
              </w:rPr>
            </w:pPr>
            <w:hyperlink w:anchor="page5">
              <w:r>
                <w:rPr>
                  <w:rFonts w:ascii="Arial" w:cs="Arial" w:eastAsia="Arial" w:hAnsi="Arial"/>
                  <w:sz w:val="18"/>
                  <w:szCs w:val="18"/>
                  <w:b w:val="1"/>
                  <w:bCs w:val="1"/>
                  <w:color w:val="auto"/>
                </w:rPr>
                <w:t>1</w:t>
              </w:r>
            </w:hyperlink>
          </w:p>
        </w:tc>
      </w:tr>
      <w:tr>
        <w:trPr>
          <w:trHeight w:val="270"/>
        </w:trPr>
        <w:tc>
          <w:tcPr>
            <w:tcW w:w="8720" w:type="dxa"/>
            <w:vAlign w:val="bottom"/>
          </w:tcPr>
          <w:p>
            <w:pPr>
              <w:ind w:left="360"/>
              <w:spacing w:after="0"/>
              <w:rPr>
                <w:sz w:val="20"/>
                <w:szCs w:val="20"/>
                <w:color w:val="auto"/>
              </w:rPr>
            </w:pPr>
            <w:r>
              <w:rPr>
                <w:rFonts w:ascii="Arial" w:cs="Arial" w:eastAsia="Arial" w:hAnsi="Arial"/>
                <w:sz w:val="18"/>
                <w:szCs w:val="18"/>
                <w:color w:val="auto"/>
              </w:rPr>
              <w:t>Date, Time and Place</w:t>
            </w:r>
          </w:p>
        </w:tc>
        <w:tc>
          <w:tcPr>
            <w:tcW w:w="760" w:type="dxa"/>
            <w:vAlign w:val="bottom"/>
          </w:tcPr>
          <w:p>
            <w:pPr>
              <w:ind w:left="580"/>
              <w:spacing w:after="0"/>
              <w:rPr>
                <w:rFonts w:ascii="Arial" w:cs="Arial" w:eastAsia="Arial" w:hAnsi="Arial"/>
                <w:sz w:val="18"/>
                <w:szCs w:val="18"/>
                <w:color w:val="auto"/>
              </w:rPr>
            </w:pPr>
            <w:hyperlink w:anchor="page5">
              <w:r>
                <w:rPr>
                  <w:rFonts w:ascii="Arial" w:cs="Arial" w:eastAsia="Arial" w:hAnsi="Arial"/>
                  <w:sz w:val="18"/>
                  <w:szCs w:val="18"/>
                  <w:color w:val="auto"/>
                </w:rPr>
                <w:t>1</w:t>
              </w:r>
            </w:hyperlink>
          </w:p>
        </w:tc>
      </w:tr>
      <w:tr>
        <w:trPr>
          <w:trHeight w:val="270"/>
        </w:trPr>
        <w:tc>
          <w:tcPr>
            <w:tcW w:w="8720" w:type="dxa"/>
            <w:vAlign w:val="bottom"/>
          </w:tcPr>
          <w:p>
            <w:pPr>
              <w:ind w:left="360"/>
              <w:spacing w:after="0"/>
              <w:rPr>
                <w:sz w:val="20"/>
                <w:szCs w:val="20"/>
                <w:color w:val="auto"/>
              </w:rPr>
            </w:pPr>
            <w:r>
              <w:rPr>
                <w:rFonts w:ascii="Arial" w:cs="Arial" w:eastAsia="Arial" w:hAnsi="Arial"/>
                <w:sz w:val="18"/>
                <w:szCs w:val="18"/>
                <w:color w:val="auto"/>
              </w:rPr>
              <w:t>Securities Entitled to Vote</w:t>
            </w:r>
          </w:p>
        </w:tc>
        <w:tc>
          <w:tcPr>
            <w:tcW w:w="760" w:type="dxa"/>
            <w:vAlign w:val="bottom"/>
          </w:tcPr>
          <w:p>
            <w:pPr>
              <w:ind w:left="580"/>
              <w:spacing w:after="0"/>
              <w:rPr>
                <w:rFonts w:ascii="Arial" w:cs="Arial" w:eastAsia="Arial" w:hAnsi="Arial"/>
                <w:sz w:val="18"/>
                <w:szCs w:val="18"/>
                <w:color w:val="auto"/>
              </w:rPr>
            </w:pPr>
            <w:hyperlink w:anchor="page5">
              <w:r>
                <w:rPr>
                  <w:rFonts w:ascii="Arial" w:cs="Arial" w:eastAsia="Arial" w:hAnsi="Arial"/>
                  <w:sz w:val="18"/>
                  <w:szCs w:val="18"/>
                  <w:color w:val="auto"/>
                </w:rPr>
                <w:t>1</w:t>
              </w:r>
            </w:hyperlink>
          </w:p>
        </w:tc>
      </w:tr>
      <w:tr>
        <w:trPr>
          <w:trHeight w:val="270"/>
        </w:trPr>
        <w:tc>
          <w:tcPr>
            <w:tcW w:w="8720" w:type="dxa"/>
            <w:vAlign w:val="bottom"/>
          </w:tcPr>
          <w:p>
            <w:pPr>
              <w:ind w:left="360"/>
              <w:spacing w:after="0"/>
              <w:rPr>
                <w:sz w:val="20"/>
                <w:szCs w:val="20"/>
                <w:color w:val="auto"/>
              </w:rPr>
            </w:pPr>
            <w:r>
              <w:rPr>
                <w:rFonts w:ascii="Arial" w:cs="Arial" w:eastAsia="Arial" w:hAnsi="Arial"/>
                <w:sz w:val="18"/>
                <w:szCs w:val="18"/>
                <w:color w:val="auto"/>
              </w:rPr>
              <w:t>Voting of Proxies</w:t>
            </w:r>
          </w:p>
        </w:tc>
        <w:tc>
          <w:tcPr>
            <w:tcW w:w="760" w:type="dxa"/>
            <w:vAlign w:val="bottom"/>
          </w:tcPr>
          <w:p>
            <w:pPr>
              <w:ind w:left="580"/>
              <w:spacing w:after="0"/>
              <w:rPr>
                <w:rFonts w:ascii="Arial" w:cs="Arial" w:eastAsia="Arial" w:hAnsi="Arial"/>
                <w:sz w:val="18"/>
                <w:szCs w:val="18"/>
                <w:color w:val="auto"/>
              </w:rPr>
            </w:pPr>
            <w:hyperlink w:anchor="page5">
              <w:r>
                <w:rPr>
                  <w:rFonts w:ascii="Arial" w:cs="Arial" w:eastAsia="Arial" w:hAnsi="Arial"/>
                  <w:sz w:val="18"/>
                  <w:szCs w:val="18"/>
                  <w:color w:val="auto"/>
                </w:rPr>
                <w:t>1</w:t>
              </w:r>
            </w:hyperlink>
          </w:p>
        </w:tc>
      </w:tr>
      <w:tr>
        <w:trPr>
          <w:trHeight w:val="270"/>
        </w:trPr>
        <w:tc>
          <w:tcPr>
            <w:tcW w:w="8720" w:type="dxa"/>
            <w:vAlign w:val="bottom"/>
          </w:tcPr>
          <w:p>
            <w:pPr>
              <w:ind w:left="360"/>
              <w:spacing w:after="0"/>
              <w:rPr>
                <w:sz w:val="20"/>
                <w:szCs w:val="20"/>
                <w:color w:val="auto"/>
              </w:rPr>
            </w:pPr>
            <w:r>
              <w:rPr>
                <w:rFonts w:ascii="Arial" w:cs="Arial" w:eastAsia="Arial" w:hAnsi="Arial"/>
                <w:sz w:val="18"/>
                <w:szCs w:val="18"/>
                <w:color w:val="auto"/>
              </w:rPr>
              <w:t>Attendance at the Meeting</w:t>
            </w:r>
          </w:p>
        </w:tc>
        <w:tc>
          <w:tcPr>
            <w:tcW w:w="760" w:type="dxa"/>
            <w:vAlign w:val="bottom"/>
          </w:tcPr>
          <w:p>
            <w:pPr>
              <w:ind w:left="580"/>
              <w:spacing w:after="0"/>
              <w:rPr>
                <w:sz w:val="20"/>
                <w:szCs w:val="20"/>
                <w:color w:val="auto"/>
              </w:rPr>
            </w:pPr>
            <w:r>
              <w:rPr>
                <w:rFonts w:ascii="Arial" w:cs="Arial" w:eastAsia="Arial" w:hAnsi="Arial"/>
                <w:sz w:val="18"/>
                <w:szCs w:val="18"/>
                <w:color w:val="auto"/>
              </w:rPr>
              <w:t>2</w:t>
            </w:r>
          </w:p>
        </w:tc>
      </w:tr>
      <w:tr>
        <w:trPr>
          <w:trHeight w:val="270"/>
        </w:trPr>
        <w:tc>
          <w:tcPr>
            <w:tcW w:w="8720" w:type="dxa"/>
            <w:vAlign w:val="bottom"/>
          </w:tcPr>
          <w:p>
            <w:pPr>
              <w:ind w:left="360"/>
              <w:spacing w:after="0"/>
              <w:rPr>
                <w:sz w:val="20"/>
                <w:szCs w:val="20"/>
                <w:color w:val="auto"/>
              </w:rPr>
            </w:pPr>
            <w:r>
              <w:rPr>
                <w:rFonts w:ascii="Arial" w:cs="Arial" w:eastAsia="Arial" w:hAnsi="Arial"/>
                <w:sz w:val="18"/>
                <w:szCs w:val="18"/>
                <w:color w:val="auto"/>
              </w:rPr>
              <w:t>Quorum</w:t>
            </w:r>
          </w:p>
        </w:tc>
        <w:tc>
          <w:tcPr>
            <w:tcW w:w="760" w:type="dxa"/>
            <w:vAlign w:val="bottom"/>
          </w:tcPr>
          <w:p>
            <w:pPr>
              <w:ind w:left="580"/>
              <w:spacing w:after="0"/>
              <w:rPr>
                <w:sz w:val="20"/>
                <w:szCs w:val="20"/>
                <w:color w:val="auto"/>
              </w:rPr>
            </w:pPr>
            <w:r>
              <w:rPr>
                <w:rFonts w:ascii="Arial" w:cs="Arial" w:eastAsia="Arial" w:hAnsi="Arial"/>
                <w:sz w:val="18"/>
                <w:szCs w:val="18"/>
                <w:color w:val="auto"/>
              </w:rPr>
              <w:t>2</w:t>
            </w:r>
          </w:p>
        </w:tc>
      </w:tr>
      <w:tr>
        <w:trPr>
          <w:trHeight w:val="270"/>
        </w:trPr>
        <w:tc>
          <w:tcPr>
            <w:tcW w:w="8720" w:type="dxa"/>
            <w:vAlign w:val="bottom"/>
          </w:tcPr>
          <w:p>
            <w:pPr>
              <w:ind w:left="360"/>
              <w:spacing w:after="0"/>
              <w:rPr>
                <w:sz w:val="20"/>
                <w:szCs w:val="20"/>
                <w:color w:val="auto"/>
              </w:rPr>
            </w:pPr>
            <w:r>
              <w:rPr>
                <w:rFonts w:ascii="Arial" w:cs="Arial" w:eastAsia="Arial" w:hAnsi="Arial"/>
                <w:sz w:val="18"/>
                <w:szCs w:val="18"/>
                <w:color w:val="auto"/>
              </w:rPr>
              <w:t>Vote Required</w:t>
            </w:r>
          </w:p>
        </w:tc>
        <w:tc>
          <w:tcPr>
            <w:tcW w:w="760" w:type="dxa"/>
            <w:vAlign w:val="bottom"/>
          </w:tcPr>
          <w:p>
            <w:pPr>
              <w:ind w:left="580"/>
              <w:spacing w:after="0"/>
              <w:rPr>
                <w:sz w:val="20"/>
                <w:szCs w:val="20"/>
                <w:color w:val="auto"/>
              </w:rPr>
            </w:pPr>
            <w:r>
              <w:rPr>
                <w:rFonts w:ascii="Arial" w:cs="Arial" w:eastAsia="Arial" w:hAnsi="Arial"/>
                <w:sz w:val="18"/>
                <w:szCs w:val="18"/>
                <w:color w:val="auto"/>
              </w:rPr>
              <w:t>2</w:t>
            </w:r>
          </w:p>
        </w:tc>
      </w:tr>
      <w:tr>
        <w:trPr>
          <w:trHeight w:val="270"/>
        </w:trPr>
        <w:tc>
          <w:tcPr>
            <w:tcW w:w="8720" w:type="dxa"/>
            <w:vAlign w:val="bottom"/>
          </w:tcPr>
          <w:p>
            <w:pPr>
              <w:ind w:left="360"/>
              <w:spacing w:after="0"/>
              <w:rPr>
                <w:sz w:val="20"/>
                <w:szCs w:val="20"/>
                <w:color w:val="auto"/>
              </w:rPr>
            </w:pPr>
            <w:r>
              <w:rPr>
                <w:rFonts w:ascii="Arial" w:cs="Arial" w:eastAsia="Arial" w:hAnsi="Arial"/>
                <w:sz w:val="18"/>
                <w:szCs w:val="18"/>
                <w:color w:val="auto"/>
              </w:rPr>
              <w:t>Householding</w:t>
            </w:r>
          </w:p>
        </w:tc>
        <w:tc>
          <w:tcPr>
            <w:tcW w:w="760" w:type="dxa"/>
            <w:vAlign w:val="bottom"/>
          </w:tcPr>
          <w:p>
            <w:pPr>
              <w:ind w:left="580"/>
              <w:spacing w:after="0"/>
              <w:rPr>
                <w:sz w:val="20"/>
                <w:szCs w:val="20"/>
                <w:color w:val="auto"/>
              </w:rPr>
            </w:pPr>
            <w:r>
              <w:rPr>
                <w:rFonts w:ascii="Arial" w:cs="Arial" w:eastAsia="Arial" w:hAnsi="Arial"/>
                <w:sz w:val="18"/>
                <w:szCs w:val="18"/>
                <w:color w:val="auto"/>
              </w:rPr>
              <w:t>2</w:t>
            </w:r>
          </w:p>
        </w:tc>
      </w:tr>
      <w:tr>
        <w:trPr>
          <w:trHeight w:val="392"/>
        </w:trPr>
        <w:tc>
          <w:tcPr>
            <w:tcW w:w="8720" w:type="dxa"/>
            <w:vAlign w:val="bottom"/>
          </w:tcPr>
          <w:p>
            <w:pPr>
              <w:spacing w:after="0"/>
              <w:rPr>
                <w:sz w:val="20"/>
                <w:szCs w:val="20"/>
                <w:color w:val="auto"/>
              </w:rPr>
            </w:pPr>
            <w:r>
              <w:rPr>
                <w:rFonts w:ascii="Arial" w:cs="Arial" w:eastAsia="Arial" w:hAnsi="Arial"/>
                <w:sz w:val="18"/>
                <w:szCs w:val="18"/>
                <w:b w:val="1"/>
                <w:bCs w:val="1"/>
                <w:color w:val="auto"/>
              </w:rPr>
              <w:t>PROPOSAL 1 — ELECTION OF DIRECTORS</w:t>
            </w:r>
          </w:p>
        </w:tc>
        <w:tc>
          <w:tcPr>
            <w:tcW w:w="760" w:type="dxa"/>
            <w:vAlign w:val="bottom"/>
          </w:tcPr>
          <w:p>
            <w:pPr>
              <w:ind w:left="580"/>
              <w:spacing w:after="0"/>
              <w:rPr>
                <w:rFonts w:ascii="Arial" w:cs="Arial" w:eastAsia="Arial" w:hAnsi="Arial"/>
                <w:sz w:val="18"/>
                <w:szCs w:val="18"/>
                <w:b w:val="1"/>
                <w:bCs w:val="1"/>
                <w:color w:val="auto"/>
              </w:rPr>
            </w:pPr>
            <w:hyperlink w:anchor="page7">
              <w:r>
                <w:rPr>
                  <w:rFonts w:ascii="Arial" w:cs="Arial" w:eastAsia="Arial" w:hAnsi="Arial"/>
                  <w:sz w:val="18"/>
                  <w:szCs w:val="18"/>
                  <w:b w:val="1"/>
                  <w:bCs w:val="1"/>
                  <w:color w:val="auto"/>
                </w:rPr>
                <w:t>3</w:t>
              </w:r>
            </w:hyperlink>
          </w:p>
        </w:tc>
      </w:tr>
      <w:tr>
        <w:trPr>
          <w:trHeight w:val="270"/>
        </w:trPr>
        <w:tc>
          <w:tcPr>
            <w:tcW w:w="8720" w:type="dxa"/>
            <w:vAlign w:val="bottom"/>
          </w:tcPr>
          <w:p>
            <w:pPr>
              <w:ind w:left="360"/>
              <w:spacing w:after="0"/>
              <w:rPr>
                <w:sz w:val="20"/>
                <w:szCs w:val="20"/>
                <w:color w:val="auto"/>
              </w:rPr>
            </w:pPr>
            <w:r>
              <w:rPr>
                <w:rFonts w:ascii="Arial" w:cs="Arial" w:eastAsia="Arial" w:hAnsi="Arial"/>
                <w:sz w:val="18"/>
                <w:szCs w:val="18"/>
                <w:color w:val="auto"/>
              </w:rPr>
              <w:t>Nominees</w:t>
            </w:r>
          </w:p>
        </w:tc>
        <w:tc>
          <w:tcPr>
            <w:tcW w:w="760" w:type="dxa"/>
            <w:vAlign w:val="bottom"/>
          </w:tcPr>
          <w:p>
            <w:pPr>
              <w:ind w:left="580"/>
              <w:spacing w:after="0"/>
              <w:rPr>
                <w:rFonts w:ascii="Arial" w:cs="Arial" w:eastAsia="Arial" w:hAnsi="Arial"/>
                <w:sz w:val="18"/>
                <w:szCs w:val="18"/>
                <w:color w:val="auto"/>
              </w:rPr>
            </w:pPr>
            <w:hyperlink w:anchor="page7">
              <w:r>
                <w:rPr>
                  <w:rFonts w:ascii="Arial" w:cs="Arial" w:eastAsia="Arial" w:hAnsi="Arial"/>
                  <w:sz w:val="18"/>
                  <w:szCs w:val="18"/>
                  <w:color w:val="auto"/>
                </w:rPr>
                <w:t>3</w:t>
              </w:r>
            </w:hyperlink>
          </w:p>
        </w:tc>
      </w:tr>
      <w:tr>
        <w:trPr>
          <w:trHeight w:val="270"/>
        </w:trPr>
        <w:tc>
          <w:tcPr>
            <w:tcW w:w="8720" w:type="dxa"/>
            <w:vAlign w:val="bottom"/>
          </w:tcPr>
          <w:p>
            <w:pPr>
              <w:ind w:left="360"/>
              <w:spacing w:after="0"/>
              <w:rPr>
                <w:sz w:val="20"/>
                <w:szCs w:val="20"/>
                <w:color w:val="auto"/>
              </w:rPr>
            </w:pPr>
            <w:r>
              <w:rPr>
                <w:rFonts w:ascii="Arial" w:cs="Arial" w:eastAsia="Arial" w:hAnsi="Arial"/>
                <w:sz w:val="18"/>
                <w:szCs w:val="18"/>
                <w:color w:val="auto"/>
              </w:rPr>
              <w:t>Director Compensation and Non-employee Director Option Plan</w:t>
            </w:r>
          </w:p>
        </w:tc>
        <w:tc>
          <w:tcPr>
            <w:tcW w:w="760" w:type="dxa"/>
            <w:vAlign w:val="bottom"/>
          </w:tcPr>
          <w:p>
            <w:pPr>
              <w:ind w:left="580"/>
              <w:spacing w:after="0"/>
              <w:rPr>
                <w:sz w:val="20"/>
                <w:szCs w:val="20"/>
                <w:color w:val="auto"/>
              </w:rPr>
            </w:pPr>
            <w:r>
              <w:rPr>
                <w:rFonts w:ascii="Arial" w:cs="Arial" w:eastAsia="Arial" w:hAnsi="Arial"/>
                <w:sz w:val="18"/>
                <w:szCs w:val="18"/>
                <w:color w:val="auto"/>
              </w:rPr>
              <w:t>5</w:t>
            </w:r>
          </w:p>
        </w:tc>
      </w:tr>
      <w:tr>
        <w:trPr>
          <w:trHeight w:val="392"/>
        </w:trPr>
        <w:tc>
          <w:tcPr>
            <w:tcW w:w="8720" w:type="dxa"/>
            <w:vAlign w:val="bottom"/>
          </w:tcPr>
          <w:p>
            <w:pPr>
              <w:spacing w:after="0"/>
              <w:rPr>
                <w:sz w:val="20"/>
                <w:szCs w:val="20"/>
                <w:color w:val="auto"/>
              </w:rPr>
            </w:pPr>
            <w:r>
              <w:rPr>
                <w:rFonts w:ascii="Arial" w:cs="Arial" w:eastAsia="Arial" w:hAnsi="Arial"/>
                <w:sz w:val="18"/>
                <w:szCs w:val="18"/>
                <w:b w:val="1"/>
                <w:bCs w:val="1"/>
                <w:color w:val="auto"/>
              </w:rPr>
              <w:t>CORPORATE GOVERNANCE</w:t>
            </w:r>
          </w:p>
        </w:tc>
        <w:tc>
          <w:tcPr>
            <w:tcW w:w="760" w:type="dxa"/>
            <w:vAlign w:val="bottom"/>
          </w:tcPr>
          <w:p>
            <w:pPr>
              <w:ind w:left="580"/>
              <w:spacing w:after="0"/>
              <w:rPr>
                <w:rFonts w:ascii="Arial" w:cs="Arial" w:eastAsia="Arial" w:hAnsi="Arial"/>
                <w:sz w:val="18"/>
                <w:szCs w:val="18"/>
                <w:b w:val="1"/>
                <w:bCs w:val="1"/>
                <w:color w:val="auto"/>
              </w:rPr>
            </w:pPr>
            <w:hyperlink w:anchor="page12">
              <w:r>
                <w:rPr>
                  <w:rFonts w:ascii="Arial" w:cs="Arial" w:eastAsia="Arial" w:hAnsi="Arial"/>
                  <w:sz w:val="18"/>
                  <w:szCs w:val="18"/>
                  <w:b w:val="1"/>
                  <w:bCs w:val="1"/>
                  <w:color w:val="auto"/>
                </w:rPr>
                <w:t>8</w:t>
              </w:r>
            </w:hyperlink>
          </w:p>
        </w:tc>
      </w:tr>
      <w:tr>
        <w:trPr>
          <w:trHeight w:val="270"/>
        </w:trPr>
        <w:tc>
          <w:tcPr>
            <w:tcW w:w="8720" w:type="dxa"/>
            <w:vAlign w:val="bottom"/>
          </w:tcPr>
          <w:p>
            <w:pPr>
              <w:ind w:left="360"/>
              <w:spacing w:after="0"/>
              <w:rPr>
                <w:sz w:val="20"/>
                <w:szCs w:val="20"/>
                <w:color w:val="auto"/>
              </w:rPr>
            </w:pPr>
            <w:r>
              <w:rPr>
                <w:rFonts w:ascii="Arial" w:cs="Arial" w:eastAsia="Arial" w:hAnsi="Arial"/>
                <w:sz w:val="18"/>
                <w:szCs w:val="18"/>
                <w:color w:val="auto"/>
              </w:rPr>
              <w:t>Board of Directors Information</w:t>
            </w:r>
          </w:p>
        </w:tc>
        <w:tc>
          <w:tcPr>
            <w:tcW w:w="760" w:type="dxa"/>
            <w:vAlign w:val="bottom"/>
          </w:tcPr>
          <w:p>
            <w:pPr>
              <w:ind w:left="580"/>
              <w:spacing w:after="0"/>
              <w:rPr>
                <w:rFonts w:ascii="Arial" w:cs="Arial" w:eastAsia="Arial" w:hAnsi="Arial"/>
                <w:sz w:val="18"/>
                <w:szCs w:val="18"/>
                <w:color w:val="auto"/>
              </w:rPr>
            </w:pPr>
            <w:hyperlink w:anchor="page12">
              <w:r>
                <w:rPr>
                  <w:rFonts w:ascii="Arial" w:cs="Arial" w:eastAsia="Arial" w:hAnsi="Arial"/>
                  <w:sz w:val="18"/>
                  <w:szCs w:val="18"/>
                  <w:color w:val="auto"/>
                </w:rPr>
                <w:t>8</w:t>
              </w:r>
            </w:hyperlink>
          </w:p>
        </w:tc>
      </w:tr>
      <w:tr>
        <w:trPr>
          <w:trHeight w:val="270"/>
        </w:trPr>
        <w:tc>
          <w:tcPr>
            <w:tcW w:w="8720" w:type="dxa"/>
            <w:vAlign w:val="bottom"/>
          </w:tcPr>
          <w:p>
            <w:pPr>
              <w:ind w:left="360"/>
              <w:spacing w:after="0"/>
              <w:rPr>
                <w:sz w:val="20"/>
                <w:szCs w:val="20"/>
                <w:color w:val="auto"/>
              </w:rPr>
            </w:pPr>
            <w:r>
              <w:rPr>
                <w:rFonts w:ascii="Arial" w:cs="Arial" w:eastAsia="Arial" w:hAnsi="Arial"/>
                <w:sz w:val="18"/>
                <w:szCs w:val="18"/>
                <w:color w:val="auto"/>
              </w:rPr>
              <w:t>Committee Information</w:t>
            </w:r>
          </w:p>
        </w:tc>
        <w:tc>
          <w:tcPr>
            <w:tcW w:w="760" w:type="dxa"/>
            <w:vAlign w:val="bottom"/>
          </w:tcPr>
          <w:p>
            <w:pPr>
              <w:ind w:left="580"/>
              <w:spacing w:after="0"/>
              <w:rPr>
                <w:rFonts w:ascii="Arial" w:cs="Arial" w:eastAsia="Arial" w:hAnsi="Arial"/>
                <w:sz w:val="18"/>
                <w:szCs w:val="18"/>
                <w:color w:val="auto"/>
              </w:rPr>
            </w:pPr>
            <w:hyperlink w:anchor="page12">
              <w:r>
                <w:rPr>
                  <w:rFonts w:ascii="Arial" w:cs="Arial" w:eastAsia="Arial" w:hAnsi="Arial"/>
                  <w:sz w:val="18"/>
                  <w:szCs w:val="18"/>
                  <w:color w:val="auto"/>
                </w:rPr>
                <w:t>8</w:t>
              </w:r>
            </w:hyperlink>
          </w:p>
        </w:tc>
      </w:tr>
      <w:tr>
        <w:trPr>
          <w:trHeight w:val="270"/>
        </w:trPr>
        <w:tc>
          <w:tcPr>
            <w:tcW w:w="8720" w:type="dxa"/>
            <w:vAlign w:val="bottom"/>
          </w:tcPr>
          <w:p>
            <w:pPr>
              <w:ind w:left="360"/>
              <w:spacing w:after="0"/>
              <w:rPr>
                <w:sz w:val="20"/>
                <w:szCs w:val="20"/>
                <w:color w:val="auto"/>
              </w:rPr>
            </w:pPr>
            <w:r>
              <w:rPr>
                <w:rFonts w:ascii="Arial" w:cs="Arial" w:eastAsia="Arial" w:hAnsi="Arial"/>
                <w:sz w:val="18"/>
                <w:szCs w:val="18"/>
                <w:color w:val="auto"/>
              </w:rPr>
              <w:t>Board Criteria and Board Selection Process</w:t>
            </w:r>
          </w:p>
        </w:tc>
        <w:tc>
          <w:tcPr>
            <w:tcW w:w="760" w:type="dxa"/>
            <w:vAlign w:val="bottom"/>
          </w:tcPr>
          <w:p>
            <w:pPr>
              <w:ind w:left="580"/>
              <w:spacing w:after="0"/>
              <w:rPr>
                <w:sz w:val="20"/>
                <w:szCs w:val="20"/>
                <w:color w:val="auto"/>
              </w:rPr>
            </w:pPr>
            <w:r>
              <w:rPr>
                <w:rFonts w:ascii="Arial" w:cs="Arial" w:eastAsia="Arial" w:hAnsi="Arial"/>
                <w:sz w:val="18"/>
                <w:szCs w:val="18"/>
                <w:color w:val="auto"/>
              </w:rPr>
              <w:t>9</w:t>
            </w:r>
          </w:p>
        </w:tc>
      </w:tr>
      <w:tr>
        <w:trPr>
          <w:trHeight w:val="270"/>
        </w:trPr>
        <w:tc>
          <w:tcPr>
            <w:tcW w:w="8720" w:type="dxa"/>
            <w:vAlign w:val="bottom"/>
          </w:tcPr>
          <w:p>
            <w:pPr>
              <w:ind w:left="360"/>
              <w:spacing w:after="0"/>
              <w:rPr>
                <w:sz w:val="20"/>
                <w:szCs w:val="20"/>
                <w:color w:val="auto"/>
              </w:rPr>
            </w:pPr>
            <w:r>
              <w:rPr>
                <w:rFonts w:ascii="Arial" w:cs="Arial" w:eastAsia="Arial" w:hAnsi="Arial"/>
                <w:sz w:val="18"/>
                <w:szCs w:val="18"/>
                <w:color w:val="auto"/>
              </w:rPr>
              <w:t>Board Leadership Structure</w:t>
            </w:r>
          </w:p>
        </w:tc>
        <w:tc>
          <w:tcPr>
            <w:tcW w:w="760" w:type="dxa"/>
            <w:vAlign w:val="bottom"/>
          </w:tcPr>
          <w:p>
            <w:pPr>
              <w:ind w:left="580"/>
              <w:spacing w:after="0"/>
              <w:rPr>
                <w:sz w:val="20"/>
                <w:szCs w:val="20"/>
                <w:color w:val="auto"/>
              </w:rPr>
            </w:pPr>
            <w:r>
              <w:rPr>
                <w:rFonts w:ascii="Arial" w:cs="Arial" w:eastAsia="Arial" w:hAnsi="Arial"/>
                <w:sz w:val="18"/>
                <w:szCs w:val="18"/>
                <w:color w:val="auto"/>
              </w:rPr>
              <w:t>9</w:t>
            </w:r>
          </w:p>
        </w:tc>
      </w:tr>
      <w:tr>
        <w:trPr>
          <w:trHeight w:val="270"/>
        </w:trPr>
        <w:tc>
          <w:tcPr>
            <w:tcW w:w="8720" w:type="dxa"/>
            <w:vAlign w:val="bottom"/>
          </w:tcPr>
          <w:p>
            <w:pPr>
              <w:ind w:left="360"/>
              <w:spacing w:after="0"/>
              <w:rPr>
                <w:sz w:val="20"/>
                <w:szCs w:val="20"/>
                <w:color w:val="auto"/>
              </w:rPr>
            </w:pPr>
            <w:r>
              <w:rPr>
                <w:rFonts w:ascii="Arial" w:cs="Arial" w:eastAsia="Arial" w:hAnsi="Arial"/>
                <w:sz w:val="18"/>
                <w:szCs w:val="18"/>
                <w:color w:val="auto"/>
              </w:rPr>
              <w:t>The Board’s Role in Risk Oversight</w:t>
            </w:r>
          </w:p>
        </w:tc>
        <w:tc>
          <w:tcPr>
            <w:tcW w:w="760" w:type="dxa"/>
            <w:vAlign w:val="bottom"/>
          </w:tcPr>
          <w:p>
            <w:pPr>
              <w:ind w:left="580"/>
              <w:spacing w:after="0"/>
              <w:rPr>
                <w:sz w:val="20"/>
                <w:szCs w:val="20"/>
                <w:color w:val="auto"/>
              </w:rPr>
            </w:pPr>
            <w:r>
              <w:rPr>
                <w:rFonts w:ascii="Arial" w:cs="Arial" w:eastAsia="Arial" w:hAnsi="Arial"/>
                <w:sz w:val="18"/>
                <w:szCs w:val="18"/>
                <w:color w:val="auto"/>
              </w:rPr>
              <w:t>9</w:t>
            </w:r>
          </w:p>
        </w:tc>
      </w:tr>
      <w:tr>
        <w:trPr>
          <w:trHeight w:val="270"/>
        </w:trPr>
        <w:tc>
          <w:tcPr>
            <w:tcW w:w="8720" w:type="dxa"/>
            <w:vAlign w:val="bottom"/>
          </w:tcPr>
          <w:p>
            <w:pPr>
              <w:ind w:left="360"/>
              <w:spacing w:after="0"/>
              <w:rPr>
                <w:sz w:val="20"/>
                <w:szCs w:val="20"/>
                <w:color w:val="auto"/>
              </w:rPr>
            </w:pPr>
            <w:r>
              <w:rPr>
                <w:rFonts w:ascii="Arial" w:cs="Arial" w:eastAsia="Arial" w:hAnsi="Arial"/>
                <w:sz w:val="18"/>
                <w:szCs w:val="18"/>
                <w:color w:val="auto"/>
              </w:rPr>
              <w:t>Other Information about Our Board of Directors</w:t>
            </w:r>
          </w:p>
        </w:tc>
        <w:tc>
          <w:tcPr>
            <w:tcW w:w="760" w:type="dxa"/>
            <w:vAlign w:val="bottom"/>
          </w:tcPr>
          <w:p>
            <w:pPr>
              <w:ind w:left="580"/>
              <w:spacing w:after="0"/>
              <w:rPr>
                <w:sz w:val="20"/>
                <w:szCs w:val="20"/>
                <w:color w:val="auto"/>
              </w:rPr>
            </w:pPr>
            <w:r>
              <w:rPr>
                <w:rFonts w:ascii="Arial" w:cs="Arial" w:eastAsia="Arial" w:hAnsi="Arial"/>
                <w:sz w:val="18"/>
                <w:szCs w:val="18"/>
                <w:color w:val="auto"/>
                <w:w w:val="79"/>
              </w:rPr>
              <w:t>10</w:t>
            </w:r>
          </w:p>
        </w:tc>
      </w:tr>
      <w:tr>
        <w:trPr>
          <w:trHeight w:val="392"/>
        </w:trPr>
        <w:tc>
          <w:tcPr>
            <w:tcW w:w="8720" w:type="dxa"/>
            <w:vAlign w:val="bottom"/>
          </w:tcPr>
          <w:p>
            <w:pPr>
              <w:spacing w:after="0"/>
              <w:rPr>
                <w:sz w:val="20"/>
                <w:szCs w:val="20"/>
                <w:color w:val="auto"/>
              </w:rPr>
            </w:pPr>
            <w:r>
              <w:rPr>
                <w:rFonts w:ascii="Arial" w:cs="Arial" w:eastAsia="Arial" w:hAnsi="Arial"/>
                <w:sz w:val="18"/>
                <w:szCs w:val="18"/>
                <w:b w:val="1"/>
                <w:bCs w:val="1"/>
                <w:color w:val="auto"/>
              </w:rPr>
              <w:t>INFORMATION CONCERNING OUR EXECUTIVE OFFICERS</w:t>
            </w:r>
          </w:p>
        </w:tc>
        <w:tc>
          <w:tcPr>
            <w:tcW w:w="760" w:type="dxa"/>
            <w:vAlign w:val="bottom"/>
          </w:tcPr>
          <w:p>
            <w:pPr>
              <w:ind w:left="580"/>
              <w:spacing w:after="0"/>
              <w:rPr>
                <w:rFonts w:ascii="Arial" w:cs="Arial" w:eastAsia="Arial" w:hAnsi="Arial"/>
                <w:sz w:val="18"/>
                <w:szCs w:val="18"/>
                <w:b w:val="1"/>
                <w:bCs w:val="1"/>
                <w:color w:val="auto"/>
                <w:w w:val="79"/>
              </w:rPr>
            </w:pPr>
            <w:hyperlink w:anchor="page15">
              <w:r>
                <w:rPr>
                  <w:rFonts w:ascii="Arial" w:cs="Arial" w:eastAsia="Arial" w:hAnsi="Arial"/>
                  <w:sz w:val="18"/>
                  <w:szCs w:val="18"/>
                  <w:b w:val="1"/>
                  <w:bCs w:val="1"/>
                  <w:color w:val="auto"/>
                  <w:w w:val="79"/>
                </w:rPr>
                <w:t>11</w:t>
              </w:r>
            </w:hyperlink>
          </w:p>
        </w:tc>
      </w:tr>
      <w:tr>
        <w:trPr>
          <w:trHeight w:val="392"/>
        </w:trPr>
        <w:tc>
          <w:tcPr>
            <w:tcW w:w="8720" w:type="dxa"/>
            <w:vAlign w:val="bottom"/>
          </w:tcPr>
          <w:p>
            <w:pPr>
              <w:spacing w:after="0"/>
              <w:rPr>
                <w:sz w:val="20"/>
                <w:szCs w:val="20"/>
                <w:color w:val="auto"/>
              </w:rPr>
            </w:pPr>
            <w:r>
              <w:rPr>
                <w:rFonts w:ascii="Arial" w:cs="Arial" w:eastAsia="Arial" w:hAnsi="Arial"/>
                <w:sz w:val="18"/>
                <w:szCs w:val="18"/>
                <w:b w:val="1"/>
                <w:bCs w:val="1"/>
                <w:color w:val="auto"/>
              </w:rPr>
              <w:t>INFORMATION REGARDING CHIEF EXECUTIVE OFFICER PAY RATIO</w:t>
            </w:r>
          </w:p>
        </w:tc>
        <w:tc>
          <w:tcPr>
            <w:tcW w:w="760" w:type="dxa"/>
            <w:vAlign w:val="bottom"/>
          </w:tcPr>
          <w:p>
            <w:pPr>
              <w:ind w:left="580"/>
              <w:spacing w:after="0"/>
              <w:rPr>
                <w:rFonts w:ascii="Arial" w:cs="Arial" w:eastAsia="Arial" w:hAnsi="Arial"/>
                <w:sz w:val="18"/>
                <w:szCs w:val="18"/>
                <w:b w:val="1"/>
                <w:bCs w:val="1"/>
                <w:color w:val="auto"/>
                <w:w w:val="79"/>
              </w:rPr>
            </w:pPr>
            <w:hyperlink w:anchor="page16">
              <w:r>
                <w:rPr>
                  <w:rFonts w:ascii="Arial" w:cs="Arial" w:eastAsia="Arial" w:hAnsi="Arial"/>
                  <w:sz w:val="18"/>
                  <w:szCs w:val="18"/>
                  <w:b w:val="1"/>
                  <w:bCs w:val="1"/>
                  <w:color w:val="auto"/>
                  <w:w w:val="79"/>
                </w:rPr>
                <w:t>12</w:t>
              </w:r>
            </w:hyperlink>
          </w:p>
        </w:tc>
      </w:tr>
      <w:tr>
        <w:trPr>
          <w:trHeight w:val="392"/>
        </w:trPr>
        <w:tc>
          <w:tcPr>
            <w:tcW w:w="8720" w:type="dxa"/>
            <w:vAlign w:val="bottom"/>
          </w:tcPr>
          <w:p>
            <w:pPr>
              <w:spacing w:after="0"/>
              <w:rPr>
                <w:sz w:val="20"/>
                <w:szCs w:val="20"/>
                <w:color w:val="auto"/>
              </w:rPr>
            </w:pPr>
            <w:r>
              <w:rPr>
                <w:rFonts w:ascii="Arial" w:cs="Arial" w:eastAsia="Arial" w:hAnsi="Arial"/>
                <w:sz w:val="18"/>
                <w:szCs w:val="18"/>
                <w:b w:val="1"/>
                <w:bCs w:val="1"/>
                <w:color w:val="auto"/>
              </w:rPr>
              <w:t>EQUITY SECURITY OWNERSHIP AND RELATED MATTERS</w:t>
            </w:r>
          </w:p>
        </w:tc>
        <w:tc>
          <w:tcPr>
            <w:tcW w:w="760" w:type="dxa"/>
            <w:vAlign w:val="bottom"/>
          </w:tcPr>
          <w:p>
            <w:pPr>
              <w:ind w:left="580"/>
              <w:spacing w:after="0"/>
              <w:rPr>
                <w:rFonts w:ascii="Arial" w:cs="Arial" w:eastAsia="Arial" w:hAnsi="Arial"/>
                <w:sz w:val="18"/>
                <w:szCs w:val="18"/>
                <w:b w:val="1"/>
                <w:bCs w:val="1"/>
                <w:color w:val="auto"/>
                <w:w w:val="79"/>
              </w:rPr>
            </w:pPr>
            <w:hyperlink w:anchor="page17">
              <w:r>
                <w:rPr>
                  <w:rFonts w:ascii="Arial" w:cs="Arial" w:eastAsia="Arial" w:hAnsi="Arial"/>
                  <w:sz w:val="18"/>
                  <w:szCs w:val="18"/>
                  <w:b w:val="1"/>
                  <w:bCs w:val="1"/>
                  <w:color w:val="auto"/>
                  <w:w w:val="79"/>
                </w:rPr>
                <w:t>13</w:t>
              </w:r>
            </w:hyperlink>
          </w:p>
        </w:tc>
      </w:tr>
      <w:tr>
        <w:trPr>
          <w:trHeight w:val="270"/>
        </w:trPr>
        <w:tc>
          <w:tcPr>
            <w:tcW w:w="8720" w:type="dxa"/>
            <w:vAlign w:val="bottom"/>
          </w:tcPr>
          <w:p>
            <w:pPr>
              <w:ind w:left="360"/>
              <w:spacing w:after="0"/>
              <w:rPr>
                <w:sz w:val="20"/>
                <w:szCs w:val="20"/>
                <w:color w:val="auto"/>
              </w:rPr>
            </w:pPr>
            <w:r>
              <w:rPr>
                <w:rFonts w:ascii="Arial" w:cs="Arial" w:eastAsia="Arial" w:hAnsi="Arial"/>
                <w:sz w:val="18"/>
                <w:szCs w:val="18"/>
                <w:color w:val="auto"/>
              </w:rPr>
              <w:t>Equity Security Ownership of Certain Beneficial Owners and Management</w:t>
            </w:r>
          </w:p>
        </w:tc>
        <w:tc>
          <w:tcPr>
            <w:tcW w:w="760" w:type="dxa"/>
            <w:vAlign w:val="bottom"/>
          </w:tcPr>
          <w:p>
            <w:pPr>
              <w:ind w:left="580"/>
              <w:spacing w:after="0"/>
              <w:rPr>
                <w:rFonts w:ascii="Arial" w:cs="Arial" w:eastAsia="Arial" w:hAnsi="Arial"/>
                <w:sz w:val="18"/>
                <w:szCs w:val="18"/>
                <w:color w:val="auto"/>
                <w:w w:val="79"/>
              </w:rPr>
            </w:pPr>
            <w:hyperlink w:anchor="page17">
              <w:r>
                <w:rPr>
                  <w:rFonts w:ascii="Arial" w:cs="Arial" w:eastAsia="Arial" w:hAnsi="Arial"/>
                  <w:sz w:val="18"/>
                  <w:szCs w:val="18"/>
                  <w:color w:val="auto"/>
                  <w:w w:val="79"/>
                </w:rPr>
                <w:t>13</w:t>
              </w:r>
            </w:hyperlink>
          </w:p>
        </w:tc>
      </w:tr>
      <w:tr>
        <w:trPr>
          <w:trHeight w:val="270"/>
        </w:trPr>
        <w:tc>
          <w:tcPr>
            <w:tcW w:w="8720" w:type="dxa"/>
            <w:vAlign w:val="bottom"/>
          </w:tcPr>
          <w:p>
            <w:pPr>
              <w:ind w:left="360"/>
              <w:spacing w:after="0"/>
              <w:rPr>
                <w:sz w:val="20"/>
                <w:szCs w:val="20"/>
                <w:color w:val="auto"/>
              </w:rPr>
            </w:pPr>
            <w:r>
              <w:rPr>
                <w:rFonts w:ascii="Arial" w:cs="Arial" w:eastAsia="Arial" w:hAnsi="Arial"/>
                <w:sz w:val="18"/>
                <w:szCs w:val="18"/>
                <w:color w:val="auto"/>
              </w:rPr>
              <w:t>Section 16(a) Beneficial Ownership Reporting Compliance</w:t>
            </w:r>
          </w:p>
        </w:tc>
        <w:tc>
          <w:tcPr>
            <w:tcW w:w="760" w:type="dxa"/>
            <w:vAlign w:val="bottom"/>
          </w:tcPr>
          <w:p>
            <w:pPr>
              <w:ind w:left="580"/>
              <w:spacing w:after="0"/>
              <w:rPr>
                <w:sz w:val="20"/>
                <w:szCs w:val="20"/>
                <w:color w:val="auto"/>
              </w:rPr>
            </w:pPr>
            <w:r>
              <w:rPr>
                <w:rFonts w:ascii="Arial" w:cs="Arial" w:eastAsia="Arial" w:hAnsi="Arial"/>
                <w:sz w:val="18"/>
                <w:szCs w:val="18"/>
                <w:color w:val="auto"/>
                <w:w w:val="79"/>
              </w:rPr>
              <w:t>15</w:t>
            </w:r>
          </w:p>
        </w:tc>
      </w:tr>
      <w:tr>
        <w:trPr>
          <w:trHeight w:val="392"/>
        </w:trPr>
        <w:tc>
          <w:tcPr>
            <w:tcW w:w="8720" w:type="dxa"/>
            <w:vAlign w:val="bottom"/>
          </w:tcPr>
          <w:p>
            <w:pPr>
              <w:spacing w:after="0"/>
              <w:rPr>
                <w:sz w:val="20"/>
                <w:szCs w:val="20"/>
                <w:color w:val="auto"/>
              </w:rPr>
            </w:pPr>
            <w:r>
              <w:rPr>
                <w:rFonts w:ascii="Arial" w:cs="Arial" w:eastAsia="Arial" w:hAnsi="Arial"/>
                <w:sz w:val="18"/>
                <w:szCs w:val="18"/>
                <w:b w:val="1"/>
                <w:bCs w:val="1"/>
                <w:color w:val="auto"/>
              </w:rPr>
              <w:t>EXECUTIVE COMPENSATION AND OTHER INFORMATION</w:t>
            </w:r>
          </w:p>
        </w:tc>
        <w:tc>
          <w:tcPr>
            <w:tcW w:w="760" w:type="dxa"/>
            <w:vAlign w:val="bottom"/>
          </w:tcPr>
          <w:p>
            <w:pPr>
              <w:ind w:left="580"/>
              <w:spacing w:after="0"/>
              <w:rPr>
                <w:rFonts w:ascii="Arial" w:cs="Arial" w:eastAsia="Arial" w:hAnsi="Arial"/>
                <w:sz w:val="18"/>
                <w:szCs w:val="18"/>
                <w:b w:val="1"/>
                <w:bCs w:val="1"/>
                <w:color w:val="auto"/>
                <w:w w:val="79"/>
              </w:rPr>
            </w:pPr>
            <w:hyperlink w:anchor="page20">
              <w:r>
                <w:rPr>
                  <w:rFonts w:ascii="Arial" w:cs="Arial" w:eastAsia="Arial" w:hAnsi="Arial"/>
                  <w:sz w:val="18"/>
                  <w:szCs w:val="18"/>
                  <w:b w:val="1"/>
                  <w:bCs w:val="1"/>
                  <w:color w:val="auto"/>
                  <w:w w:val="79"/>
                </w:rPr>
                <w:t>16</w:t>
              </w:r>
            </w:hyperlink>
          </w:p>
        </w:tc>
      </w:tr>
      <w:tr>
        <w:trPr>
          <w:trHeight w:val="270"/>
        </w:trPr>
        <w:tc>
          <w:tcPr>
            <w:tcW w:w="8720" w:type="dxa"/>
            <w:vAlign w:val="bottom"/>
          </w:tcPr>
          <w:p>
            <w:pPr>
              <w:ind w:left="360"/>
              <w:spacing w:after="0"/>
              <w:rPr>
                <w:sz w:val="20"/>
                <w:szCs w:val="20"/>
                <w:color w:val="auto"/>
              </w:rPr>
            </w:pPr>
            <w:r>
              <w:rPr>
                <w:rFonts w:ascii="Arial" w:cs="Arial" w:eastAsia="Arial" w:hAnsi="Arial"/>
                <w:sz w:val="18"/>
                <w:szCs w:val="18"/>
                <w:color w:val="auto"/>
              </w:rPr>
              <w:t>Compensation Discussion and Analysis</w:t>
            </w:r>
          </w:p>
        </w:tc>
        <w:tc>
          <w:tcPr>
            <w:tcW w:w="760" w:type="dxa"/>
            <w:vAlign w:val="bottom"/>
          </w:tcPr>
          <w:p>
            <w:pPr>
              <w:ind w:left="580"/>
              <w:spacing w:after="0"/>
              <w:rPr>
                <w:rFonts w:ascii="Arial" w:cs="Arial" w:eastAsia="Arial" w:hAnsi="Arial"/>
                <w:sz w:val="18"/>
                <w:szCs w:val="18"/>
                <w:color w:val="auto"/>
                <w:w w:val="79"/>
              </w:rPr>
            </w:pPr>
            <w:hyperlink w:anchor="page20">
              <w:r>
                <w:rPr>
                  <w:rFonts w:ascii="Arial" w:cs="Arial" w:eastAsia="Arial" w:hAnsi="Arial"/>
                  <w:sz w:val="18"/>
                  <w:szCs w:val="18"/>
                  <w:color w:val="auto"/>
                  <w:w w:val="79"/>
                </w:rPr>
                <w:t>16</w:t>
              </w:r>
            </w:hyperlink>
          </w:p>
        </w:tc>
      </w:tr>
      <w:tr>
        <w:trPr>
          <w:trHeight w:val="270"/>
        </w:trPr>
        <w:tc>
          <w:tcPr>
            <w:tcW w:w="8720" w:type="dxa"/>
            <w:vAlign w:val="bottom"/>
          </w:tcPr>
          <w:p>
            <w:pPr>
              <w:ind w:left="360"/>
              <w:spacing w:after="0"/>
              <w:rPr>
                <w:sz w:val="20"/>
                <w:szCs w:val="20"/>
                <w:color w:val="auto"/>
              </w:rPr>
            </w:pPr>
            <w:r>
              <w:rPr>
                <w:rFonts w:ascii="Arial" w:cs="Arial" w:eastAsia="Arial" w:hAnsi="Arial"/>
                <w:sz w:val="18"/>
                <w:szCs w:val="18"/>
                <w:color w:val="auto"/>
              </w:rPr>
              <w:t>Risk Assessment</w:t>
            </w:r>
          </w:p>
        </w:tc>
        <w:tc>
          <w:tcPr>
            <w:tcW w:w="760" w:type="dxa"/>
            <w:vAlign w:val="bottom"/>
          </w:tcPr>
          <w:p>
            <w:pPr>
              <w:ind w:left="580"/>
              <w:spacing w:after="0"/>
              <w:rPr>
                <w:sz w:val="20"/>
                <w:szCs w:val="20"/>
                <w:color w:val="auto"/>
              </w:rPr>
            </w:pPr>
            <w:r>
              <w:rPr>
                <w:rFonts w:ascii="Arial" w:cs="Arial" w:eastAsia="Arial" w:hAnsi="Arial"/>
                <w:sz w:val="18"/>
                <w:szCs w:val="18"/>
                <w:color w:val="auto"/>
                <w:w w:val="79"/>
              </w:rPr>
              <w:t>23</w:t>
            </w:r>
          </w:p>
        </w:tc>
      </w:tr>
      <w:tr>
        <w:trPr>
          <w:trHeight w:val="270"/>
        </w:trPr>
        <w:tc>
          <w:tcPr>
            <w:tcW w:w="8720" w:type="dxa"/>
            <w:vAlign w:val="bottom"/>
          </w:tcPr>
          <w:p>
            <w:pPr>
              <w:ind w:left="360"/>
              <w:spacing w:after="0"/>
              <w:rPr>
                <w:sz w:val="20"/>
                <w:szCs w:val="20"/>
                <w:color w:val="auto"/>
              </w:rPr>
            </w:pPr>
            <w:r>
              <w:rPr>
                <w:rFonts w:ascii="Arial" w:cs="Arial" w:eastAsia="Arial" w:hAnsi="Arial"/>
                <w:sz w:val="18"/>
                <w:szCs w:val="18"/>
                <w:color w:val="auto"/>
              </w:rPr>
              <w:t>Compensation Committee Report</w:t>
            </w:r>
          </w:p>
        </w:tc>
        <w:tc>
          <w:tcPr>
            <w:tcW w:w="760" w:type="dxa"/>
            <w:vAlign w:val="bottom"/>
          </w:tcPr>
          <w:p>
            <w:pPr>
              <w:ind w:left="580"/>
              <w:spacing w:after="0"/>
              <w:rPr>
                <w:sz w:val="20"/>
                <w:szCs w:val="20"/>
                <w:color w:val="auto"/>
              </w:rPr>
            </w:pPr>
            <w:r>
              <w:rPr>
                <w:rFonts w:ascii="Arial" w:cs="Arial" w:eastAsia="Arial" w:hAnsi="Arial"/>
                <w:sz w:val="18"/>
                <w:szCs w:val="18"/>
                <w:color w:val="auto"/>
                <w:w w:val="79"/>
              </w:rPr>
              <w:t>23</w:t>
            </w:r>
          </w:p>
        </w:tc>
      </w:tr>
      <w:tr>
        <w:trPr>
          <w:trHeight w:val="270"/>
        </w:trPr>
        <w:tc>
          <w:tcPr>
            <w:tcW w:w="8720" w:type="dxa"/>
            <w:vAlign w:val="bottom"/>
          </w:tcPr>
          <w:p>
            <w:pPr>
              <w:ind w:left="360"/>
              <w:spacing w:after="0"/>
              <w:rPr>
                <w:sz w:val="20"/>
                <w:szCs w:val="20"/>
                <w:color w:val="auto"/>
              </w:rPr>
            </w:pPr>
            <w:r>
              <w:rPr>
                <w:rFonts w:ascii="Arial" w:cs="Arial" w:eastAsia="Arial" w:hAnsi="Arial"/>
                <w:sz w:val="18"/>
                <w:szCs w:val="18"/>
                <w:color w:val="auto"/>
              </w:rPr>
              <w:t>Executive Compensation Tables</w:t>
            </w:r>
          </w:p>
        </w:tc>
        <w:tc>
          <w:tcPr>
            <w:tcW w:w="760" w:type="dxa"/>
            <w:vAlign w:val="bottom"/>
          </w:tcPr>
          <w:p>
            <w:pPr>
              <w:ind w:left="580"/>
              <w:spacing w:after="0"/>
              <w:rPr>
                <w:sz w:val="20"/>
                <w:szCs w:val="20"/>
                <w:color w:val="auto"/>
              </w:rPr>
            </w:pPr>
            <w:r>
              <w:rPr>
                <w:rFonts w:ascii="Arial" w:cs="Arial" w:eastAsia="Arial" w:hAnsi="Arial"/>
                <w:sz w:val="18"/>
                <w:szCs w:val="18"/>
                <w:color w:val="auto"/>
                <w:w w:val="79"/>
              </w:rPr>
              <w:t>24</w:t>
            </w:r>
          </w:p>
        </w:tc>
      </w:tr>
      <w:tr>
        <w:trPr>
          <w:trHeight w:val="270"/>
        </w:trPr>
        <w:tc>
          <w:tcPr>
            <w:tcW w:w="8720" w:type="dxa"/>
            <w:vAlign w:val="bottom"/>
          </w:tcPr>
          <w:p>
            <w:pPr>
              <w:ind w:left="360"/>
              <w:spacing w:after="0"/>
              <w:rPr>
                <w:sz w:val="20"/>
                <w:szCs w:val="20"/>
                <w:color w:val="auto"/>
              </w:rPr>
            </w:pPr>
            <w:r>
              <w:rPr>
                <w:rFonts w:ascii="Arial" w:cs="Arial" w:eastAsia="Arial" w:hAnsi="Arial"/>
                <w:sz w:val="18"/>
                <w:szCs w:val="18"/>
                <w:color w:val="auto"/>
              </w:rPr>
              <w:t>Equity Compensation Plan Information</w:t>
            </w:r>
          </w:p>
        </w:tc>
        <w:tc>
          <w:tcPr>
            <w:tcW w:w="760" w:type="dxa"/>
            <w:vAlign w:val="bottom"/>
          </w:tcPr>
          <w:p>
            <w:pPr>
              <w:ind w:left="580"/>
              <w:spacing w:after="0"/>
              <w:rPr>
                <w:sz w:val="20"/>
                <w:szCs w:val="20"/>
                <w:color w:val="auto"/>
              </w:rPr>
            </w:pPr>
            <w:r>
              <w:rPr>
                <w:rFonts w:ascii="Arial" w:cs="Arial" w:eastAsia="Arial" w:hAnsi="Arial"/>
                <w:sz w:val="18"/>
                <w:szCs w:val="18"/>
                <w:color w:val="auto"/>
                <w:w w:val="79"/>
              </w:rPr>
              <w:t>30</w:t>
            </w:r>
          </w:p>
        </w:tc>
      </w:tr>
      <w:tr>
        <w:trPr>
          <w:trHeight w:val="392"/>
        </w:trPr>
        <w:tc>
          <w:tcPr>
            <w:tcW w:w="8720" w:type="dxa"/>
            <w:vAlign w:val="bottom"/>
          </w:tcPr>
          <w:p>
            <w:pPr>
              <w:spacing w:after="0"/>
              <w:rPr>
                <w:sz w:val="20"/>
                <w:szCs w:val="20"/>
                <w:color w:val="auto"/>
              </w:rPr>
            </w:pPr>
            <w:r>
              <w:rPr>
                <w:rFonts w:ascii="Arial" w:cs="Arial" w:eastAsia="Arial" w:hAnsi="Arial"/>
                <w:sz w:val="18"/>
                <w:szCs w:val="18"/>
                <w:b w:val="1"/>
                <w:bCs w:val="1"/>
                <w:color w:val="auto"/>
              </w:rPr>
              <w:t>CERTAIN RELATIONSHIPS AND RELATED PARTY TRANSACTIONS</w:t>
            </w:r>
          </w:p>
        </w:tc>
        <w:tc>
          <w:tcPr>
            <w:tcW w:w="760" w:type="dxa"/>
            <w:vAlign w:val="bottom"/>
          </w:tcPr>
          <w:p>
            <w:pPr>
              <w:ind w:left="580"/>
              <w:spacing w:after="0"/>
              <w:rPr>
                <w:rFonts w:ascii="Arial" w:cs="Arial" w:eastAsia="Arial" w:hAnsi="Arial"/>
                <w:sz w:val="18"/>
                <w:szCs w:val="18"/>
                <w:b w:val="1"/>
                <w:bCs w:val="1"/>
                <w:color w:val="auto"/>
                <w:w w:val="79"/>
              </w:rPr>
            </w:pPr>
            <w:hyperlink w:anchor="page35">
              <w:r>
                <w:rPr>
                  <w:rFonts w:ascii="Arial" w:cs="Arial" w:eastAsia="Arial" w:hAnsi="Arial"/>
                  <w:sz w:val="18"/>
                  <w:szCs w:val="18"/>
                  <w:b w:val="1"/>
                  <w:bCs w:val="1"/>
                  <w:color w:val="auto"/>
                  <w:w w:val="79"/>
                </w:rPr>
                <w:t>31</w:t>
              </w:r>
            </w:hyperlink>
          </w:p>
        </w:tc>
      </w:tr>
      <w:tr>
        <w:trPr>
          <w:trHeight w:val="270"/>
        </w:trPr>
        <w:tc>
          <w:tcPr>
            <w:tcW w:w="8720" w:type="dxa"/>
            <w:vAlign w:val="bottom"/>
          </w:tcPr>
          <w:p>
            <w:pPr>
              <w:ind w:left="360"/>
              <w:spacing w:after="0"/>
              <w:rPr>
                <w:sz w:val="20"/>
                <w:szCs w:val="20"/>
                <w:color w:val="auto"/>
              </w:rPr>
            </w:pPr>
            <w:r>
              <w:rPr>
                <w:rFonts w:ascii="Arial" w:cs="Arial" w:eastAsia="Arial" w:hAnsi="Arial"/>
                <w:sz w:val="18"/>
                <w:szCs w:val="18"/>
                <w:color w:val="auto"/>
              </w:rPr>
              <w:t>Related Party Transactions with DISH Network</w:t>
            </w:r>
          </w:p>
        </w:tc>
        <w:tc>
          <w:tcPr>
            <w:tcW w:w="760" w:type="dxa"/>
            <w:vAlign w:val="bottom"/>
          </w:tcPr>
          <w:p>
            <w:pPr>
              <w:ind w:left="580"/>
              <w:spacing w:after="0"/>
              <w:rPr>
                <w:rFonts w:ascii="Arial" w:cs="Arial" w:eastAsia="Arial" w:hAnsi="Arial"/>
                <w:sz w:val="18"/>
                <w:szCs w:val="18"/>
                <w:color w:val="auto"/>
                <w:w w:val="79"/>
              </w:rPr>
            </w:pPr>
            <w:hyperlink w:anchor="page35">
              <w:r>
                <w:rPr>
                  <w:rFonts w:ascii="Arial" w:cs="Arial" w:eastAsia="Arial" w:hAnsi="Arial"/>
                  <w:sz w:val="18"/>
                  <w:szCs w:val="18"/>
                  <w:color w:val="auto"/>
                  <w:w w:val="79"/>
                </w:rPr>
                <w:t>31</w:t>
              </w:r>
            </w:hyperlink>
          </w:p>
        </w:tc>
      </w:tr>
      <w:tr>
        <w:trPr>
          <w:trHeight w:val="270"/>
        </w:trPr>
        <w:tc>
          <w:tcPr>
            <w:tcW w:w="8720" w:type="dxa"/>
            <w:vAlign w:val="bottom"/>
          </w:tcPr>
          <w:p>
            <w:pPr>
              <w:ind w:left="360"/>
              <w:spacing w:after="0"/>
              <w:rPr>
                <w:sz w:val="20"/>
                <w:szCs w:val="20"/>
                <w:color w:val="auto"/>
              </w:rPr>
            </w:pPr>
            <w:r>
              <w:rPr>
                <w:rFonts w:ascii="Arial" w:cs="Arial" w:eastAsia="Arial" w:hAnsi="Arial"/>
                <w:sz w:val="18"/>
                <w:szCs w:val="18"/>
                <w:color w:val="auto"/>
              </w:rPr>
              <w:t>Related Party Transactions with Hughes Systique Corporation</w:t>
            </w:r>
          </w:p>
        </w:tc>
        <w:tc>
          <w:tcPr>
            <w:tcW w:w="760" w:type="dxa"/>
            <w:vAlign w:val="bottom"/>
          </w:tcPr>
          <w:p>
            <w:pPr>
              <w:ind w:left="580"/>
              <w:spacing w:after="0"/>
              <w:rPr>
                <w:sz w:val="20"/>
                <w:szCs w:val="20"/>
                <w:color w:val="auto"/>
              </w:rPr>
            </w:pPr>
            <w:r>
              <w:rPr>
                <w:rFonts w:ascii="Arial" w:cs="Arial" w:eastAsia="Arial" w:hAnsi="Arial"/>
                <w:sz w:val="18"/>
                <w:szCs w:val="18"/>
                <w:color w:val="auto"/>
                <w:w w:val="79"/>
              </w:rPr>
              <w:t>39</w:t>
            </w:r>
          </w:p>
        </w:tc>
      </w:tr>
      <w:tr>
        <w:trPr>
          <w:trHeight w:val="270"/>
        </w:trPr>
        <w:tc>
          <w:tcPr>
            <w:tcW w:w="8720" w:type="dxa"/>
            <w:vAlign w:val="bottom"/>
          </w:tcPr>
          <w:p>
            <w:pPr>
              <w:ind w:left="360"/>
              <w:spacing w:after="0"/>
              <w:rPr>
                <w:sz w:val="20"/>
                <w:szCs w:val="20"/>
                <w:color w:val="auto"/>
              </w:rPr>
            </w:pPr>
            <w:r>
              <w:rPr>
                <w:rFonts w:ascii="Arial" w:cs="Arial" w:eastAsia="Arial" w:hAnsi="Arial"/>
                <w:sz w:val="18"/>
                <w:szCs w:val="18"/>
                <w:color w:val="auto"/>
              </w:rPr>
              <w:t>Related Party Transaction with Global IP</w:t>
            </w:r>
          </w:p>
        </w:tc>
        <w:tc>
          <w:tcPr>
            <w:tcW w:w="760" w:type="dxa"/>
            <w:vAlign w:val="bottom"/>
          </w:tcPr>
          <w:p>
            <w:pPr>
              <w:ind w:left="580"/>
              <w:spacing w:after="0"/>
              <w:rPr>
                <w:sz w:val="20"/>
                <w:szCs w:val="20"/>
                <w:color w:val="auto"/>
              </w:rPr>
            </w:pPr>
            <w:r>
              <w:rPr>
                <w:rFonts w:ascii="Arial" w:cs="Arial" w:eastAsia="Arial" w:hAnsi="Arial"/>
                <w:sz w:val="18"/>
                <w:szCs w:val="18"/>
                <w:color w:val="auto"/>
                <w:w w:val="79"/>
              </w:rPr>
              <w:t>39</w:t>
            </w:r>
          </w:p>
        </w:tc>
      </w:tr>
      <w:tr>
        <w:trPr>
          <w:trHeight w:val="392"/>
        </w:trPr>
        <w:tc>
          <w:tcPr>
            <w:tcW w:w="8720" w:type="dxa"/>
            <w:vAlign w:val="bottom"/>
          </w:tcPr>
          <w:p>
            <w:pPr>
              <w:spacing w:after="0"/>
              <w:rPr>
                <w:sz w:val="20"/>
                <w:szCs w:val="20"/>
                <w:color w:val="auto"/>
              </w:rPr>
            </w:pPr>
            <w:r>
              <w:rPr>
                <w:rFonts w:ascii="Arial" w:cs="Arial" w:eastAsia="Arial" w:hAnsi="Arial"/>
                <w:sz w:val="18"/>
                <w:szCs w:val="18"/>
                <w:b w:val="1"/>
                <w:bCs w:val="1"/>
                <w:color w:val="auto"/>
              </w:rPr>
              <w:t>PROPOSAL 2 — RATIFICATION OF INDEPENDENT REGISTERED PUBLIC ACCOUNTING FIRM</w:t>
            </w:r>
          </w:p>
        </w:tc>
        <w:tc>
          <w:tcPr>
            <w:tcW w:w="760" w:type="dxa"/>
            <w:vAlign w:val="bottom"/>
          </w:tcPr>
          <w:p>
            <w:pPr>
              <w:ind w:left="580"/>
              <w:spacing w:after="0"/>
              <w:rPr>
                <w:rFonts w:ascii="Arial" w:cs="Arial" w:eastAsia="Arial" w:hAnsi="Arial"/>
                <w:sz w:val="18"/>
                <w:szCs w:val="18"/>
                <w:b w:val="1"/>
                <w:bCs w:val="1"/>
                <w:color w:val="auto"/>
                <w:w w:val="79"/>
              </w:rPr>
            </w:pPr>
            <w:hyperlink w:anchor="page44">
              <w:r>
                <w:rPr>
                  <w:rFonts w:ascii="Arial" w:cs="Arial" w:eastAsia="Arial" w:hAnsi="Arial"/>
                  <w:sz w:val="18"/>
                  <w:szCs w:val="18"/>
                  <w:b w:val="1"/>
                  <w:bCs w:val="1"/>
                  <w:color w:val="auto"/>
                  <w:w w:val="79"/>
                </w:rPr>
                <w:t>40</w:t>
              </w:r>
            </w:hyperlink>
          </w:p>
        </w:tc>
      </w:tr>
      <w:tr>
        <w:trPr>
          <w:trHeight w:val="270"/>
        </w:trPr>
        <w:tc>
          <w:tcPr>
            <w:tcW w:w="8720" w:type="dxa"/>
            <w:vAlign w:val="bottom"/>
          </w:tcPr>
          <w:p>
            <w:pPr>
              <w:ind w:left="360"/>
              <w:spacing w:after="0"/>
              <w:rPr>
                <w:sz w:val="20"/>
                <w:szCs w:val="20"/>
                <w:color w:val="auto"/>
              </w:rPr>
            </w:pPr>
            <w:r>
              <w:rPr>
                <w:rFonts w:ascii="Arial" w:cs="Arial" w:eastAsia="Arial" w:hAnsi="Arial"/>
                <w:sz w:val="18"/>
                <w:szCs w:val="18"/>
                <w:color w:val="auto"/>
              </w:rPr>
              <w:t>Appointment of Independent Registered Public Accounting Firm</w:t>
            </w:r>
          </w:p>
        </w:tc>
        <w:tc>
          <w:tcPr>
            <w:tcW w:w="760" w:type="dxa"/>
            <w:vAlign w:val="bottom"/>
          </w:tcPr>
          <w:p>
            <w:pPr>
              <w:ind w:left="580"/>
              <w:spacing w:after="0"/>
              <w:rPr>
                <w:rFonts w:ascii="Arial" w:cs="Arial" w:eastAsia="Arial" w:hAnsi="Arial"/>
                <w:sz w:val="18"/>
                <w:szCs w:val="18"/>
                <w:color w:val="auto"/>
                <w:w w:val="79"/>
              </w:rPr>
            </w:pPr>
            <w:hyperlink w:anchor="page44">
              <w:r>
                <w:rPr>
                  <w:rFonts w:ascii="Arial" w:cs="Arial" w:eastAsia="Arial" w:hAnsi="Arial"/>
                  <w:sz w:val="18"/>
                  <w:szCs w:val="18"/>
                  <w:color w:val="auto"/>
                  <w:w w:val="79"/>
                </w:rPr>
                <w:t>40</w:t>
              </w:r>
            </w:hyperlink>
          </w:p>
        </w:tc>
      </w:tr>
      <w:tr>
        <w:trPr>
          <w:trHeight w:val="270"/>
        </w:trPr>
        <w:tc>
          <w:tcPr>
            <w:tcW w:w="8720" w:type="dxa"/>
            <w:vAlign w:val="bottom"/>
          </w:tcPr>
          <w:p>
            <w:pPr>
              <w:ind w:left="360"/>
              <w:spacing w:after="0"/>
              <w:rPr>
                <w:sz w:val="20"/>
                <w:szCs w:val="20"/>
                <w:color w:val="auto"/>
              </w:rPr>
            </w:pPr>
            <w:r>
              <w:rPr>
                <w:rFonts w:ascii="Arial" w:cs="Arial" w:eastAsia="Arial" w:hAnsi="Arial"/>
                <w:sz w:val="18"/>
                <w:szCs w:val="18"/>
                <w:color w:val="auto"/>
              </w:rPr>
              <w:t>Principal Accountant Fees and Services</w:t>
            </w:r>
          </w:p>
        </w:tc>
        <w:tc>
          <w:tcPr>
            <w:tcW w:w="760" w:type="dxa"/>
            <w:vAlign w:val="bottom"/>
          </w:tcPr>
          <w:p>
            <w:pPr>
              <w:ind w:left="580"/>
              <w:spacing w:after="0"/>
              <w:rPr>
                <w:rFonts w:ascii="Arial" w:cs="Arial" w:eastAsia="Arial" w:hAnsi="Arial"/>
                <w:sz w:val="18"/>
                <w:szCs w:val="18"/>
                <w:color w:val="auto"/>
                <w:w w:val="79"/>
              </w:rPr>
            </w:pPr>
            <w:hyperlink w:anchor="page44">
              <w:r>
                <w:rPr>
                  <w:rFonts w:ascii="Arial" w:cs="Arial" w:eastAsia="Arial" w:hAnsi="Arial"/>
                  <w:sz w:val="18"/>
                  <w:szCs w:val="18"/>
                  <w:color w:val="auto"/>
                  <w:w w:val="79"/>
                </w:rPr>
                <w:t>40</w:t>
              </w:r>
            </w:hyperlink>
          </w:p>
        </w:tc>
      </w:tr>
      <w:tr>
        <w:trPr>
          <w:trHeight w:val="270"/>
        </w:trPr>
        <w:tc>
          <w:tcPr>
            <w:tcW w:w="8720" w:type="dxa"/>
            <w:vAlign w:val="bottom"/>
          </w:tcPr>
          <w:p>
            <w:pPr>
              <w:ind w:left="360"/>
              <w:spacing w:after="0"/>
              <w:rPr>
                <w:sz w:val="20"/>
                <w:szCs w:val="20"/>
                <w:color w:val="auto"/>
              </w:rPr>
            </w:pPr>
            <w:r>
              <w:rPr>
                <w:rFonts w:ascii="Arial" w:cs="Arial" w:eastAsia="Arial" w:hAnsi="Arial"/>
                <w:sz w:val="18"/>
                <w:szCs w:val="18"/>
                <w:color w:val="auto"/>
              </w:rPr>
              <w:t>Audit Committee Pre-Approval Process</w:t>
            </w:r>
          </w:p>
        </w:tc>
        <w:tc>
          <w:tcPr>
            <w:tcW w:w="760" w:type="dxa"/>
            <w:vAlign w:val="bottom"/>
          </w:tcPr>
          <w:p>
            <w:pPr>
              <w:ind w:left="580"/>
              <w:spacing w:after="0"/>
              <w:rPr>
                <w:sz w:val="20"/>
                <w:szCs w:val="20"/>
                <w:color w:val="auto"/>
              </w:rPr>
            </w:pPr>
            <w:r>
              <w:rPr>
                <w:rFonts w:ascii="Arial" w:cs="Arial" w:eastAsia="Arial" w:hAnsi="Arial"/>
                <w:sz w:val="18"/>
                <w:szCs w:val="18"/>
                <w:color w:val="auto"/>
                <w:w w:val="79"/>
              </w:rPr>
              <w:t>40</w:t>
            </w:r>
          </w:p>
        </w:tc>
      </w:tr>
      <w:tr>
        <w:trPr>
          <w:trHeight w:val="270"/>
        </w:trPr>
        <w:tc>
          <w:tcPr>
            <w:tcW w:w="8720" w:type="dxa"/>
            <w:vAlign w:val="bottom"/>
          </w:tcPr>
          <w:p>
            <w:pPr>
              <w:ind w:left="360"/>
              <w:spacing w:after="0"/>
              <w:rPr>
                <w:sz w:val="20"/>
                <w:szCs w:val="20"/>
                <w:color w:val="auto"/>
              </w:rPr>
            </w:pPr>
            <w:r>
              <w:rPr>
                <w:rFonts w:ascii="Arial" w:cs="Arial" w:eastAsia="Arial" w:hAnsi="Arial"/>
                <w:sz w:val="18"/>
                <w:szCs w:val="18"/>
                <w:color w:val="auto"/>
              </w:rPr>
              <w:t>Report of the Audit Committee</w:t>
            </w:r>
          </w:p>
        </w:tc>
        <w:tc>
          <w:tcPr>
            <w:tcW w:w="760" w:type="dxa"/>
            <w:vAlign w:val="bottom"/>
          </w:tcPr>
          <w:p>
            <w:pPr>
              <w:ind w:left="580"/>
              <w:spacing w:after="0"/>
              <w:rPr>
                <w:sz w:val="20"/>
                <w:szCs w:val="20"/>
                <w:color w:val="auto"/>
              </w:rPr>
            </w:pPr>
            <w:r>
              <w:rPr>
                <w:rFonts w:ascii="Arial" w:cs="Arial" w:eastAsia="Arial" w:hAnsi="Arial"/>
                <w:sz w:val="18"/>
                <w:szCs w:val="18"/>
                <w:color w:val="auto"/>
                <w:w w:val="79"/>
              </w:rPr>
              <w:t>41</w:t>
            </w:r>
          </w:p>
        </w:tc>
      </w:tr>
      <w:tr>
        <w:trPr>
          <w:trHeight w:val="392"/>
        </w:trPr>
        <w:tc>
          <w:tcPr>
            <w:tcW w:w="8720" w:type="dxa"/>
            <w:vAlign w:val="bottom"/>
          </w:tcPr>
          <w:p>
            <w:pPr>
              <w:spacing w:after="0"/>
              <w:rPr>
                <w:sz w:val="20"/>
                <w:szCs w:val="20"/>
                <w:color w:val="auto"/>
              </w:rPr>
            </w:pPr>
            <w:r>
              <w:rPr>
                <w:rFonts w:ascii="Arial" w:cs="Arial" w:eastAsia="Arial" w:hAnsi="Arial"/>
                <w:sz w:val="18"/>
                <w:szCs w:val="18"/>
                <w:b w:val="1"/>
                <w:bCs w:val="1"/>
                <w:color w:val="auto"/>
              </w:rPr>
              <w:t>OTHER MATTERS</w:t>
            </w:r>
          </w:p>
        </w:tc>
        <w:tc>
          <w:tcPr>
            <w:tcW w:w="760" w:type="dxa"/>
            <w:vAlign w:val="bottom"/>
          </w:tcPr>
          <w:p>
            <w:pPr>
              <w:ind w:left="580"/>
              <w:spacing w:after="0"/>
              <w:rPr>
                <w:rFonts w:ascii="Arial" w:cs="Arial" w:eastAsia="Arial" w:hAnsi="Arial"/>
                <w:sz w:val="18"/>
                <w:szCs w:val="18"/>
                <w:b w:val="1"/>
                <w:bCs w:val="1"/>
                <w:color w:val="auto"/>
                <w:w w:val="79"/>
              </w:rPr>
            </w:pPr>
            <w:hyperlink w:anchor="page46">
              <w:r>
                <w:rPr>
                  <w:rFonts w:ascii="Arial" w:cs="Arial" w:eastAsia="Arial" w:hAnsi="Arial"/>
                  <w:sz w:val="18"/>
                  <w:szCs w:val="18"/>
                  <w:b w:val="1"/>
                  <w:bCs w:val="1"/>
                  <w:color w:val="auto"/>
                  <w:w w:val="79"/>
                </w:rPr>
                <w:t>42</w:t>
              </w:r>
            </w:hyperlink>
          </w:p>
        </w:tc>
      </w:tr>
      <w:tr>
        <w:trPr>
          <w:trHeight w:val="392"/>
        </w:trPr>
        <w:tc>
          <w:tcPr>
            <w:tcW w:w="8720" w:type="dxa"/>
            <w:vAlign w:val="bottom"/>
          </w:tcPr>
          <w:p>
            <w:pPr>
              <w:spacing w:after="0"/>
              <w:rPr>
                <w:sz w:val="20"/>
                <w:szCs w:val="20"/>
                <w:color w:val="auto"/>
              </w:rPr>
            </w:pPr>
            <w:r>
              <w:rPr>
                <w:rFonts w:ascii="Arial" w:cs="Arial" w:eastAsia="Arial" w:hAnsi="Arial"/>
                <w:sz w:val="18"/>
                <w:szCs w:val="18"/>
                <w:b w:val="1"/>
                <w:bCs w:val="1"/>
                <w:color w:val="auto"/>
              </w:rPr>
              <w:t>ADDITIONAL INFORMATION</w:t>
            </w:r>
          </w:p>
        </w:tc>
        <w:tc>
          <w:tcPr>
            <w:tcW w:w="760" w:type="dxa"/>
            <w:vAlign w:val="bottom"/>
          </w:tcPr>
          <w:p>
            <w:pPr>
              <w:ind w:left="580"/>
              <w:spacing w:after="0"/>
              <w:rPr>
                <w:rFonts w:ascii="Arial" w:cs="Arial" w:eastAsia="Arial" w:hAnsi="Arial"/>
                <w:sz w:val="18"/>
                <w:szCs w:val="18"/>
                <w:b w:val="1"/>
                <w:bCs w:val="1"/>
                <w:color w:val="auto"/>
                <w:w w:val="79"/>
              </w:rPr>
            </w:pPr>
            <w:hyperlink w:anchor="page46">
              <w:r>
                <w:rPr>
                  <w:rFonts w:ascii="Arial" w:cs="Arial" w:eastAsia="Arial" w:hAnsi="Arial"/>
                  <w:sz w:val="18"/>
                  <w:szCs w:val="18"/>
                  <w:b w:val="1"/>
                  <w:bCs w:val="1"/>
                  <w:color w:val="auto"/>
                  <w:w w:val="79"/>
                </w:rPr>
                <w:t>42</w:t>
              </w:r>
            </w:hyperlink>
          </w:p>
        </w:tc>
      </w:tr>
    </w:tbl>
    <w:p>
      <w:pPr>
        <w:sectPr>
          <w:pgSz w:w="11900" w:h="16838" w:orient="portrait"/>
          <w:cols w:equalWidth="0" w:num="1">
            <w:col w:w="9480"/>
          </w:cols>
          <w:pgMar w:left="1120" w:top="364" w:right="129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GENERAL INFORMATION</w:t>
      </w:r>
    </w:p>
    <w:p>
      <w:pPr>
        <w:spacing w:after="0" w:line="202"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This Proxy Statement and the accompanying proxy card are being furnished to you in connection with the 2018 Annual Meeting of Shareholders (the “Annual Meeting”) of EchoStar Corporation (“EchoStar,” “we,” “us,” “our” or the “Corporation”). The purpose of the Annual Meeting is to (i) elect eight directors to our Board of Directors (the “Board” or “Board of Directors”) and (ii) ratify KPMG LLP as our independent registered public accounting firm for the fiscal year ending December 31, 2018. Your proxy is being solicited by our Board of Directors. The Board is currently not aware of any other matters proposed to be presented at the Annual Meeting.</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 Time and Place</w:t>
      </w:r>
    </w:p>
    <w:p>
      <w:pPr>
        <w:spacing w:after="0" w:line="20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Annual Meeting will be held on Monday, April 30, 2018, at 11:00 a.m., local time, at the Corporation’s headquarters located at 100 Inverness Terrace East, Englewood, Colorado 80112.</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Entitled to Vote</w:t>
      </w:r>
    </w:p>
    <w:p>
      <w:pPr>
        <w:spacing w:after="0" w:line="202"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This Proxy Statement is being sent or provided on or about March 20, 2018, to holders of record at the close of business on March 2, 2018 (the “Record Date”) of our Class A common stock, par value $0.001 per share (the “Class A Shares”) and our Class B common stock, par value $0.001 per share (the “Class B Shares”). Only shareholders of record at the close of business on the Record Date are entitled to notice of, and to vote at, the Annual Meeting or any adjournment or postponement of the Annual Meeting.</w:t>
      </w:r>
    </w:p>
    <w:p>
      <w:pPr>
        <w:spacing w:after="0" w:line="175" w:lineRule="exact"/>
        <w:rPr>
          <w:sz w:val="20"/>
          <w:szCs w:val="20"/>
          <w:color w:val="auto"/>
        </w:rPr>
      </w:pPr>
    </w:p>
    <w:p>
      <w:pPr>
        <w:jc w:val="both"/>
        <w:spacing w:after="0"/>
        <w:rPr>
          <w:sz w:val="20"/>
          <w:szCs w:val="20"/>
          <w:color w:val="auto"/>
        </w:rPr>
      </w:pPr>
      <w:r>
        <w:rPr>
          <w:rFonts w:ascii="Arial" w:cs="Arial" w:eastAsia="Arial" w:hAnsi="Arial"/>
          <w:sz w:val="18"/>
          <w:szCs w:val="18"/>
          <w:color w:val="auto"/>
        </w:rPr>
        <w:t>If your shares are registered directly in your name with us or with our transfer agent, Computershare Trust Company, N.A., you are considered the “shareholder of record,” with respect to those shares. Shareholders of record receive this Proxy Statement and the accompanying Annual Report and the proxy card directly from us. If your shares are held in a stock brokerage account or by a bank or other nominee, you are considered the “beneficial owner” with respect to those shares. Your broker, bank or other nominee, who is considered the shareholder of record for such shares, should have forwarded the Notice of Internet Availability of Proxy Materials to you. As the beneficial owner, you have the right to direct your broker, bank or other nominee on how to vote your shares by completing the voting instruction form.</w:t>
      </w:r>
    </w:p>
    <w:p>
      <w:pPr>
        <w:spacing w:after="0" w:line="176"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At the close of business on the Record Date, 48,209,476 Class A Shares and 47,687,039 Class B Shares were outstanding. Each of the Class A Shares is entitled to one vote per share on each proposal to be considered by our shareholders. Each of the Class B Shares is entitled to ten votes per share on each proposal to be considered by our shareholders.</w:t>
      </w:r>
    </w:p>
    <w:p>
      <w:pPr>
        <w:spacing w:after="0" w:line="169"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A complete record of the shareholders entitled to vote at the Annual Meeting will be available at our headquarters at 100 Inverness Terrace East, Englewood, Colorado 80112 for inspection by any shareholder for any purpose germane to the Annual Meeting, for a period of ten (10) days prior to the Annual Meeting during normal business hours, and at any time during the Annual Meeting.</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of Proxies</w:t>
      </w:r>
    </w:p>
    <w:p>
      <w:pPr>
        <w:spacing w:after="0" w:line="202"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To vote online or by telephone, please refer to the instructions included with the accompanying proxy card. To vote by mail, please complete the proxy card and return it to us as instructed in the proxy card. Votes submitted online or by telephone must be received by 11:59 p.m., Eastern Time, on Sunday, April 29, 2018. Votes submitted by mail must be received by 11:59 p.m., Eastern Time, on Friday, April 27, 2018. Submitting your vote online or by telephone or mail will not affect your right to vote in person, if you choose to do so. Proxies that are properly delivered to us and not revoked before the closing of the polls during the Annual Meeting will be voted for the proposals described in this Proxy Statement in accordance with the instructions set forth in those proxies. If any other matter is properly presented at the Annual Meeting, the persons named in the accompanying proxy card will have discretionary authority to vote on that matter. If your shares are held in a stock brokerage account or by a bank or other nominee, please follow the instructions you receive from your broker, bank or other nominee in order to vote your shares.</w:t>
      </w:r>
    </w:p>
    <w:p>
      <w:pPr>
        <w:spacing w:after="0" w:line="168"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Your proxy may be revoked by giving written notice of the revocation of your proxy to our Corporate Secretary, Dean A. Manson, at our headquarters located at 100 Inverness Terrace East, Englewood, Colorado 80112, at any time prior to the Annual Meeting. You may also revoke your proxy by submitting a proxy with a later date than your original proxy or by voting in person at the Annual Meeting. Your presence at the Annual Meeting does not by itself revoke your proxy.</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364"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Attendance at the Meeting</w:t>
      </w:r>
    </w:p>
    <w:p>
      <w:pPr>
        <w:spacing w:after="0" w:line="20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All of our shareholders of record at the close of business on the Record Date, or their duly appointed proxies, may attend the Annual Meeting. Seating is limited, however, and admission to the Annual Meeting will be on a first-come, first-served basis. Registration and seating will begin at 10:45 a.m., local time, and the Annual Meeting will begin at 11:00 a.m., local time, on Monday, April 30, 2018. Each shareholder may be asked to present a valid government-issued photo identification, such as a driver’s license or passport, and proof of his or her share ownership as of the Record Date. Examples of proof of ownership include a legal proxy or a copy of a brokerage or bank statement reflecting your share ownership as of the Record Date. The use of cameras, recording devices, and other electronic devices will not be permitted at the Annual Meeting. All shareholders must check in at the registration desk at the Annual Meeting.</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Quorum</w:t>
      </w:r>
    </w:p>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In accordance with our Articles of Incorporation (as amended, our “Articles of Incorporation”), the presence at the Annual Meeting, in person or by proxy, of the holders of a majority of the total voting power of all classes of our voting stock taken together shall constitute a quorum for the transaction of business at the Annual Meeting. Abstentions from voting on a proposal by a shareholder at the Annual Meeting, as well as broker nonvotes, will be considered for purposes of determining the number of total votes present at the Annual Meeting in order to determine whether a quorum is present.</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w:t>
      </w:r>
    </w:p>
    <w:p>
      <w:pPr>
        <w:spacing w:after="0" w:line="202"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The affirmative vote of a plurality of the total votes cast for directors at the Annual Meeting is necessary to elect a director (Proposal 1). No cumulative voting is permitted. The eight nominees receiving the highest number of votes cast “for” the nominee will be elected.</w:t>
      </w:r>
    </w:p>
    <w:p>
      <w:pPr>
        <w:spacing w:after="0" w:line="156"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affirmative vote of a majority of the voting power represented at the Annual Meeting is necessary to ratify the appointment of KPMG LLP as our independent registered public accounting firm for the fiscal year ended December 31, 2018 (Proposal 2). The total number of votes cast “for” the proposal will be counted for purposes of determining whether sufficient votes have been cast to approve the proposal.</w:t>
      </w:r>
    </w:p>
    <w:p>
      <w:pPr>
        <w:spacing w:after="0" w:line="169"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b w:val="1"/>
          <w:bCs w:val="1"/>
          <w:i w:val="1"/>
          <w:iCs w:val="1"/>
          <w:color w:val="auto"/>
        </w:rPr>
        <w:t>Treatment of Abstentions and Broker Nonvotes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Abstentions from voting on a proposal by a shareholder at the Annual Meeting, as well as broker nonvotes,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will be considered for purposes of determining the number of total votes present at the Annual Meeting.</w:t>
      </w:r>
    </w:p>
    <w:p>
      <w:pPr>
        <w:spacing w:after="0" w:line="15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Abstentions will have the same effect as votes “against” the ratification of the appointment of KPMG LLP as our independent registered public accounting firm. However, abstentions will not be counted as “against” or “for” the election of directors.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Broker nonvotes will have no effect in determining the election of directors.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Householding</w:t>
      </w:r>
    </w:p>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We have adopted a procedure approved by the Securities and Exchange Commission (“SEC”) called “householding” whereby multiple shareholders sharing the same address may receive a single copy of our Annual Report, Proxy Statement or Notice of Internet Availability of Proxy Materials, unless one or more of these shareholders notifies Broadridge Financial Solutions at the address or telephone number below that they wish to continue receiving individual copies, in which case we will deliver promptly a separate copy of our Annual Report, Proxy Statement or Notice of Internet Availability of Proxy Materials, as applicable, to each such shareholder. Shareholders who participate in householding will continue to receive separate proxy cards.</w:t>
      </w:r>
    </w:p>
    <w:p>
      <w:pPr>
        <w:spacing w:after="0" w:line="146"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If you are eligible for householding, but you and other shareholders with whom you share an address currently receive multiple copies of our Annual Report, Proxy Statement and/or Notice of Internet Availability of Proxy Materials, or if you hold stock in more than one account, and in either case you wish to receive only a single copy of our Annual Report, Proxy Statement or Notice of Internet Availability of Proxy Materials for your household, please contact Broadridge Financial Solutions at 51 Mercedes Way, Edgewood, NY 11717 or (800) 542-1061.</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364"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PROPOSAL 1 — ELECTION OF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Nominees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shareholders will elect a Board of eight directors at the Annual Meeting. Each of the directors is expected to hold office until the next annual meeting of our shareholders or until his respective successor shall be duly elected and qualified. Each nominee has consented to his nomination and has advised us that he intends to serve if elected. If at the time of the Annual Meeting one or more of the nominees has become unable to serve: (i) shares represented by proxies will be voted for the remaining nominees and for any substitute nominee or nominees selected and recommended by the Board of Directors to fill the vacancy or (ii) the Board of Directors may, in accordance with our bylaws, reduce the size of the Board of Directors or may leave a vacancy until a nominee is identified.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40" w:type="dxa"/>
            <w:vAlign w:val="bottom"/>
            <w:gridSpan w:val="3"/>
          </w:tcPr>
          <w:p>
            <w:pPr>
              <w:spacing w:after="0"/>
              <w:rPr>
                <w:sz w:val="20"/>
                <w:szCs w:val="20"/>
                <w:color w:val="auto"/>
              </w:rPr>
            </w:pPr>
            <w:r>
              <w:rPr>
                <w:rFonts w:ascii="Arial" w:cs="Arial" w:eastAsia="Arial" w:hAnsi="Arial"/>
                <w:sz w:val="18"/>
                <w:szCs w:val="18"/>
                <w:color w:val="auto"/>
                <w:w w:val="95"/>
              </w:rPr>
              <w:t>The nominees for director are as follows:</w:t>
            </w: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780" w:type="dxa"/>
            <w:vAlign w:val="bottom"/>
          </w:tcPr>
          <w:p>
            <w:pPr>
              <w:spacing w:after="0"/>
              <w:rPr>
                <w:sz w:val="20"/>
                <w:szCs w:val="20"/>
                <w:color w:val="auto"/>
              </w:rPr>
            </w:pPr>
          </w:p>
        </w:tc>
      </w:tr>
      <w:tr>
        <w:trPr>
          <w:trHeight w:val="378"/>
        </w:trPr>
        <w:tc>
          <w:tcPr>
            <w:tcW w:w="3140" w:type="dxa"/>
            <w:vAlign w:val="bottom"/>
            <w:gridSpan w:val="3"/>
          </w:tcPr>
          <w:p>
            <w:pPr>
              <w:ind w:left="40"/>
              <w:spacing w:after="0"/>
              <w:rPr>
                <w:sz w:val="20"/>
                <w:szCs w:val="20"/>
                <w:color w:val="auto"/>
              </w:rPr>
            </w:pPr>
            <w:r>
              <w:rPr>
                <w:rFonts w:ascii="Arial" w:cs="Arial" w:eastAsia="Arial" w:hAnsi="Arial"/>
                <w:sz w:val="18"/>
                <w:szCs w:val="18"/>
                <w:b w:val="1"/>
                <w:bCs w:val="1"/>
                <w:color w:val="auto"/>
              </w:rPr>
              <w:t>Name</w:t>
            </w:r>
          </w:p>
        </w:tc>
        <w:tc>
          <w:tcPr>
            <w:tcW w:w="1240" w:type="dxa"/>
            <w:vAlign w:val="bottom"/>
            <w:gridSpan w:val="2"/>
          </w:tcPr>
          <w:p>
            <w:pPr>
              <w:jc w:val="center"/>
              <w:ind w:right="620"/>
              <w:spacing w:after="0"/>
              <w:rPr>
                <w:sz w:val="20"/>
                <w:szCs w:val="20"/>
                <w:color w:val="auto"/>
              </w:rPr>
            </w:pPr>
            <w:r>
              <w:rPr>
                <w:rFonts w:ascii="Arial" w:cs="Arial" w:eastAsia="Arial" w:hAnsi="Arial"/>
                <w:sz w:val="18"/>
                <w:szCs w:val="18"/>
                <w:b w:val="1"/>
                <w:bCs w:val="1"/>
                <w:color w:val="auto"/>
                <w:w w:val="88"/>
              </w:rPr>
              <w:t>Age</w:t>
            </w:r>
          </w:p>
        </w:tc>
        <w:tc>
          <w:tcPr>
            <w:tcW w:w="22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First Became Director</w:t>
            </w:r>
          </w:p>
        </w:tc>
        <w:tc>
          <w:tcPr>
            <w:tcW w:w="4780" w:type="dxa"/>
            <w:vAlign w:val="bottom"/>
          </w:tcPr>
          <w:p>
            <w:pPr>
              <w:ind w:left="1240"/>
              <w:spacing w:after="0"/>
              <w:rPr>
                <w:sz w:val="20"/>
                <w:szCs w:val="20"/>
                <w:color w:val="auto"/>
              </w:rPr>
            </w:pPr>
            <w:r>
              <w:rPr>
                <w:rFonts w:ascii="Arial" w:cs="Arial" w:eastAsia="Arial" w:hAnsi="Arial"/>
                <w:sz w:val="18"/>
                <w:szCs w:val="18"/>
                <w:b w:val="1"/>
                <w:bCs w:val="1"/>
                <w:color w:val="auto"/>
              </w:rPr>
              <w:t>Position with the Corporation</w:t>
            </w:r>
          </w:p>
        </w:tc>
      </w:tr>
      <w:tr>
        <w:trPr>
          <w:trHeight w:val="27"/>
        </w:trPr>
        <w:tc>
          <w:tcPr>
            <w:tcW w:w="2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780" w:type="dxa"/>
            <w:vAlign w:val="bottom"/>
            <w:tcBorders>
              <w:bottom w:val="single" w:sz="8" w:color="auto"/>
            </w:tcBorders>
          </w:tcPr>
          <w:p>
            <w:pPr>
              <w:spacing w:after="0"/>
              <w:rPr>
                <w:sz w:val="2"/>
                <w:szCs w:val="2"/>
                <w:color w:val="auto"/>
              </w:rPr>
            </w:pPr>
          </w:p>
        </w:tc>
      </w:tr>
      <w:tr>
        <w:trPr>
          <w:trHeight w:val="244"/>
        </w:trPr>
        <w:tc>
          <w:tcPr>
            <w:tcW w:w="31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Charles W. Ergen</w:t>
            </w:r>
          </w:p>
        </w:tc>
        <w:tc>
          <w:tcPr>
            <w:tcW w:w="1100" w:type="dxa"/>
            <w:vAlign w:val="bottom"/>
            <w:tcBorders>
              <w:bottom w:val="single" w:sz="8" w:color="CCEEFF"/>
            </w:tcBorders>
            <w:shd w:val="clear" w:color="auto" w:fill="CCEEFF"/>
          </w:tcPr>
          <w:p>
            <w:pPr>
              <w:jc w:val="center"/>
              <w:ind w:right="390"/>
              <w:spacing w:after="0"/>
              <w:rPr>
                <w:sz w:val="20"/>
                <w:szCs w:val="20"/>
                <w:color w:val="auto"/>
              </w:rPr>
            </w:pPr>
            <w:r>
              <w:rPr>
                <w:rFonts w:ascii="Arial" w:cs="Arial" w:eastAsia="Arial" w:hAnsi="Arial"/>
                <w:sz w:val="18"/>
                <w:szCs w:val="18"/>
                <w:color w:val="auto"/>
                <w:w w:val="89"/>
              </w:rPr>
              <w:t>65</w:t>
            </w:r>
          </w:p>
        </w:tc>
        <w:tc>
          <w:tcPr>
            <w:tcW w:w="14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2007</w:t>
            </w:r>
          </w:p>
        </w:tc>
        <w:tc>
          <w:tcPr>
            <w:tcW w:w="100" w:type="dxa"/>
            <w:vAlign w:val="bottom"/>
            <w:tcBorders>
              <w:bottom w:val="single" w:sz="8" w:color="CCEEFF"/>
            </w:tcBorders>
            <w:shd w:val="clear" w:color="auto" w:fill="CCEEFF"/>
          </w:tcPr>
          <w:p>
            <w:pPr>
              <w:spacing w:after="0"/>
              <w:rPr>
                <w:sz w:val="21"/>
                <w:szCs w:val="21"/>
                <w:color w:val="auto"/>
              </w:rPr>
            </w:pPr>
          </w:p>
        </w:tc>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Chairman</w:t>
            </w:r>
          </w:p>
        </w:tc>
      </w:tr>
      <w:tr>
        <w:trPr>
          <w:trHeight w:val="243"/>
        </w:trPr>
        <w:tc>
          <w:tcPr>
            <w:tcW w:w="3140" w:type="dxa"/>
            <w:vAlign w:val="bottom"/>
            <w:gridSpan w:val="3"/>
          </w:tcPr>
          <w:p>
            <w:pPr>
              <w:ind w:left="40"/>
              <w:spacing w:after="0"/>
              <w:rPr>
                <w:sz w:val="20"/>
                <w:szCs w:val="20"/>
                <w:color w:val="auto"/>
              </w:rPr>
            </w:pPr>
            <w:r>
              <w:rPr>
                <w:rFonts w:ascii="Arial" w:cs="Arial" w:eastAsia="Arial" w:hAnsi="Arial"/>
                <w:sz w:val="18"/>
                <w:szCs w:val="18"/>
                <w:color w:val="auto"/>
              </w:rPr>
              <w:t>Michael T. Dugan</w:t>
            </w:r>
          </w:p>
        </w:tc>
        <w:tc>
          <w:tcPr>
            <w:tcW w:w="1100" w:type="dxa"/>
            <w:vAlign w:val="bottom"/>
          </w:tcPr>
          <w:p>
            <w:pPr>
              <w:jc w:val="center"/>
              <w:ind w:right="390"/>
              <w:spacing w:after="0"/>
              <w:rPr>
                <w:sz w:val="20"/>
                <w:szCs w:val="20"/>
                <w:color w:val="auto"/>
              </w:rPr>
            </w:pPr>
            <w:r>
              <w:rPr>
                <w:rFonts w:ascii="Arial" w:cs="Arial" w:eastAsia="Arial" w:hAnsi="Arial"/>
                <w:sz w:val="18"/>
                <w:szCs w:val="18"/>
                <w:color w:val="auto"/>
                <w:w w:val="89"/>
              </w:rPr>
              <w:t>69</w:t>
            </w:r>
          </w:p>
        </w:tc>
        <w:tc>
          <w:tcPr>
            <w:tcW w:w="140" w:type="dxa"/>
            <w:vAlign w:val="bottom"/>
          </w:tcPr>
          <w:p>
            <w:pPr>
              <w:spacing w:after="0"/>
              <w:rPr>
                <w:sz w:val="21"/>
                <w:szCs w:val="21"/>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89"/>
              </w:rPr>
              <w:t>2007</w:t>
            </w:r>
          </w:p>
        </w:tc>
        <w:tc>
          <w:tcPr>
            <w:tcW w:w="100" w:type="dxa"/>
            <w:vAlign w:val="bottom"/>
          </w:tcPr>
          <w:p>
            <w:pPr>
              <w:spacing w:after="0"/>
              <w:rPr>
                <w:sz w:val="21"/>
                <w:szCs w:val="21"/>
                <w:color w:val="auto"/>
              </w:rPr>
            </w:pPr>
          </w:p>
        </w:tc>
        <w:tc>
          <w:tcPr>
            <w:tcW w:w="4780" w:type="dxa"/>
            <w:vAlign w:val="bottom"/>
          </w:tcPr>
          <w:p>
            <w:pPr>
              <w:ind w:left="20"/>
              <w:spacing w:after="0"/>
              <w:rPr>
                <w:sz w:val="20"/>
                <w:szCs w:val="20"/>
                <w:color w:val="auto"/>
              </w:rPr>
            </w:pPr>
            <w:r>
              <w:rPr>
                <w:rFonts w:ascii="Arial" w:cs="Arial" w:eastAsia="Arial" w:hAnsi="Arial"/>
                <w:sz w:val="18"/>
                <w:szCs w:val="18"/>
                <w:color w:val="auto"/>
              </w:rPr>
              <w:t>Director, Chief Executive Officer and President</w:t>
            </w:r>
          </w:p>
        </w:tc>
      </w:tr>
      <w:tr>
        <w:trPr>
          <w:trHeight w:val="27"/>
        </w:trPr>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780" w:type="dxa"/>
            <w:vAlign w:val="bottom"/>
          </w:tcPr>
          <w:p>
            <w:pPr>
              <w:spacing w:after="0"/>
              <w:rPr>
                <w:sz w:val="2"/>
                <w:szCs w:val="2"/>
                <w:color w:val="auto"/>
              </w:rPr>
            </w:pPr>
          </w:p>
        </w:tc>
      </w:tr>
      <w:tr>
        <w:trPr>
          <w:trHeight w:val="250"/>
        </w:trPr>
        <w:tc>
          <w:tcPr>
            <w:tcW w:w="31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 Stanton Dodge</w:t>
            </w:r>
          </w:p>
        </w:tc>
        <w:tc>
          <w:tcPr>
            <w:tcW w:w="1100" w:type="dxa"/>
            <w:vAlign w:val="bottom"/>
            <w:tcBorders>
              <w:bottom w:val="single" w:sz="8" w:color="CCEEFF"/>
            </w:tcBorders>
            <w:shd w:val="clear" w:color="auto" w:fill="CCEEFF"/>
          </w:tcPr>
          <w:p>
            <w:pPr>
              <w:jc w:val="center"/>
              <w:ind w:right="390"/>
              <w:spacing w:after="0"/>
              <w:rPr>
                <w:sz w:val="20"/>
                <w:szCs w:val="20"/>
                <w:color w:val="auto"/>
              </w:rPr>
            </w:pPr>
            <w:r>
              <w:rPr>
                <w:rFonts w:ascii="Arial" w:cs="Arial" w:eastAsia="Arial" w:hAnsi="Arial"/>
                <w:sz w:val="18"/>
                <w:szCs w:val="18"/>
                <w:color w:val="auto"/>
                <w:w w:val="89"/>
              </w:rPr>
              <w:t>50</w:t>
            </w:r>
          </w:p>
        </w:tc>
        <w:tc>
          <w:tcPr>
            <w:tcW w:w="14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2009</w:t>
            </w:r>
          </w:p>
        </w:tc>
        <w:tc>
          <w:tcPr>
            <w:tcW w:w="100" w:type="dxa"/>
            <w:vAlign w:val="bottom"/>
            <w:tcBorders>
              <w:bottom w:val="single" w:sz="8" w:color="CCEEFF"/>
            </w:tcBorders>
            <w:shd w:val="clear" w:color="auto" w:fill="CCEEFF"/>
          </w:tcPr>
          <w:p>
            <w:pPr>
              <w:spacing w:after="0"/>
              <w:rPr>
                <w:sz w:val="21"/>
                <w:szCs w:val="21"/>
                <w:color w:val="auto"/>
              </w:rPr>
            </w:pPr>
          </w:p>
        </w:tc>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Director</w:t>
            </w:r>
          </w:p>
        </w:tc>
      </w:tr>
      <w:tr>
        <w:trPr>
          <w:trHeight w:val="243"/>
        </w:trPr>
        <w:tc>
          <w:tcPr>
            <w:tcW w:w="3140" w:type="dxa"/>
            <w:vAlign w:val="bottom"/>
            <w:gridSpan w:val="3"/>
          </w:tcPr>
          <w:p>
            <w:pPr>
              <w:ind w:left="40"/>
              <w:spacing w:after="0"/>
              <w:rPr>
                <w:sz w:val="20"/>
                <w:szCs w:val="20"/>
                <w:color w:val="auto"/>
              </w:rPr>
            </w:pPr>
            <w:r>
              <w:rPr>
                <w:rFonts w:ascii="Arial" w:cs="Arial" w:eastAsia="Arial" w:hAnsi="Arial"/>
                <w:sz w:val="18"/>
                <w:szCs w:val="18"/>
                <w:color w:val="auto"/>
              </w:rPr>
              <w:t>Anthony M. Federico</w:t>
            </w:r>
          </w:p>
        </w:tc>
        <w:tc>
          <w:tcPr>
            <w:tcW w:w="1100" w:type="dxa"/>
            <w:vAlign w:val="bottom"/>
          </w:tcPr>
          <w:p>
            <w:pPr>
              <w:jc w:val="center"/>
              <w:ind w:right="390"/>
              <w:spacing w:after="0"/>
              <w:rPr>
                <w:sz w:val="20"/>
                <w:szCs w:val="20"/>
                <w:color w:val="auto"/>
              </w:rPr>
            </w:pPr>
            <w:r>
              <w:rPr>
                <w:rFonts w:ascii="Arial" w:cs="Arial" w:eastAsia="Arial" w:hAnsi="Arial"/>
                <w:sz w:val="18"/>
                <w:szCs w:val="18"/>
                <w:color w:val="auto"/>
                <w:w w:val="89"/>
              </w:rPr>
              <w:t>70</w:t>
            </w:r>
          </w:p>
        </w:tc>
        <w:tc>
          <w:tcPr>
            <w:tcW w:w="140" w:type="dxa"/>
            <w:vAlign w:val="bottom"/>
          </w:tcPr>
          <w:p>
            <w:pPr>
              <w:spacing w:after="0"/>
              <w:rPr>
                <w:sz w:val="21"/>
                <w:szCs w:val="21"/>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84"/>
              </w:rPr>
              <w:t>2011</w:t>
            </w:r>
          </w:p>
        </w:tc>
        <w:tc>
          <w:tcPr>
            <w:tcW w:w="100" w:type="dxa"/>
            <w:vAlign w:val="bottom"/>
          </w:tcPr>
          <w:p>
            <w:pPr>
              <w:spacing w:after="0"/>
              <w:rPr>
                <w:sz w:val="21"/>
                <w:szCs w:val="21"/>
                <w:color w:val="auto"/>
              </w:rPr>
            </w:pPr>
          </w:p>
        </w:tc>
        <w:tc>
          <w:tcPr>
            <w:tcW w:w="478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7"/>
        </w:trPr>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780" w:type="dxa"/>
            <w:vAlign w:val="bottom"/>
          </w:tcPr>
          <w:p>
            <w:pPr>
              <w:spacing w:after="0"/>
              <w:rPr>
                <w:sz w:val="2"/>
                <w:szCs w:val="2"/>
                <w:color w:val="auto"/>
              </w:rPr>
            </w:pPr>
          </w:p>
        </w:tc>
      </w:tr>
      <w:tr>
        <w:trPr>
          <w:trHeight w:val="250"/>
        </w:trPr>
        <w:tc>
          <w:tcPr>
            <w:tcW w:w="31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Pradman P. Kaul</w:t>
            </w:r>
          </w:p>
        </w:tc>
        <w:tc>
          <w:tcPr>
            <w:tcW w:w="1100" w:type="dxa"/>
            <w:vAlign w:val="bottom"/>
            <w:tcBorders>
              <w:bottom w:val="single" w:sz="8" w:color="CCEEFF"/>
            </w:tcBorders>
            <w:shd w:val="clear" w:color="auto" w:fill="CCEEFF"/>
          </w:tcPr>
          <w:p>
            <w:pPr>
              <w:jc w:val="center"/>
              <w:ind w:right="390"/>
              <w:spacing w:after="0"/>
              <w:rPr>
                <w:sz w:val="20"/>
                <w:szCs w:val="20"/>
                <w:color w:val="auto"/>
              </w:rPr>
            </w:pPr>
            <w:r>
              <w:rPr>
                <w:rFonts w:ascii="Arial" w:cs="Arial" w:eastAsia="Arial" w:hAnsi="Arial"/>
                <w:sz w:val="18"/>
                <w:szCs w:val="18"/>
                <w:color w:val="auto"/>
                <w:w w:val="89"/>
              </w:rPr>
              <w:t>71</w:t>
            </w:r>
          </w:p>
        </w:tc>
        <w:tc>
          <w:tcPr>
            <w:tcW w:w="14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4"/>
              </w:rPr>
              <w:t>2011</w:t>
            </w:r>
          </w:p>
        </w:tc>
        <w:tc>
          <w:tcPr>
            <w:tcW w:w="100" w:type="dxa"/>
            <w:vAlign w:val="bottom"/>
            <w:tcBorders>
              <w:bottom w:val="single" w:sz="8" w:color="CCEEFF"/>
            </w:tcBorders>
            <w:shd w:val="clear" w:color="auto" w:fill="CCEEFF"/>
          </w:tcPr>
          <w:p>
            <w:pPr>
              <w:spacing w:after="0"/>
              <w:rPr>
                <w:sz w:val="21"/>
                <w:szCs w:val="21"/>
                <w:color w:val="auto"/>
              </w:rPr>
            </w:pPr>
          </w:p>
        </w:tc>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Director and President, Hughes Communications, Inc.</w:t>
            </w:r>
          </w:p>
        </w:tc>
      </w:tr>
      <w:tr>
        <w:trPr>
          <w:trHeight w:val="243"/>
        </w:trPr>
        <w:tc>
          <w:tcPr>
            <w:tcW w:w="3140" w:type="dxa"/>
            <w:vAlign w:val="bottom"/>
            <w:gridSpan w:val="3"/>
          </w:tcPr>
          <w:p>
            <w:pPr>
              <w:ind w:left="40"/>
              <w:spacing w:after="0"/>
              <w:rPr>
                <w:sz w:val="20"/>
                <w:szCs w:val="20"/>
                <w:color w:val="auto"/>
              </w:rPr>
            </w:pPr>
            <w:r>
              <w:rPr>
                <w:rFonts w:ascii="Arial" w:cs="Arial" w:eastAsia="Arial" w:hAnsi="Arial"/>
                <w:sz w:val="18"/>
                <w:szCs w:val="18"/>
                <w:color w:val="auto"/>
              </w:rPr>
              <w:t>Tom A. Ortolf</w:t>
            </w:r>
          </w:p>
        </w:tc>
        <w:tc>
          <w:tcPr>
            <w:tcW w:w="1100" w:type="dxa"/>
            <w:vAlign w:val="bottom"/>
          </w:tcPr>
          <w:p>
            <w:pPr>
              <w:jc w:val="center"/>
              <w:ind w:right="390"/>
              <w:spacing w:after="0"/>
              <w:rPr>
                <w:sz w:val="20"/>
                <w:szCs w:val="20"/>
                <w:color w:val="auto"/>
              </w:rPr>
            </w:pPr>
            <w:r>
              <w:rPr>
                <w:rFonts w:ascii="Arial" w:cs="Arial" w:eastAsia="Arial" w:hAnsi="Arial"/>
                <w:sz w:val="18"/>
                <w:szCs w:val="18"/>
                <w:color w:val="auto"/>
                <w:w w:val="89"/>
              </w:rPr>
              <w:t>67</w:t>
            </w:r>
          </w:p>
        </w:tc>
        <w:tc>
          <w:tcPr>
            <w:tcW w:w="140" w:type="dxa"/>
            <w:vAlign w:val="bottom"/>
          </w:tcPr>
          <w:p>
            <w:pPr>
              <w:spacing w:after="0"/>
              <w:rPr>
                <w:sz w:val="21"/>
                <w:szCs w:val="21"/>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89"/>
              </w:rPr>
              <w:t>2007</w:t>
            </w:r>
          </w:p>
        </w:tc>
        <w:tc>
          <w:tcPr>
            <w:tcW w:w="100" w:type="dxa"/>
            <w:vAlign w:val="bottom"/>
          </w:tcPr>
          <w:p>
            <w:pPr>
              <w:spacing w:after="0"/>
              <w:rPr>
                <w:sz w:val="21"/>
                <w:szCs w:val="21"/>
                <w:color w:val="auto"/>
              </w:rPr>
            </w:pPr>
          </w:p>
        </w:tc>
        <w:tc>
          <w:tcPr>
            <w:tcW w:w="478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7"/>
        </w:trPr>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780" w:type="dxa"/>
            <w:vAlign w:val="bottom"/>
          </w:tcPr>
          <w:p>
            <w:pPr>
              <w:spacing w:after="0"/>
              <w:rPr>
                <w:sz w:val="2"/>
                <w:szCs w:val="2"/>
                <w:color w:val="auto"/>
              </w:rPr>
            </w:pPr>
          </w:p>
        </w:tc>
      </w:tr>
      <w:tr>
        <w:trPr>
          <w:trHeight w:val="250"/>
        </w:trPr>
        <w:tc>
          <w:tcPr>
            <w:tcW w:w="31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 Michael Schroeder</w:t>
            </w:r>
          </w:p>
        </w:tc>
        <w:tc>
          <w:tcPr>
            <w:tcW w:w="1100" w:type="dxa"/>
            <w:vAlign w:val="bottom"/>
            <w:tcBorders>
              <w:bottom w:val="single" w:sz="8" w:color="CCEEFF"/>
            </w:tcBorders>
            <w:shd w:val="clear" w:color="auto" w:fill="CCEEFF"/>
          </w:tcPr>
          <w:p>
            <w:pPr>
              <w:jc w:val="center"/>
              <w:ind w:right="390"/>
              <w:spacing w:after="0"/>
              <w:rPr>
                <w:sz w:val="20"/>
                <w:szCs w:val="20"/>
                <w:color w:val="auto"/>
              </w:rPr>
            </w:pPr>
            <w:r>
              <w:rPr>
                <w:rFonts w:ascii="Arial" w:cs="Arial" w:eastAsia="Arial" w:hAnsi="Arial"/>
                <w:sz w:val="18"/>
                <w:szCs w:val="18"/>
                <w:color w:val="auto"/>
                <w:w w:val="89"/>
              </w:rPr>
              <w:t>69</w:t>
            </w:r>
          </w:p>
        </w:tc>
        <w:tc>
          <w:tcPr>
            <w:tcW w:w="14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2007</w:t>
            </w:r>
          </w:p>
        </w:tc>
        <w:tc>
          <w:tcPr>
            <w:tcW w:w="100" w:type="dxa"/>
            <w:vAlign w:val="bottom"/>
            <w:tcBorders>
              <w:bottom w:val="single" w:sz="8" w:color="CCEEFF"/>
            </w:tcBorders>
            <w:shd w:val="clear" w:color="auto" w:fill="CCEEFF"/>
          </w:tcPr>
          <w:p>
            <w:pPr>
              <w:spacing w:after="0"/>
              <w:rPr>
                <w:sz w:val="21"/>
                <w:szCs w:val="21"/>
                <w:color w:val="auto"/>
              </w:rPr>
            </w:pPr>
          </w:p>
        </w:tc>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Director</w:t>
            </w:r>
          </w:p>
        </w:tc>
      </w:tr>
      <w:tr>
        <w:trPr>
          <w:trHeight w:val="243"/>
        </w:trPr>
        <w:tc>
          <w:tcPr>
            <w:tcW w:w="3140" w:type="dxa"/>
            <w:vAlign w:val="bottom"/>
            <w:gridSpan w:val="3"/>
          </w:tcPr>
          <w:p>
            <w:pPr>
              <w:ind w:left="40"/>
              <w:spacing w:after="0"/>
              <w:rPr>
                <w:sz w:val="20"/>
                <w:szCs w:val="20"/>
                <w:color w:val="auto"/>
              </w:rPr>
            </w:pPr>
            <w:r>
              <w:rPr>
                <w:rFonts w:ascii="Arial" w:cs="Arial" w:eastAsia="Arial" w:hAnsi="Arial"/>
                <w:sz w:val="18"/>
                <w:szCs w:val="18"/>
                <w:color w:val="auto"/>
              </w:rPr>
              <w:t>William David Wade</w:t>
            </w:r>
          </w:p>
        </w:tc>
        <w:tc>
          <w:tcPr>
            <w:tcW w:w="1100" w:type="dxa"/>
            <w:vAlign w:val="bottom"/>
          </w:tcPr>
          <w:p>
            <w:pPr>
              <w:jc w:val="center"/>
              <w:ind w:right="390"/>
              <w:spacing w:after="0"/>
              <w:rPr>
                <w:sz w:val="20"/>
                <w:szCs w:val="20"/>
                <w:color w:val="auto"/>
              </w:rPr>
            </w:pPr>
            <w:r>
              <w:rPr>
                <w:rFonts w:ascii="Arial" w:cs="Arial" w:eastAsia="Arial" w:hAnsi="Arial"/>
                <w:sz w:val="18"/>
                <w:szCs w:val="18"/>
                <w:color w:val="auto"/>
                <w:w w:val="89"/>
              </w:rPr>
              <w:t>61</w:t>
            </w:r>
          </w:p>
        </w:tc>
        <w:tc>
          <w:tcPr>
            <w:tcW w:w="140" w:type="dxa"/>
            <w:vAlign w:val="bottom"/>
          </w:tcPr>
          <w:p>
            <w:pPr>
              <w:spacing w:after="0"/>
              <w:rPr>
                <w:sz w:val="21"/>
                <w:szCs w:val="21"/>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89"/>
              </w:rPr>
              <w:t>2017</w:t>
            </w:r>
          </w:p>
        </w:tc>
        <w:tc>
          <w:tcPr>
            <w:tcW w:w="100" w:type="dxa"/>
            <w:vAlign w:val="bottom"/>
          </w:tcPr>
          <w:p>
            <w:pPr>
              <w:spacing w:after="0"/>
              <w:rPr>
                <w:sz w:val="21"/>
                <w:szCs w:val="21"/>
                <w:color w:val="auto"/>
              </w:rPr>
            </w:pPr>
          </w:p>
        </w:tc>
        <w:tc>
          <w:tcPr>
            <w:tcW w:w="4780" w:type="dxa"/>
            <w:vAlign w:val="bottom"/>
          </w:tcPr>
          <w:p>
            <w:pPr>
              <w:ind w:left="20"/>
              <w:spacing w:after="0"/>
              <w:rPr>
                <w:sz w:val="20"/>
                <w:szCs w:val="20"/>
                <w:color w:val="auto"/>
              </w:rPr>
            </w:pPr>
            <w:r>
              <w:rPr>
                <w:rFonts w:ascii="Arial" w:cs="Arial" w:eastAsia="Arial" w:hAnsi="Arial"/>
                <w:sz w:val="18"/>
                <w:szCs w:val="18"/>
                <w:color w:val="auto"/>
              </w:rPr>
              <w:t>Director</w:t>
            </w:r>
          </w:p>
        </w:tc>
      </w:tr>
    </w:tbl>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substantial majority of the voting power of the shares of each of EchoStar and DISH Network Corporation (“DISH”) is owned beneficially by Charles W. Ergen, our Chairman, and by certain trusts established by Mr. Ergen for the benefit of his family. Certain of our director nominees currently are or have previously been employed by DISH and its subsidiaries.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sets forth the business experience of each of the nominees over the last five years.</w:t>
      </w:r>
    </w:p>
    <w:p>
      <w:pPr>
        <w:spacing w:after="0" w:line="23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Charles W. Ergen</w:t>
      </w:r>
      <w:r>
        <w:rPr>
          <w:rFonts w:ascii="Arial" w:cs="Arial" w:eastAsia="Arial" w:hAnsi="Arial"/>
          <w:sz w:val="18"/>
          <w:szCs w:val="18"/>
          <w:color w:val="auto"/>
        </w:rPr>
        <w:t>. Mr. Ergen has served as our executive Chairman since November 2009 and Chairman of the Board of Directors since our formation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2007. Mr. Ergen served as our Chief Executive Officer from our formation in 2007 until November 2009. Mr. Ergen serves as executive Chairman and has been Chairman of the Board of Directors of DISH since its formation and, during the past five years, has held executive officer and director positions with DISH and its subsidiaries, most recently serving as the Chief Executive Officer of DISH from March 2015 to December 2017. The Board of Directors concluded that Mr. Ergen should continue to serve as a member of the Board of Directors due to, among other things, his role as our and DISH’s co-founder and as our controlling shareholder and the expertise, leadership and strategic direction that he has contributed to the Corporation since our formation, in addition to his extensive experience in our industry.</w:t>
      </w:r>
    </w:p>
    <w:p>
      <w:pPr>
        <w:spacing w:after="0" w:line="23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i w:val="1"/>
          <w:iCs w:val="1"/>
          <w:color w:val="auto"/>
        </w:rPr>
        <w:t>Michael T. Dugan</w:t>
      </w:r>
      <w:r>
        <w:rPr>
          <w:rFonts w:ascii="Arial" w:cs="Arial" w:eastAsia="Arial" w:hAnsi="Arial"/>
          <w:sz w:val="17"/>
          <w:szCs w:val="17"/>
          <w:color w:val="auto"/>
        </w:rPr>
        <w:t>. Mr. Dugan has served as our Chief Executive Officer and President since November 2009. Mr. Dugan has also served as a member of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Board of Directors since our formation in 2007. Mr. Dugan served as a senior advisor to EchoStar from January 1, 2008 until November 2009. From May 2004 through December 2007, he was a director of DISH, and from 1990 to 2006 served in several executive roles at DISH, including as President, Chief Operating Officer, Chief Technical Officer and senior advisor. The Board of Directors concluded that Mr. Dugan should continue to serve as a member of the Board of Directors due to, among other things, his knowledge and experience in the telecommunications, satellite and related industries from his service over the years as a director or officer with a number of different companies in those industries.</w:t>
      </w:r>
    </w:p>
    <w:p>
      <w:pPr>
        <w:spacing w:after="0" w:line="17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b w:val="1"/>
          <w:bCs w:val="1"/>
          <w:i w:val="1"/>
          <w:iCs w:val="1"/>
          <w:color w:val="auto"/>
        </w:rPr>
        <w:t>R. Stanton Dodge</w:t>
      </w:r>
      <w:r>
        <w:rPr>
          <w:rFonts w:ascii="Arial" w:cs="Arial" w:eastAsia="Arial" w:hAnsi="Arial"/>
          <w:sz w:val="16"/>
          <w:szCs w:val="16"/>
          <w:color w:val="auto"/>
        </w:rPr>
        <w:t>. Mr. Dodge has served as a member of our Board of Directors since 2009. Mr. Dodge is currently the Chief Legal Officer of DraftKings,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 where he oversees the legal, government affairs and corporate communications teams. From June 2007 until October 2017, Mr. Dodge was the Executive Vice President, General Counsel, Corporate Communications and Secretary of DISH and was responsible for all legal, government affairs and corporate communications for DISH and its subsidiaries. From October 2007 to November 2011, Mr. Dodge served as our Executive Vice President, General Counsel and Secretary pursuant to a management services agreement between DISH and EchoStar that was entered into in connection with the spin-off of EchoStar from DISH on January 1, 2008 (the “Spin-off”). Since November 1996 when Mr. Dodge joined DISH, he held various positions of increasing responsibility at DISH and its subsidiaries. The Board of Directors concluded that Mr. Dodge should continue to serve as a member of the Board of Directors due to, among other things, his knowledge of our industry, particularly in light of his business and legal expertise obtained during his prior service as our General Counsel and his prior service as General Counsel and in other roles at DISH over 20 years.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364" w:right="239" w:bottom="1440" w:gutter="0" w:footer="0" w:header="0"/>
        </w:sectPr>
      </w:pPr>
    </w:p>
    <w:bookmarkStart w:id="7" w:name="page8"/>
    <w:bookmarkEnd w:id="7"/>
    <w:p>
      <w:pPr>
        <w:jc w:val="both"/>
        <w:spacing w:after="0" w:line="270" w:lineRule="auto"/>
        <w:rPr>
          <w:sz w:val="20"/>
          <w:szCs w:val="20"/>
          <w:color w:val="auto"/>
        </w:rPr>
      </w:pPr>
      <w:r>
        <w:rPr>
          <w:rFonts w:ascii="Arial" w:cs="Arial" w:eastAsia="Arial" w:hAnsi="Arial"/>
          <w:sz w:val="17"/>
          <w:szCs w:val="17"/>
          <w:b w:val="1"/>
          <w:bCs w:val="1"/>
          <w:i w:val="1"/>
          <w:iCs w:val="1"/>
          <w:color w:val="auto"/>
        </w:rPr>
        <w:t>Anthony M. Federico</w:t>
      </w:r>
      <w:r>
        <w:rPr>
          <w:rFonts w:ascii="Arial" w:cs="Arial" w:eastAsia="Arial" w:hAnsi="Arial"/>
          <w:sz w:val="17"/>
          <w:szCs w:val="17"/>
          <w:color w:val="auto"/>
        </w:rPr>
        <w:t>. Mr. Federico has served as a member of our Board of Directors since June 2011, and serves on our Executive Compensation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Committee, Nominating Committee and Audit Committee. The Board of Directors has determined that Mr. Federico meets the independence requirements of NASDAQ and SEC rules and regulations. Until 2012, Mr. Federico served as Vice President, Chief Engineer, and Graphic Communications Executive Liaison of Xerox Corporation (“Xerox”). Mr. Federico joined Xerox in 1968 and held various product and general management positions, as well as numerous engineering, solutions, information management, and process re-engineering positions. Mr. Federico led the internal development of many of Xerox’s major production products during his tenure, including DocuPrint, DocuTech, DocuTech HLC, Nuvera and iGen3. Mr. Federico’s other positions previously held with Xerox included: Vice President/General Manager Production Solutions Businesses, Vice President of Technology for Production Systems, Vice President/General Manager Technology and Document Production Solutions, and Vice President Market-To-Collection and North American Information Management. The Board of Directors concluded that Mr. Federico should continue to serve as a member of the Board of Directors due to, among other things, his technical and managerial experience, acquired, in part, during his tenure at Xerox.</w:t>
      </w:r>
    </w:p>
    <w:p>
      <w:pPr>
        <w:spacing w:after="0" w:line="17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b w:val="1"/>
          <w:bCs w:val="1"/>
          <w:i w:val="1"/>
          <w:iCs w:val="1"/>
          <w:color w:val="auto"/>
        </w:rPr>
        <w:t>Pradman P. Kaul</w:t>
      </w:r>
      <w:r>
        <w:rPr>
          <w:rFonts w:ascii="Arial" w:cs="Arial" w:eastAsia="Arial" w:hAnsi="Arial"/>
          <w:sz w:val="16"/>
          <w:szCs w:val="16"/>
          <w:color w:val="auto"/>
        </w:rPr>
        <w:t>. Mr. Kaul has served as President of Hughes Communications, Inc. (“Hughes Communications”) since its formation in February 2006,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 President of Hughes Network Systems, LLC, a wholly owned subsidiary of Hughes Communications (“HNS” and, together with Hughes Communications, “Hughes”) since 2000. Mr. Kaul has also served as a member of our Board of Directors since August 2011 as well as a member of the board of directors of Hughes Communications from February 2006 until June 2011. Previously, Mr. Kaul served as the Chief Operating Officer, Executive Vice President and Director of Engineering of HNS. The Board of Directors concluded that Mr. Kaul should continue to serve as a member of the Board of Directors due to, among other things, his technical and managerial experience acquired within the satellite industry, including his experience with Hughes.</w:t>
      </w:r>
    </w:p>
    <w:p>
      <w:pPr>
        <w:spacing w:after="0" w:line="16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b w:val="1"/>
          <w:bCs w:val="1"/>
          <w:i w:val="1"/>
          <w:iCs w:val="1"/>
          <w:color w:val="auto"/>
        </w:rPr>
        <w:t>Tom A. Ortolf</w:t>
      </w:r>
      <w:r>
        <w:rPr>
          <w:rFonts w:ascii="Arial" w:cs="Arial" w:eastAsia="Arial" w:hAnsi="Arial"/>
          <w:sz w:val="16"/>
          <w:szCs w:val="16"/>
          <w:color w:val="auto"/>
        </w:rPr>
        <w:t>. Mr. Ortolf has served as a member of our Board of Directors since our formation in 2007, and is a member of our Executive Compensation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Committee, Nominating Committee and Audit Committee, where he serves as our “audit committee financial expert.” The Board of Directors has determined that Mr. Ortolf meets the independence and “audit committee financial expert” requirements of NASDAQ and SEC rules and regulations and has designated Mr. Ortolf as our “audit committee financial expert.” Since 2005, Mr. Ortolf has also served as a member of the Board of Directors of DISH and as a member of its Executive Compensation Committee, Nominating Committee, and Audit Committee. Mr. Ortolf has been the President of Colorado Meadowlark, Corp. (“CMC”), a privately held investment management firm, for over twenty years. The Board of Directors concluded that Mr. Ortolf should continue to serve as a member of the Board of Directors due to, among other things, his extensive knowledge of EchoStar from his service as a director since 2007 and as a director of DISH and his investment and financial experience gained, in part, as President of CMC.</w:t>
      </w:r>
    </w:p>
    <w:p>
      <w:pPr>
        <w:spacing w:after="0" w:line="16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i w:val="1"/>
          <w:iCs w:val="1"/>
          <w:color w:val="auto"/>
        </w:rPr>
        <w:t>C. Michael Schroeder</w:t>
      </w:r>
      <w:r>
        <w:rPr>
          <w:rFonts w:ascii="Arial" w:cs="Arial" w:eastAsia="Arial" w:hAnsi="Arial"/>
          <w:sz w:val="17"/>
          <w:szCs w:val="17"/>
          <w:color w:val="auto"/>
        </w:rPr>
        <w:t>. Mr. Schroeder has served as a member of our Board of Directors since our formation in 2007, and serves on our Executive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Compensation Committee, Nominating Committee and Audit Committee. The Board of Directors has determined that Mr. Schroeder meets the independence requirements of NASDAQ and SEC rules and regulations. In 1981, Mr. Schroeder founded Consumer Satellite Systems, Inc. (“CSS”), which he grew to encompass a ten state distribution system operating in a region ranging from Wisconsin to Florida. CSS served retailers selling satellite systems, televisions and a range of consumer electronics products. Mr. Schroeder also founded a programming division of CSS that grew to serve over 400,000 subscribers. Prior to the Spin-off, Mr. Schroeder served on the Board of Directors of DISH and was a member of DISH’s Executive Compensation Committee, Nominating Committee, and Audit Committee. The Board of Directors concluded that Mr. Schroeder should continue to serve as a member of the Board of Directors due to, among other things, his knowledge of EchoStar from his service as a director since 2007 and as a director of DISH prior to the Spin-off, and his operational expertise and satellite systems sales knowledge developed, in part, with CSS.</w:t>
      </w:r>
    </w:p>
    <w:p>
      <w:pPr>
        <w:spacing w:after="0" w:line="182" w:lineRule="exact"/>
        <w:rPr>
          <w:sz w:val="20"/>
          <w:szCs w:val="20"/>
          <w:color w:val="auto"/>
        </w:rPr>
      </w:pPr>
    </w:p>
    <w:p>
      <w:pPr>
        <w:jc w:val="both"/>
        <w:spacing w:after="0" w:line="284" w:lineRule="auto"/>
        <w:rPr>
          <w:sz w:val="20"/>
          <w:szCs w:val="20"/>
          <w:color w:val="auto"/>
        </w:rPr>
      </w:pPr>
      <w:r>
        <w:rPr>
          <w:rFonts w:ascii="Arial" w:cs="Arial" w:eastAsia="Arial" w:hAnsi="Arial"/>
          <w:sz w:val="16"/>
          <w:szCs w:val="16"/>
          <w:b w:val="1"/>
          <w:bCs w:val="1"/>
          <w:i w:val="1"/>
          <w:iCs w:val="1"/>
          <w:color w:val="auto"/>
        </w:rPr>
        <w:t>William David Wade</w:t>
      </w:r>
      <w:r>
        <w:rPr>
          <w:rFonts w:ascii="Arial" w:cs="Arial" w:eastAsia="Arial" w:hAnsi="Arial"/>
          <w:sz w:val="16"/>
          <w:szCs w:val="16"/>
          <w:color w:val="auto"/>
        </w:rPr>
        <w:t>. Mr. Wade has served as a member of our Board of Directors since February 2017, and serves on our Nominating Committee and Audit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Committee. The Board of Directors has determined that Mr. Wade meets the independence requirements of NASDAQ and SEC rules and regulations. Mr. Wade served as the President and CEO of Asia Satellite Telecommunications Co. Ltd. (“AsiaSat”) based in Hong Kong from 2010 to November 2016, as Deputy CEO of AsiaSat from 1994 to 2010, and as a senior advisor to the CEO of AsiaSat from November 2016 through March 2017. From 1996 to November 2016, Mr. Wade also served on the AsiaSat Board of Directors as an Executive Director serving on the Compliance Committee. AsiaSat owns and operates an Asian-based satellite fleet providing capacity and satellite services to media and telecommunications companies across the Asia-Pacific region.</w:t>
      </w:r>
    </w:p>
    <w:p>
      <w:pPr>
        <w:spacing w:after="0" w:line="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Prior to joining AsiaSat, Mr. Wade served as an executive director manager in charge of Pan Asian Systems with Hutchison Whampoa, a satellite and cable television equipment supplier and systems integrator. Earlier in his career, Mr. Wade held a number of senior management positions in the United States and Singapore with EchoSphere Corporation, a subsidiary of DISH, and Audiotone, a manufacturer and supplier of hearing aid and test equipment. Mr. Wade has also served since 2012 as a director for First Western Advisors, Ltd., a private entity providing wealth management services, and since September 2017 as a director of, and executive advisor to, Global-IP Cayman, a privately owned satellite communications company. The Board of Directors concluded that Mr. Wade should continue to serve as a member of the Board of Directors due to, among other things, his operational expertise and his experience in the satellite industry.</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84"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The Board of Directors unanimously recommends a vote FOR the election of all of the nominees named herein.</w:t>
      </w:r>
    </w:p>
    <w:p>
      <w:pPr>
        <w:spacing w:after="0" w:line="22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Charles W. Ergen, our Chairman, currently beneficially owns equity securities representing approximately 72.4% of our total voting power. Please see “Equity Security Ownership and Related Matters” below. Mr. Ergen has indicated his intention to vote in favor of each of the nominees set forth in Proposal</w:t>
      </w:r>
    </w:p>
    <w:p>
      <w:pPr>
        <w:ind w:firstLine="8"/>
        <w:spacing w:after="0" w:line="261" w:lineRule="auto"/>
        <w:tabs>
          <w:tab w:leader="none" w:pos="252" w:val="left"/>
        </w:tabs>
        <w:numPr>
          <w:ilvl w:val="0"/>
          <w:numId w:val="6"/>
        </w:numPr>
        <w:rPr>
          <w:rFonts w:ascii="Arial" w:cs="Arial" w:eastAsia="Arial" w:hAnsi="Arial"/>
          <w:sz w:val="18"/>
          <w:szCs w:val="18"/>
          <w:color w:val="auto"/>
        </w:rPr>
      </w:pPr>
      <w:r>
        <w:rPr>
          <w:rFonts w:ascii="Arial" w:cs="Arial" w:eastAsia="Arial" w:hAnsi="Arial"/>
          <w:sz w:val="18"/>
          <w:szCs w:val="18"/>
          <w:color w:val="auto"/>
        </w:rPr>
        <w:t>Accordingly, the election of all of the nominees set forth in Proposal 1 is assured notwithstanding a contrary vote by any or all shareholders other than Mr. Ergen.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 and Non-employee Director Option Plan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Compensation</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Some of our directors are employees of the Corporation, our subsidiaries or DISH or its subsidiaries. We refer to these directors as “employee directors”. Our employee directors are not compensated for their services as directors. Each non-employee director receives an annual cash retainer of $60,000, which is paid in equal quarterly installments; provided such person is a member of the Board of Directors on the last day of the applicable calendar quarter. Our non-employee directors also receive a $1,000 cash payment for each meeting attended in person and a $500 cash payment for each meeting attended by telephone; provided that if there is more than one meeting of the Board of Directors or its committees on the same day, then the applicable non-employee director is only entitled to receive compensation for attendance at a single meeting. Additionally, any non-employee director who is the chairperson of a committee of the Board of Directors receives a $5,000 annual cash retainer, which is paid in equal quarterly installments; provided such person is the chairperson of the committee on the last day of the applicable calendar quarter. Our non-employee directors also receive: (i) reimbursement, in full, of reasonable travel expenses related to attendance at all meetings of the Board of Directors and its committees, and (ii) reimbursement, in full, of reasonable expenses related to educational activities undertaken in connection with service on the Board of Directors and its committees.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cash and noncash compensation earned by each of our non-employee directors for the fiscal year ended December 31, 2017.</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Change in</w:t>
            </w: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7"/>
              </w:rPr>
              <w:t>Fees</w:t>
            </w: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Pension</w:t>
            </w: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18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0" w:type="dxa"/>
            <w:vAlign w:val="bottom"/>
            <w:gridSpan w:val="2"/>
            <w:vMerge w:val="continue"/>
          </w:tcPr>
          <w:p>
            <w:pPr>
              <w:spacing w:after="0"/>
              <w:rPr>
                <w:sz w:val="5"/>
                <w:szCs w:val="5"/>
                <w:color w:val="auto"/>
              </w:rPr>
            </w:pPr>
          </w:p>
        </w:tc>
        <w:tc>
          <w:tcPr>
            <w:tcW w:w="1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60" w:type="dxa"/>
            <w:vAlign w:val="bottom"/>
            <w:gridSpan w:val="2"/>
            <w:vMerge w:val="restart"/>
          </w:tcPr>
          <w:p>
            <w:pPr>
              <w:jc w:val="center"/>
              <w:ind w:right="160"/>
              <w:spacing w:after="0" w:line="149" w:lineRule="exact"/>
              <w:rPr>
                <w:sz w:val="20"/>
                <w:szCs w:val="20"/>
                <w:color w:val="auto"/>
              </w:rPr>
            </w:pPr>
            <w:r>
              <w:rPr>
                <w:rFonts w:ascii="Arial" w:cs="Arial" w:eastAsia="Arial" w:hAnsi="Arial"/>
                <w:sz w:val="14"/>
                <w:szCs w:val="14"/>
                <w:b w:val="1"/>
                <w:bCs w:val="1"/>
                <w:color w:val="auto"/>
                <w:w w:val="96"/>
              </w:rPr>
              <w:t>Non-Equity</w:t>
            </w:r>
          </w:p>
        </w:tc>
        <w:tc>
          <w:tcPr>
            <w:tcW w:w="1340" w:type="dxa"/>
            <w:vAlign w:val="bottom"/>
            <w:gridSpan w:val="2"/>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Value and</w:t>
            </w:r>
          </w:p>
        </w:tc>
        <w:tc>
          <w:tcPr>
            <w:tcW w:w="1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18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0" w:type="dxa"/>
            <w:vAlign w:val="bottom"/>
            <w:gridSpan w:val="2"/>
            <w:vMerge w:val="restart"/>
          </w:tcPr>
          <w:p>
            <w:pPr>
              <w:jc w:val="center"/>
              <w:ind w:right="160"/>
              <w:spacing w:after="0" w:line="149" w:lineRule="exact"/>
              <w:rPr>
                <w:sz w:val="20"/>
                <w:szCs w:val="20"/>
                <w:color w:val="auto"/>
              </w:rPr>
            </w:pPr>
            <w:r>
              <w:rPr>
                <w:rFonts w:ascii="Arial" w:cs="Arial" w:eastAsia="Arial" w:hAnsi="Arial"/>
                <w:sz w:val="14"/>
                <w:szCs w:val="14"/>
                <w:b w:val="1"/>
                <w:bCs w:val="1"/>
                <w:color w:val="auto"/>
                <w:w w:val="97"/>
              </w:rPr>
              <w:t>Earned or</w:t>
            </w:r>
          </w:p>
        </w:tc>
        <w:tc>
          <w:tcPr>
            <w:tcW w:w="1380" w:type="dxa"/>
            <w:vAlign w:val="bottom"/>
            <w:gridSpan w:val="2"/>
            <w:vMerge w:val="restart"/>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Stock</w:t>
            </w:r>
          </w:p>
        </w:tc>
        <w:tc>
          <w:tcPr>
            <w:tcW w:w="1380" w:type="dxa"/>
            <w:vAlign w:val="bottom"/>
            <w:gridSpan w:val="2"/>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97"/>
              </w:rPr>
              <w:t>Option</w:t>
            </w:r>
          </w:p>
        </w:tc>
        <w:tc>
          <w:tcPr>
            <w:tcW w:w="1360" w:type="dxa"/>
            <w:vAlign w:val="bottom"/>
            <w:gridSpan w:val="2"/>
            <w:vMerge w:val="continue"/>
          </w:tcPr>
          <w:p>
            <w:pPr>
              <w:spacing w:after="0"/>
              <w:rPr>
                <w:sz w:val="7"/>
                <w:szCs w:val="7"/>
                <w:color w:val="auto"/>
              </w:rPr>
            </w:pPr>
          </w:p>
        </w:tc>
        <w:tc>
          <w:tcPr>
            <w:tcW w:w="1340" w:type="dxa"/>
            <w:vAlign w:val="bottom"/>
            <w:gridSpan w:val="2"/>
            <w:vMerge w:val="continue"/>
          </w:tcPr>
          <w:p>
            <w:pPr>
              <w:spacing w:after="0"/>
              <w:rPr>
                <w:sz w:val="7"/>
                <w:szCs w:val="7"/>
                <w:color w:val="auto"/>
              </w:rPr>
            </w:pPr>
          </w:p>
        </w:tc>
        <w:tc>
          <w:tcPr>
            <w:tcW w:w="1360" w:type="dxa"/>
            <w:vAlign w:val="bottom"/>
            <w:gridSpan w:val="2"/>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98"/>
              </w:rPr>
              <w:t>All Other</w:t>
            </w:r>
          </w:p>
        </w:tc>
        <w:tc>
          <w:tcPr>
            <w:tcW w:w="12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18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0" w:type="dxa"/>
            <w:vAlign w:val="bottom"/>
            <w:gridSpan w:val="2"/>
            <w:vMerge w:val="continue"/>
          </w:tcPr>
          <w:p>
            <w:pPr>
              <w:spacing w:after="0"/>
              <w:rPr>
                <w:sz w:val="5"/>
                <w:szCs w:val="5"/>
                <w:color w:val="auto"/>
              </w:rPr>
            </w:pPr>
          </w:p>
        </w:tc>
        <w:tc>
          <w:tcPr>
            <w:tcW w:w="1380" w:type="dxa"/>
            <w:vAlign w:val="bottom"/>
            <w:gridSpan w:val="2"/>
            <w:vMerge w:val="continue"/>
          </w:tcPr>
          <w:p>
            <w:pPr>
              <w:spacing w:after="0"/>
              <w:rPr>
                <w:sz w:val="5"/>
                <w:szCs w:val="5"/>
                <w:color w:val="auto"/>
              </w:rPr>
            </w:pPr>
          </w:p>
        </w:tc>
        <w:tc>
          <w:tcPr>
            <w:tcW w:w="1380" w:type="dxa"/>
            <w:vAlign w:val="bottom"/>
            <w:gridSpan w:val="2"/>
            <w:vMerge w:val="continue"/>
          </w:tcPr>
          <w:p>
            <w:pPr>
              <w:spacing w:after="0"/>
              <w:rPr>
                <w:sz w:val="5"/>
                <w:szCs w:val="5"/>
                <w:color w:val="auto"/>
              </w:rPr>
            </w:pPr>
          </w:p>
        </w:tc>
        <w:tc>
          <w:tcPr>
            <w:tcW w:w="1360" w:type="dxa"/>
            <w:vAlign w:val="bottom"/>
            <w:gridSpan w:val="2"/>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Incentive Plan</w:t>
            </w:r>
          </w:p>
        </w:tc>
        <w:tc>
          <w:tcPr>
            <w:tcW w:w="1340" w:type="dxa"/>
            <w:vAlign w:val="bottom"/>
            <w:gridSpan w:val="2"/>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Nonqualified</w:t>
            </w:r>
          </w:p>
        </w:tc>
        <w:tc>
          <w:tcPr>
            <w:tcW w:w="1360" w:type="dxa"/>
            <w:vAlign w:val="bottom"/>
            <w:gridSpan w:val="2"/>
            <w:vMerge w:val="continue"/>
          </w:tcPr>
          <w:p>
            <w:pPr>
              <w:spacing w:after="0"/>
              <w:rPr>
                <w:sz w:val="5"/>
                <w:szCs w:val="5"/>
                <w:color w:val="auto"/>
              </w:rPr>
            </w:pPr>
          </w:p>
        </w:tc>
        <w:tc>
          <w:tcPr>
            <w:tcW w:w="1240" w:type="dxa"/>
            <w:vAlign w:val="bottom"/>
            <w:vMerge w:val="restart"/>
          </w:tcPr>
          <w:p>
            <w:pPr>
              <w:jc w:val="right"/>
              <w:ind w:right="388"/>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81"/>
        </w:trPr>
        <w:tc>
          <w:tcPr>
            <w:tcW w:w="1960" w:type="dxa"/>
            <w:vAlign w:val="bottom"/>
            <w:gridSpan w:val="2"/>
            <w:vMerge w:val="restart"/>
          </w:tcPr>
          <w:p>
            <w:pPr>
              <w:ind w:left="740"/>
              <w:spacing w:after="0" w:line="149" w:lineRule="exact"/>
              <w:rPr>
                <w:sz w:val="20"/>
                <w:szCs w:val="20"/>
                <w:color w:val="auto"/>
              </w:rPr>
            </w:pPr>
            <w:r>
              <w:rPr>
                <w:rFonts w:ascii="Arial" w:cs="Arial" w:eastAsia="Arial" w:hAnsi="Arial"/>
                <w:sz w:val="14"/>
                <w:szCs w:val="14"/>
                <w:b w:val="1"/>
                <w:bCs w:val="1"/>
                <w:color w:val="auto"/>
              </w:rPr>
              <w:t>Name</w:t>
            </w:r>
          </w:p>
        </w:tc>
        <w:tc>
          <w:tcPr>
            <w:tcW w:w="1400" w:type="dxa"/>
            <w:vAlign w:val="bottom"/>
            <w:gridSpan w:val="2"/>
            <w:vMerge w:val="restart"/>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Paid in</w:t>
            </w:r>
          </w:p>
        </w:tc>
        <w:tc>
          <w:tcPr>
            <w:tcW w:w="1380" w:type="dxa"/>
            <w:vAlign w:val="bottom"/>
            <w:gridSpan w:val="2"/>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Awards</w:t>
            </w:r>
          </w:p>
        </w:tc>
        <w:tc>
          <w:tcPr>
            <w:tcW w:w="1380" w:type="dxa"/>
            <w:vAlign w:val="bottom"/>
            <w:gridSpan w:val="2"/>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Awards</w:t>
            </w:r>
          </w:p>
        </w:tc>
        <w:tc>
          <w:tcPr>
            <w:tcW w:w="1360" w:type="dxa"/>
            <w:vAlign w:val="bottom"/>
            <w:gridSpan w:val="2"/>
            <w:vMerge w:val="continue"/>
          </w:tcPr>
          <w:p>
            <w:pPr>
              <w:spacing w:after="0"/>
              <w:rPr>
                <w:sz w:val="7"/>
                <w:szCs w:val="7"/>
                <w:color w:val="auto"/>
              </w:rPr>
            </w:pPr>
          </w:p>
        </w:tc>
        <w:tc>
          <w:tcPr>
            <w:tcW w:w="1340" w:type="dxa"/>
            <w:vAlign w:val="bottom"/>
            <w:gridSpan w:val="2"/>
            <w:vMerge w:val="continue"/>
          </w:tcPr>
          <w:p>
            <w:pPr>
              <w:spacing w:after="0"/>
              <w:rPr>
                <w:sz w:val="7"/>
                <w:szCs w:val="7"/>
                <w:color w:val="auto"/>
              </w:rPr>
            </w:pPr>
          </w:p>
        </w:tc>
        <w:tc>
          <w:tcPr>
            <w:tcW w:w="1360" w:type="dxa"/>
            <w:vAlign w:val="bottom"/>
            <w:gridSpan w:val="2"/>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12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1960" w:type="dxa"/>
            <w:vAlign w:val="bottom"/>
            <w:gridSpan w:val="2"/>
            <w:vMerge w:val="continue"/>
          </w:tcPr>
          <w:p>
            <w:pPr>
              <w:spacing w:after="0"/>
              <w:rPr>
                <w:sz w:val="5"/>
                <w:szCs w:val="5"/>
                <w:color w:val="auto"/>
              </w:rPr>
            </w:pPr>
          </w:p>
        </w:tc>
        <w:tc>
          <w:tcPr>
            <w:tcW w:w="1400" w:type="dxa"/>
            <w:vAlign w:val="bottom"/>
            <w:gridSpan w:val="2"/>
            <w:vMerge w:val="continue"/>
          </w:tcPr>
          <w:p>
            <w:pPr>
              <w:spacing w:after="0"/>
              <w:rPr>
                <w:sz w:val="5"/>
                <w:szCs w:val="5"/>
                <w:color w:val="auto"/>
              </w:rPr>
            </w:pPr>
          </w:p>
        </w:tc>
        <w:tc>
          <w:tcPr>
            <w:tcW w:w="1380" w:type="dxa"/>
            <w:vAlign w:val="bottom"/>
            <w:gridSpan w:val="2"/>
            <w:vMerge w:val="continue"/>
          </w:tcPr>
          <w:p>
            <w:pPr>
              <w:spacing w:after="0"/>
              <w:rPr>
                <w:sz w:val="5"/>
                <w:szCs w:val="5"/>
                <w:color w:val="auto"/>
              </w:rPr>
            </w:pPr>
          </w:p>
        </w:tc>
        <w:tc>
          <w:tcPr>
            <w:tcW w:w="1380" w:type="dxa"/>
            <w:vAlign w:val="bottom"/>
            <w:gridSpan w:val="2"/>
            <w:vMerge w:val="continue"/>
          </w:tcPr>
          <w:p>
            <w:pPr>
              <w:spacing w:after="0"/>
              <w:rPr>
                <w:sz w:val="5"/>
                <w:szCs w:val="5"/>
                <w:color w:val="auto"/>
              </w:rPr>
            </w:pPr>
          </w:p>
        </w:tc>
        <w:tc>
          <w:tcPr>
            <w:tcW w:w="1360" w:type="dxa"/>
            <w:vAlign w:val="bottom"/>
            <w:gridSpan w:val="2"/>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1340" w:type="dxa"/>
            <w:vAlign w:val="bottom"/>
            <w:gridSpan w:val="2"/>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97"/>
              </w:rPr>
              <w:t>Deferred</w:t>
            </w:r>
          </w:p>
        </w:tc>
        <w:tc>
          <w:tcPr>
            <w:tcW w:w="1360" w:type="dxa"/>
            <w:vAlign w:val="bottom"/>
            <w:gridSpan w:val="2"/>
            <w:vMerge w:val="continue"/>
          </w:tcPr>
          <w:p>
            <w:pPr>
              <w:spacing w:after="0"/>
              <w:rPr>
                <w:sz w:val="5"/>
                <w:szCs w:val="5"/>
                <w:color w:val="auto"/>
              </w:rPr>
            </w:pPr>
          </w:p>
        </w:tc>
        <w:tc>
          <w:tcPr>
            <w:tcW w:w="1240" w:type="dxa"/>
            <w:vAlign w:val="bottom"/>
            <w:vMerge w:val="restart"/>
          </w:tcPr>
          <w:p>
            <w:pPr>
              <w:jc w:val="right"/>
              <w:ind w:right="468"/>
              <w:spacing w:after="0" w:line="149"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81"/>
        </w:trPr>
        <w:tc>
          <w:tcPr>
            <w:tcW w:w="18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0" w:type="dxa"/>
            <w:vAlign w:val="bottom"/>
            <w:gridSpan w:val="2"/>
            <w:vMerge w:val="restart"/>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Cash</w:t>
            </w:r>
          </w:p>
        </w:tc>
        <w:tc>
          <w:tcPr>
            <w:tcW w:w="126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7"/>
                <w:szCs w:val="7"/>
                <w:color w:val="auto"/>
              </w:rPr>
            </w:pPr>
          </w:p>
        </w:tc>
        <w:tc>
          <w:tcPr>
            <w:tcW w:w="128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4"/>
              </w:rPr>
              <w:t>($) (1)</w:t>
            </w:r>
          </w:p>
        </w:tc>
        <w:tc>
          <w:tcPr>
            <w:tcW w:w="100" w:type="dxa"/>
            <w:vAlign w:val="bottom"/>
          </w:tcPr>
          <w:p>
            <w:pPr>
              <w:spacing w:after="0"/>
              <w:rPr>
                <w:sz w:val="7"/>
                <w:szCs w:val="7"/>
                <w:color w:val="auto"/>
              </w:rPr>
            </w:pPr>
          </w:p>
        </w:tc>
        <w:tc>
          <w:tcPr>
            <w:tcW w:w="1360" w:type="dxa"/>
            <w:vAlign w:val="bottom"/>
            <w:gridSpan w:val="2"/>
            <w:vMerge w:val="continue"/>
          </w:tcPr>
          <w:p>
            <w:pPr>
              <w:spacing w:after="0"/>
              <w:rPr>
                <w:sz w:val="7"/>
                <w:szCs w:val="7"/>
                <w:color w:val="auto"/>
              </w:rPr>
            </w:pPr>
          </w:p>
        </w:tc>
        <w:tc>
          <w:tcPr>
            <w:tcW w:w="1340" w:type="dxa"/>
            <w:vAlign w:val="bottom"/>
            <w:gridSpan w:val="2"/>
            <w:vMerge w:val="continue"/>
          </w:tcPr>
          <w:p>
            <w:pPr>
              <w:spacing w:after="0"/>
              <w:rPr>
                <w:sz w:val="7"/>
                <w:szCs w:val="7"/>
                <w:color w:val="auto"/>
              </w:rPr>
            </w:pPr>
          </w:p>
        </w:tc>
        <w:tc>
          <w:tcPr>
            <w:tcW w:w="124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7"/>
                <w:szCs w:val="7"/>
                <w:color w:val="auto"/>
              </w:rPr>
            </w:pPr>
          </w:p>
        </w:tc>
        <w:tc>
          <w:tcPr>
            <w:tcW w:w="12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18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0" w:type="dxa"/>
            <w:vAlign w:val="bottom"/>
            <w:gridSpan w:val="2"/>
            <w:vMerge w:val="continue"/>
          </w:tcPr>
          <w:p>
            <w:pPr>
              <w:spacing w:after="0"/>
              <w:rPr>
                <w:sz w:val="5"/>
                <w:szCs w:val="5"/>
                <w:color w:val="auto"/>
              </w:rPr>
            </w:pPr>
          </w:p>
        </w:tc>
        <w:tc>
          <w:tcPr>
            <w:tcW w:w="12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5"/>
                <w:szCs w:val="5"/>
                <w:color w:val="auto"/>
              </w:rPr>
            </w:pPr>
          </w:p>
        </w:tc>
        <w:tc>
          <w:tcPr>
            <w:tcW w:w="1340" w:type="dxa"/>
            <w:vAlign w:val="bottom"/>
            <w:gridSpan w:val="2"/>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12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18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w:t>
            </w:r>
          </w:p>
        </w:tc>
        <w:tc>
          <w:tcPr>
            <w:tcW w:w="1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340" w:type="dxa"/>
            <w:vAlign w:val="bottom"/>
            <w:gridSpan w:val="2"/>
            <w:vMerge w:val="continue"/>
          </w:tcPr>
          <w:p>
            <w:pPr>
              <w:spacing w:after="0"/>
              <w:rPr>
                <w:sz w:val="7"/>
                <w:szCs w:val="7"/>
                <w:color w:val="auto"/>
              </w:rPr>
            </w:pPr>
          </w:p>
        </w:tc>
        <w:tc>
          <w:tcPr>
            <w:tcW w:w="1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1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40" w:type="dxa"/>
            <w:vAlign w:val="bottom"/>
            <w:gridSpan w:val="2"/>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Earnings</w:t>
            </w:r>
          </w:p>
        </w:tc>
        <w:tc>
          <w:tcPr>
            <w:tcW w:w="1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3"/>
        </w:trPr>
        <w:tc>
          <w:tcPr>
            <w:tcW w:w="1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gridSpan w:val="2"/>
            <w:vMerge w:val="continue"/>
          </w:tcPr>
          <w:p>
            <w:pPr>
              <w:spacing w:after="0"/>
              <w:rPr>
                <w:sz w:val="3"/>
                <w:szCs w:val="3"/>
                <w:color w:val="auto"/>
              </w:rPr>
            </w:pPr>
          </w:p>
        </w:tc>
        <w:tc>
          <w:tcPr>
            <w:tcW w:w="1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2"/>
        </w:trPr>
        <w:tc>
          <w:tcPr>
            <w:tcW w:w="18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19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R. Stanton Dodge (2)</w:t>
            </w:r>
          </w:p>
        </w:tc>
        <w:tc>
          <w:tcPr>
            <w:tcW w:w="1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16,000</w:t>
            </w:r>
          </w:p>
        </w:tc>
        <w:tc>
          <w:tcPr>
            <w:tcW w:w="120" w:type="dxa"/>
            <w:vAlign w:val="bottom"/>
            <w:shd w:val="clear" w:color="auto" w:fill="CCEEFF"/>
          </w:tcPr>
          <w:p>
            <w:pPr>
              <w:spacing w:after="0"/>
              <w:rPr>
                <w:sz w:val="22"/>
                <w:szCs w:val="22"/>
                <w:color w:val="auto"/>
              </w:rPr>
            </w:pPr>
          </w:p>
        </w:tc>
        <w:tc>
          <w:tcPr>
            <w:tcW w:w="1380" w:type="dxa"/>
            <w:vAlign w:val="bottom"/>
            <w:gridSpan w:val="2"/>
            <w:shd w:val="clear" w:color="auto" w:fill="CCEEFF"/>
          </w:tcPr>
          <w:p>
            <w:pPr>
              <w:ind w:left="1000"/>
              <w:spacing w:after="0"/>
              <w:rPr>
                <w:sz w:val="20"/>
                <w:szCs w:val="20"/>
                <w:color w:val="auto"/>
              </w:rPr>
            </w:pPr>
            <w:r>
              <w:rPr>
                <w:rFonts w:ascii="Arial" w:cs="Arial" w:eastAsia="Arial" w:hAnsi="Arial"/>
                <w:sz w:val="14"/>
                <w:szCs w:val="14"/>
                <w:color w:val="auto"/>
              </w:rPr>
              <w:t>—</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360" w:type="dxa"/>
            <w:vAlign w:val="bottom"/>
            <w:gridSpan w:val="2"/>
            <w:shd w:val="clear" w:color="auto" w:fill="CCEEFF"/>
          </w:tcPr>
          <w:p>
            <w:pPr>
              <w:ind w:left="1000"/>
              <w:spacing w:after="0"/>
              <w:rPr>
                <w:sz w:val="20"/>
                <w:szCs w:val="20"/>
                <w:color w:val="auto"/>
              </w:rPr>
            </w:pPr>
            <w:r>
              <w:rPr>
                <w:rFonts w:ascii="Arial" w:cs="Arial" w:eastAsia="Arial" w:hAnsi="Arial"/>
                <w:sz w:val="14"/>
                <w:szCs w:val="14"/>
                <w:color w:val="auto"/>
              </w:rPr>
              <w:t>—</w:t>
            </w:r>
          </w:p>
        </w:tc>
        <w:tc>
          <w:tcPr>
            <w:tcW w:w="1340" w:type="dxa"/>
            <w:vAlign w:val="bottom"/>
            <w:gridSpan w:val="2"/>
            <w:shd w:val="clear" w:color="auto" w:fill="CCEEFF"/>
          </w:tcPr>
          <w:p>
            <w:pPr>
              <w:ind w:left="980"/>
              <w:spacing w:after="0"/>
              <w:rPr>
                <w:sz w:val="20"/>
                <w:szCs w:val="20"/>
                <w:color w:val="auto"/>
              </w:rPr>
            </w:pPr>
            <w:r>
              <w:rPr>
                <w:rFonts w:ascii="Arial" w:cs="Arial" w:eastAsia="Arial" w:hAnsi="Arial"/>
                <w:sz w:val="14"/>
                <w:szCs w:val="14"/>
                <w:color w:val="auto"/>
              </w:rPr>
              <w:t>—</w:t>
            </w:r>
          </w:p>
        </w:tc>
        <w:tc>
          <w:tcPr>
            <w:tcW w:w="1360" w:type="dxa"/>
            <w:vAlign w:val="bottom"/>
            <w:gridSpan w:val="2"/>
            <w:shd w:val="clear" w:color="auto" w:fill="CCEEFF"/>
          </w:tcPr>
          <w:p>
            <w:pPr>
              <w:ind w:left="1000"/>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16,000</w:t>
            </w:r>
          </w:p>
        </w:tc>
        <w:tc>
          <w:tcPr>
            <w:tcW w:w="0" w:type="dxa"/>
            <w:vAlign w:val="bottom"/>
          </w:tcPr>
          <w:p>
            <w:pPr>
              <w:spacing w:after="0"/>
              <w:rPr>
                <w:sz w:val="1"/>
                <w:szCs w:val="1"/>
                <w:color w:val="auto"/>
              </w:rPr>
            </w:pPr>
          </w:p>
        </w:tc>
      </w:tr>
      <w:tr>
        <w:trPr>
          <w:trHeight w:val="264"/>
        </w:trPr>
        <w:tc>
          <w:tcPr>
            <w:tcW w:w="1960" w:type="dxa"/>
            <w:vAlign w:val="bottom"/>
            <w:gridSpan w:val="2"/>
          </w:tcPr>
          <w:p>
            <w:pPr>
              <w:ind w:left="40"/>
              <w:spacing w:after="0"/>
              <w:rPr>
                <w:sz w:val="20"/>
                <w:szCs w:val="20"/>
                <w:color w:val="auto"/>
              </w:rPr>
            </w:pPr>
            <w:r>
              <w:rPr>
                <w:rFonts w:ascii="Arial" w:cs="Arial" w:eastAsia="Arial" w:hAnsi="Arial"/>
                <w:sz w:val="14"/>
                <w:szCs w:val="14"/>
                <w:color w:val="auto"/>
              </w:rPr>
              <w:t>Anthony M. Federico</w:t>
            </w: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70,000</w:t>
            </w:r>
          </w:p>
        </w:tc>
        <w:tc>
          <w:tcPr>
            <w:tcW w:w="120" w:type="dxa"/>
            <w:vAlign w:val="bottom"/>
          </w:tcPr>
          <w:p>
            <w:pPr>
              <w:spacing w:after="0"/>
              <w:rPr>
                <w:sz w:val="22"/>
                <w:szCs w:val="22"/>
                <w:color w:val="auto"/>
              </w:rPr>
            </w:pPr>
          </w:p>
        </w:tc>
        <w:tc>
          <w:tcPr>
            <w:tcW w:w="1380" w:type="dxa"/>
            <w:vAlign w:val="bottom"/>
            <w:gridSpan w:val="2"/>
          </w:tcPr>
          <w:p>
            <w:pPr>
              <w:ind w:left="1000"/>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63,911</w:t>
            </w:r>
          </w:p>
        </w:tc>
        <w:tc>
          <w:tcPr>
            <w:tcW w:w="100" w:type="dxa"/>
            <w:vAlign w:val="bottom"/>
          </w:tcPr>
          <w:p>
            <w:pPr>
              <w:spacing w:after="0"/>
              <w:rPr>
                <w:sz w:val="22"/>
                <w:szCs w:val="22"/>
                <w:color w:val="auto"/>
              </w:rPr>
            </w:pPr>
          </w:p>
        </w:tc>
        <w:tc>
          <w:tcPr>
            <w:tcW w:w="1360" w:type="dxa"/>
            <w:vAlign w:val="bottom"/>
            <w:gridSpan w:val="2"/>
          </w:tcPr>
          <w:p>
            <w:pPr>
              <w:ind w:left="1000"/>
              <w:spacing w:after="0"/>
              <w:rPr>
                <w:sz w:val="20"/>
                <w:szCs w:val="20"/>
                <w:color w:val="auto"/>
              </w:rPr>
            </w:pPr>
            <w:r>
              <w:rPr>
                <w:rFonts w:ascii="Arial" w:cs="Arial" w:eastAsia="Arial" w:hAnsi="Arial"/>
                <w:sz w:val="14"/>
                <w:szCs w:val="14"/>
                <w:color w:val="auto"/>
              </w:rPr>
              <w:t>—</w:t>
            </w:r>
          </w:p>
        </w:tc>
        <w:tc>
          <w:tcPr>
            <w:tcW w:w="1340" w:type="dxa"/>
            <w:vAlign w:val="bottom"/>
            <w:gridSpan w:val="2"/>
          </w:tcPr>
          <w:p>
            <w:pPr>
              <w:ind w:left="980"/>
              <w:spacing w:after="0"/>
              <w:rPr>
                <w:sz w:val="20"/>
                <w:szCs w:val="20"/>
                <w:color w:val="auto"/>
              </w:rPr>
            </w:pPr>
            <w:r>
              <w:rPr>
                <w:rFonts w:ascii="Arial" w:cs="Arial" w:eastAsia="Arial" w:hAnsi="Arial"/>
                <w:sz w:val="14"/>
                <w:szCs w:val="14"/>
                <w:color w:val="auto"/>
              </w:rPr>
              <w:t>—</w:t>
            </w:r>
          </w:p>
        </w:tc>
        <w:tc>
          <w:tcPr>
            <w:tcW w:w="1360" w:type="dxa"/>
            <w:vAlign w:val="bottom"/>
            <w:gridSpan w:val="2"/>
          </w:tcPr>
          <w:p>
            <w:pPr>
              <w:ind w:left="1000"/>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133,911</w:t>
            </w:r>
          </w:p>
        </w:tc>
        <w:tc>
          <w:tcPr>
            <w:tcW w:w="0" w:type="dxa"/>
            <w:vAlign w:val="bottom"/>
          </w:tcPr>
          <w:p>
            <w:pPr>
              <w:spacing w:after="0"/>
              <w:rPr>
                <w:sz w:val="1"/>
                <w:szCs w:val="1"/>
                <w:color w:val="auto"/>
              </w:rPr>
            </w:pPr>
          </w:p>
        </w:tc>
      </w:tr>
      <w:tr>
        <w:trPr>
          <w:trHeight w:val="276"/>
        </w:trPr>
        <w:tc>
          <w:tcPr>
            <w:tcW w:w="19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Tom A. Ortolf</w:t>
            </w:r>
          </w:p>
        </w:tc>
        <w:tc>
          <w:tcPr>
            <w:tcW w:w="1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69,500</w:t>
            </w:r>
          </w:p>
        </w:tc>
        <w:tc>
          <w:tcPr>
            <w:tcW w:w="12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ind w:left="1000"/>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63,911</w:t>
            </w:r>
          </w:p>
        </w:tc>
        <w:tc>
          <w:tcPr>
            <w:tcW w:w="10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ind w:left="1000"/>
              <w:spacing w:after="0"/>
              <w:rPr>
                <w:sz w:val="20"/>
                <w:szCs w:val="20"/>
                <w:color w:val="auto"/>
              </w:rPr>
            </w:pPr>
            <w:r>
              <w:rPr>
                <w:rFonts w:ascii="Arial" w:cs="Arial" w:eastAsia="Arial" w:hAnsi="Arial"/>
                <w:sz w:val="14"/>
                <w:szCs w:val="14"/>
                <w:color w:val="auto"/>
              </w:rPr>
              <w:t>—</w:t>
            </w:r>
          </w:p>
        </w:tc>
        <w:tc>
          <w:tcPr>
            <w:tcW w:w="1340" w:type="dxa"/>
            <w:vAlign w:val="bottom"/>
            <w:gridSpan w:val="2"/>
            <w:shd w:val="clear" w:color="auto" w:fill="CCEEFF"/>
          </w:tcPr>
          <w:p>
            <w:pPr>
              <w:ind w:left="980"/>
              <w:spacing w:after="0"/>
              <w:rPr>
                <w:sz w:val="20"/>
                <w:szCs w:val="20"/>
                <w:color w:val="auto"/>
              </w:rPr>
            </w:pPr>
            <w:r>
              <w:rPr>
                <w:rFonts w:ascii="Arial" w:cs="Arial" w:eastAsia="Arial" w:hAnsi="Arial"/>
                <w:sz w:val="14"/>
                <w:szCs w:val="14"/>
                <w:color w:val="auto"/>
              </w:rPr>
              <w:t>—</w:t>
            </w:r>
          </w:p>
        </w:tc>
        <w:tc>
          <w:tcPr>
            <w:tcW w:w="1360" w:type="dxa"/>
            <w:vAlign w:val="bottom"/>
            <w:gridSpan w:val="2"/>
            <w:shd w:val="clear" w:color="auto" w:fill="CCEEFF"/>
          </w:tcPr>
          <w:p>
            <w:pPr>
              <w:ind w:left="1000"/>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133,411</w:t>
            </w:r>
          </w:p>
        </w:tc>
        <w:tc>
          <w:tcPr>
            <w:tcW w:w="0" w:type="dxa"/>
            <w:vAlign w:val="bottom"/>
          </w:tcPr>
          <w:p>
            <w:pPr>
              <w:spacing w:after="0"/>
              <w:rPr>
                <w:sz w:val="1"/>
                <w:szCs w:val="1"/>
                <w:color w:val="auto"/>
              </w:rPr>
            </w:pPr>
          </w:p>
        </w:tc>
      </w:tr>
      <w:tr>
        <w:trPr>
          <w:trHeight w:val="264"/>
        </w:trPr>
        <w:tc>
          <w:tcPr>
            <w:tcW w:w="1960" w:type="dxa"/>
            <w:vAlign w:val="bottom"/>
            <w:gridSpan w:val="2"/>
          </w:tcPr>
          <w:p>
            <w:pPr>
              <w:ind w:left="40"/>
              <w:spacing w:after="0"/>
              <w:rPr>
                <w:sz w:val="20"/>
                <w:szCs w:val="20"/>
                <w:color w:val="auto"/>
              </w:rPr>
            </w:pPr>
            <w:r>
              <w:rPr>
                <w:rFonts w:ascii="Arial" w:cs="Arial" w:eastAsia="Arial" w:hAnsi="Arial"/>
                <w:sz w:val="14"/>
                <w:szCs w:val="14"/>
                <w:color w:val="auto"/>
              </w:rPr>
              <w:t>C. Michael Schroeder</w:t>
            </w: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70,000</w:t>
            </w:r>
          </w:p>
        </w:tc>
        <w:tc>
          <w:tcPr>
            <w:tcW w:w="120" w:type="dxa"/>
            <w:vAlign w:val="bottom"/>
          </w:tcPr>
          <w:p>
            <w:pPr>
              <w:spacing w:after="0"/>
              <w:rPr>
                <w:sz w:val="22"/>
                <w:szCs w:val="22"/>
                <w:color w:val="auto"/>
              </w:rPr>
            </w:pPr>
          </w:p>
        </w:tc>
        <w:tc>
          <w:tcPr>
            <w:tcW w:w="1380" w:type="dxa"/>
            <w:vAlign w:val="bottom"/>
            <w:gridSpan w:val="2"/>
          </w:tcPr>
          <w:p>
            <w:pPr>
              <w:ind w:left="1000"/>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63,911</w:t>
            </w:r>
          </w:p>
        </w:tc>
        <w:tc>
          <w:tcPr>
            <w:tcW w:w="100" w:type="dxa"/>
            <w:vAlign w:val="bottom"/>
          </w:tcPr>
          <w:p>
            <w:pPr>
              <w:spacing w:after="0"/>
              <w:rPr>
                <w:sz w:val="22"/>
                <w:szCs w:val="22"/>
                <w:color w:val="auto"/>
              </w:rPr>
            </w:pPr>
          </w:p>
        </w:tc>
        <w:tc>
          <w:tcPr>
            <w:tcW w:w="1360" w:type="dxa"/>
            <w:vAlign w:val="bottom"/>
            <w:gridSpan w:val="2"/>
          </w:tcPr>
          <w:p>
            <w:pPr>
              <w:ind w:left="1000"/>
              <w:spacing w:after="0"/>
              <w:rPr>
                <w:sz w:val="20"/>
                <w:szCs w:val="20"/>
                <w:color w:val="auto"/>
              </w:rPr>
            </w:pPr>
            <w:r>
              <w:rPr>
                <w:rFonts w:ascii="Arial" w:cs="Arial" w:eastAsia="Arial" w:hAnsi="Arial"/>
                <w:sz w:val="14"/>
                <w:szCs w:val="14"/>
                <w:color w:val="auto"/>
              </w:rPr>
              <w:t>—</w:t>
            </w:r>
          </w:p>
        </w:tc>
        <w:tc>
          <w:tcPr>
            <w:tcW w:w="1340" w:type="dxa"/>
            <w:vAlign w:val="bottom"/>
            <w:gridSpan w:val="2"/>
          </w:tcPr>
          <w:p>
            <w:pPr>
              <w:ind w:left="980"/>
              <w:spacing w:after="0"/>
              <w:rPr>
                <w:sz w:val="20"/>
                <w:szCs w:val="20"/>
                <w:color w:val="auto"/>
              </w:rPr>
            </w:pPr>
            <w:r>
              <w:rPr>
                <w:rFonts w:ascii="Arial" w:cs="Arial" w:eastAsia="Arial" w:hAnsi="Arial"/>
                <w:sz w:val="14"/>
                <w:szCs w:val="14"/>
                <w:color w:val="auto"/>
              </w:rPr>
              <w:t>—</w:t>
            </w:r>
          </w:p>
        </w:tc>
        <w:tc>
          <w:tcPr>
            <w:tcW w:w="1360" w:type="dxa"/>
            <w:vAlign w:val="bottom"/>
            <w:gridSpan w:val="2"/>
          </w:tcPr>
          <w:p>
            <w:pPr>
              <w:ind w:left="1000"/>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133,911</w:t>
            </w:r>
          </w:p>
        </w:tc>
        <w:tc>
          <w:tcPr>
            <w:tcW w:w="0" w:type="dxa"/>
            <w:vAlign w:val="bottom"/>
          </w:tcPr>
          <w:p>
            <w:pPr>
              <w:spacing w:after="0"/>
              <w:rPr>
                <w:sz w:val="1"/>
                <w:szCs w:val="1"/>
                <w:color w:val="auto"/>
              </w:rPr>
            </w:pPr>
          </w:p>
        </w:tc>
      </w:tr>
      <w:tr>
        <w:trPr>
          <w:trHeight w:val="276"/>
        </w:trPr>
        <w:tc>
          <w:tcPr>
            <w:tcW w:w="19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William David Wade</w:t>
            </w:r>
          </w:p>
        </w:tc>
        <w:tc>
          <w:tcPr>
            <w:tcW w:w="1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64,000</w:t>
            </w:r>
          </w:p>
        </w:tc>
        <w:tc>
          <w:tcPr>
            <w:tcW w:w="12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ind w:left="1000"/>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185,931</w:t>
            </w:r>
          </w:p>
        </w:tc>
        <w:tc>
          <w:tcPr>
            <w:tcW w:w="10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ind w:left="1000"/>
              <w:spacing w:after="0"/>
              <w:rPr>
                <w:sz w:val="20"/>
                <w:szCs w:val="20"/>
                <w:color w:val="auto"/>
              </w:rPr>
            </w:pPr>
            <w:r>
              <w:rPr>
                <w:rFonts w:ascii="Arial" w:cs="Arial" w:eastAsia="Arial" w:hAnsi="Arial"/>
                <w:sz w:val="14"/>
                <w:szCs w:val="14"/>
                <w:color w:val="auto"/>
              </w:rPr>
              <w:t>—</w:t>
            </w:r>
          </w:p>
        </w:tc>
        <w:tc>
          <w:tcPr>
            <w:tcW w:w="1340" w:type="dxa"/>
            <w:vAlign w:val="bottom"/>
            <w:gridSpan w:val="2"/>
            <w:shd w:val="clear" w:color="auto" w:fill="CCEEFF"/>
          </w:tcPr>
          <w:p>
            <w:pPr>
              <w:ind w:left="980"/>
              <w:spacing w:after="0"/>
              <w:rPr>
                <w:sz w:val="20"/>
                <w:szCs w:val="20"/>
                <w:color w:val="auto"/>
              </w:rPr>
            </w:pPr>
            <w:r>
              <w:rPr>
                <w:rFonts w:ascii="Arial" w:cs="Arial" w:eastAsia="Arial" w:hAnsi="Arial"/>
                <w:sz w:val="14"/>
                <w:szCs w:val="14"/>
                <w:color w:val="auto"/>
              </w:rPr>
              <w:t>—</w:t>
            </w:r>
          </w:p>
        </w:tc>
        <w:tc>
          <w:tcPr>
            <w:tcW w:w="1360" w:type="dxa"/>
            <w:vAlign w:val="bottom"/>
            <w:gridSpan w:val="2"/>
            <w:shd w:val="clear" w:color="auto" w:fill="CCEEFF"/>
          </w:tcPr>
          <w:p>
            <w:pPr>
              <w:ind w:left="1000"/>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249,931</w:t>
            </w:r>
          </w:p>
        </w:tc>
        <w:tc>
          <w:tcPr>
            <w:tcW w:w="0" w:type="dxa"/>
            <w:vAlign w:val="bottom"/>
          </w:tcPr>
          <w:p>
            <w:pPr>
              <w:spacing w:after="0"/>
              <w:rPr>
                <w:sz w:val="1"/>
                <w:szCs w:val="1"/>
                <w:color w:val="auto"/>
              </w:rPr>
            </w:pPr>
          </w:p>
        </w:tc>
      </w:tr>
      <w:tr>
        <w:trPr>
          <w:trHeight w:val="115"/>
        </w:trPr>
        <w:tc>
          <w:tcPr>
            <w:tcW w:w="18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85" w:lineRule="exact"/>
        <w:rPr>
          <w:sz w:val="20"/>
          <w:szCs w:val="20"/>
          <w:color w:val="auto"/>
        </w:rPr>
      </w:pPr>
    </w:p>
    <w:p>
      <w:pPr>
        <w:jc w:val="both"/>
        <w:ind w:left="340" w:hanging="332"/>
        <w:spacing w:after="0" w:line="257" w:lineRule="auto"/>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amounts reported in the “Option Awards” column reflect the aggregate grant date fair values in accordance with FASB ASC Topic 718. Assumptions used in the calculation of these amounts are included in Note 15 to the Corporation’s audited financial statements for the fiscal year ended December 31, 2017, included in the Corporation’s Annual Report on Form 10-K filed with the SEC on February 22, 2018.</w:t>
      </w:r>
    </w:p>
    <w:p>
      <w:pPr>
        <w:spacing w:after="0" w:line="36" w:lineRule="exact"/>
        <w:rPr>
          <w:rFonts w:ascii="Arial" w:cs="Arial" w:eastAsia="Arial" w:hAnsi="Arial"/>
          <w:sz w:val="14"/>
          <w:szCs w:val="14"/>
          <w:color w:val="auto"/>
        </w:rPr>
      </w:pPr>
    </w:p>
    <w:p>
      <w:pPr>
        <w:jc w:val="both"/>
        <w:ind w:left="340" w:hanging="332"/>
        <w:spacing w:after="0" w:line="257" w:lineRule="auto"/>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Mr. Dodge became a non-employee director upon his resignation in October 2017 from his position as Executive Vice President, General Counsel, Corporate Communications and Secretary of DISH. Mr. Dodge did not earn any cash or non-cash compensation for his service as a director for the fiscal year ended December 31, 2017 other than the fourth quarter installment of the annual cash retainer.</w:t>
      </w:r>
    </w:p>
    <w:p>
      <w:pPr>
        <w:spacing w:after="0" w:line="25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Pursuant to our Amended and Restated 2008 Non-Employee Director Stock Option Plan (the “2008 Director Plan”), Mr. Wade was granted an option to acquire 10,000 Class A Shares at an exercise price of $56.95 per share on April 1, 2017 following his appointment to our Board of Directors on February 7, 2017. Pursuant to our EchoStar Corporation 2017 Non-Employee Director Stock Incentive Plan (the “2017 Director Plan”), each of Messrs. Federico, Ortolf, Schroeder and Wade was granted an option to acquire 5,000 Class A Shares at an exercise price of $60.70 per share on July 1, 2017 for services performed in 2017. All of these options granted in 2017 were 100% vested upon issuance.</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364"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i w:val="1"/>
          <w:iCs w:val="1"/>
          <w:color w:val="auto"/>
        </w:rPr>
        <w:t>Incentive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Non-employee Director Stock Option Plan</w:t>
      </w:r>
    </w:p>
    <w:p>
      <w:pPr>
        <w:spacing w:after="0" w:line="225" w:lineRule="exact"/>
        <w:rPr>
          <w:sz w:val="20"/>
          <w:szCs w:val="20"/>
          <w:color w:val="auto"/>
        </w:rPr>
      </w:pPr>
    </w:p>
    <w:p>
      <w:pPr>
        <w:ind w:right="300"/>
        <w:spacing w:after="0" w:line="286" w:lineRule="auto"/>
        <w:rPr>
          <w:sz w:val="20"/>
          <w:szCs w:val="20"/>
          <w:color w:val="auto"/>
        </w:rPr>
      </w:pPr>
      <w:r>
        <w:rPr>
          <w:rFonts w:ascii="Arial" w:cs="Arial" w:eastAsia="Arial" w:hAnsi="Arial"/>
          <w:sz w:val="17"/>
          <w:szCs w:val="17"/>
          <w:color w:val="auto"/>
        </w:rPr>
        <w:t>In 2008, we adopted our 2008 Director Plan pursuant to which we have granted options to our non-employee directors. In 2017, we adopted our 2017 Director Plan pursuant to which we grant options and other equity awards to our non-employee directors. We have not granted any options under the 2008 Director Plan after May 2, 2017. We refer to our 2008 Director Plan and 2017 Director Plan as our “Director Plans.”</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purpose of the Director Plans is to advance our interests through the motivation, attraction and retention of highly-qualified non-employee directors. Upon initial election or appointment to our Board of Directors as a non-employee director, our non-employee directors are granted a fully-vested option to acquire 10,000 Class A Shares with a grant date on the first day of the calendar quarter following the quarter in which such person is so elected or appointed to the Board of Directors. In our discretion, we may also grant non-employee directors further options to acquire our Class A Shares or other equity awards. Options we have granted under our Director Plans are 100% vested upon issuance and have a term of five years. As of December 31, 2017, 53,000 shares of our Class A Shares were available for issuance under the 2008 Director Plan and 130,000 shares of our Class A Shares were available for issuance under the 2017 Director Plan.</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368" w:right="239" w:bottom="1440" w:gutter="0" w:footer="0" w:header="0"/>
        </w:sectPr>
      </w:pPr>
    </w:p>
    <w:bookmarkStart w:id="10" w:name="page11"/>
    <w:bookmarkEnd w:id="10"/>
    <w:p>
      <w:pPr>
        <w:spacing w:after="0" w:line="277" w:lineRule="auto"/>
        <w:rPr>
          <w:sz w:val="20"/>
          <w:szCs w:val="20"/>
          <w:color w:val="auto"/>
        </w:rPr>
      </w:pPr>
      <w:r>
        <w:rPr>
          <w:rFonts w:ascii="Arial" w:cs="Arial" w:eastAsia="Arial" w:hAnsi="Arial"/>
          <w:sz w:val="18"/>
          <w:szCs w:val="18"/>
          <w:color w:val="auto"/>
        </w:rPr>
        <w:t>Our non-employee directors do not hold any stock awards except those granted to them pursuant to the Director Plans. The following options were granted to our non-employee directors pursuant to the Director Plans and were outstanding as of December 31, 2017:</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0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60" w:type="dxa"/>
            <w:vAlign w:val="bottom"/>
            <w:gridSpan w:val="2"/>
          </w:tcPr>
          <w:p>
            <w:pPr>
              <w:ind w:left="600"/>
              <w:spacing w:after="0"/>
              <w:rPr>
                <w:sz w:val="20"/>
                <w:szCs w:val="20"/>
                <w:color w:val="auto"/>
              </w:rPr>
            </w:pPr>
            <w:r>
              <w:rPr>
                <w:rFonts w:ascii="Arial" w:cs="Arial" w:eastAsia="Arial" w:hAnsi="Arial"/>
                <w:sz w:val="14"/>
                <w:szCs w:val="14"/>
                <w:b w:val="1"/>
                <w:bCs w:val="1"/>
                <w:color w:val="auto"/>
              </w:rPr>
              <w:t>Option Awards</w:t>
            </w:r>
          </w:p>
        </w:tc>
        <w:tc>
          <w:tcPr>
            <w:tcW w:w="2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4700" w:type="dxa"/>
            <w:vAlign w:val="bottom"/>
          </w:tcPr>
          <w:p>
            <w:pPr>
              <w:spacing w:after="0"/>
              <w:rPr>
                <w:sz w:val="4"/>
                <w:szCs w:val="4"/>
                <w:color w:val="auto"/>
              </w:rPr>
            </w:pPr>
          </w:p>
        </w:tc>
        <w:tc>
          <w:tcPr>
            <w:tcW w:w="21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1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6"/>
        </w:trPr>
        <w:tc>
          <w:tcPr>
            <w:tcW w:w="4700" w:type="dxa"/>
            <w:vAlign w:val="bottom"/>
          </w:tcPr>
          <w:p>
            <w:pPr>
              <w:spacing w:after="0"/>
              <w:rPr>
                <w:sz w:val="12"/>
                <w:szCs w:val="12"/>
                <w:color w:val="auto"/>
              </w:rPr>
            </w:pPr>
          </w:p>
        </w:tc>
        <w:tc>
          <w:tcPr>
            <w:tcW w:w="218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2"/>
              </w:rPr>
              <w:t>Number of Securities</w:t>
            </w:r>
          </w:p>
        </w:tc>
        <w:tc>
          <w:tcPr>
            <w:tcW w:w="120" w:type="dxa"/>
            <w:vAlign w:val="bottom"/>
          </w:tcPr>
          <w:p>
            <w:pPr>
              <w:spacing w:after="0"/>
              <w:rPr>
                <w:sz w:val="12"/>
                <w:szCs w:val="12"/>
                <w:color w:val="auto"/>
              </w:rPr>
            </w:pPr>
          </w:p>
        </w:tc>
        <w:tc>
          <w:tcPr>
            <w:tcW w:w="22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3"/>
              </w:rPr>
              <w:t>Option</w:t>
            </w:r>
          </w:p>
        </w:tc>
        <w:tc>
          <w:tcPr>
            <w:tcW w:w="2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4700" w:type="dxa"/>
            <w:vAlign w:val="bottom"/>
          </w:tcPr>
          <w:p>
            <w:pPr>
              <w:spacing w:after="0"/>
              <w:rPr>
                <w:sz w:val="5"/>
                <w:szCs w:val="5"/>
                <w:color w:val="auto"/>
              </w:rPr>
            </w:pPr>
          </w:p>
        </w:tc>
        <w:tc>
          <w:tcPr>
            <w:tcW w:w="218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5"/>
              </w:rPr>
              <w:t>Underlying</w:t>
            </w:r>
          </w:p>
        </w:tc>
        <w:tc>
          <w:tcPr>
            <w:tcW w:w="120" w:type="dxa"/>
            <w:vAlign w:val="bottom"/>
          </w:tcPr>
          <w:p>
            <w:pPr>
              <w:spacing w:after="0"/>
              <w:rPr>
                <w:sz w:val="5"/>
                <w:szCs w:val="5"/>
                <w:color w:val="auto"/>
              </w:rPr>
            </w:pPr>
          </w:p>
        </w:tc>
        <w:tc>
          <w:tcPr>
            <w:tcW w:w="2260" w:type="dxa"/>
            <w:vAlign w:val="bottom"/>
            <w:gridSpan w:val="2"/>
            <w:vMerge w:val="continue"/>
          </w:tcPr>
          <w:p>
            <w:pPr>
              <w:spacing w:after="0"/>
              <w:rPr>
                <w:sz w:val="5"/>
                <w:szCs w:val="5"/>
                <w:color w:val="auto"/>
              </w:rPr>
            </w:pPr>
          </w:p>
        </w:tc>
        <w:tc>
          <w:tcPr>
            <w:tcW w:w="2160" w:type="dxa"/>
            <w:vAlign w:val="bottom"/>
            <w:vMerge w:val="restart"/>
          </w:tcPr>
          <w:p>
            <w:pPr>
              <w:jc w:val="right"/>
              <w:ind w:right="808"/>
              <w:spacing w:after="0" w:line="149" w:lineRule="exact"/>
              <w:rPr>
                <w:sz w:val="20"/>
                <w:szCs w:val="20"/>
                <w:color w:val="auto"/>
              </w:rPr>
            </w:pPr>
            <w:r>
              <w:rPr>
                <w:rFonts w:ascii="Arial" w:cs="Arial" w:eastAsia="Arial" w:hAnsi="Arial"/>
                <w:sz w:val="14"/>
                <w:szCs w:val="14"/>
                <w:b w:val="1"/>
                <w:bCs w:val="1"/>
                <w:color w:val="auto"/>
              </w:rPr>
              <w:t>Option</w:t>
            </w:r>
          </w:p>
        </w:tc>
        <w:tc>
          <w:tcPr>
            <w:tcW w:w="0" w:type="dxa"/>
            <w:vAlign w:val="bottom"/>
          </w:tcPr>
          <w:p>
            <w:pPr>
              <w:spacing w:after="0"/>
              <w:rPr>
                <w:sz w:val="1"/>
                <w:szCs w:val="1"/>
                <w:color w:val="auto"/>
              </w:rPr>
            </w:pPr>
          </w:p>
        </w:tc>
      </w:tr>
      <w:tr>
        <w:trPr>
          <w:trHeight w:val="81"/>
        </w:trPr>
        <w:tc>
          <w:tcPr>
            <w:tcW w:w="4700" w:type="dxa"/>
            <w:vAlign w:val="bottom"/>
            <w:vMerge w:val="restart"/>
          </w:tcPr>
          <w:p>
            <w:pPr>
              <w:ind w:left="2120"/>
              <w:spacing w:after="0" w:line="149" w:lineRule="exact"/>
              <w:rPr>
                <w:sz w:val="20"/>
                <w:szCs w:val="20"/>
                <w:color w:val="auto"/>
              </w:rPr>
            </w:pPr>
            <w:r>
              <w:rPr>
                <w:rFonts w:ascii="Arial" w:cs="Arial" w:eastAsia="Arial" w:hAnsi="Arial"/>
                <w:sz w:val="14"/>
                <w:szCs w:val="14"/>
                <w:b w:val="1"/>
                <w:bCs w:val="1"/>
                <w:color w:val="auto"/>
              </w:rPr>
              <w:t>Name</w:t>
            </w:r>
          </w:p>
        </w:tc>
        <w:tc>
          <w:tcPr>
            <w:tcW w:w="21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2260" w:type="dxa"/>
            <w:vAlign w:val="bottom"/>
            <w:gridSpan w:val="2"/>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Exercise</w:t>
            </w:r>
          </w:p>
        </w:tc>
        <w:tc>
          <w:tcPr>
            <w:tcW w:w="2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4700" w:type="dxa"/>
            <w:vAlign w:val="bottom"/>
            <w:vMerge w:val="continue"/>
          </w:tcPr>
          <w:p>
            <w:pPr>
              <w:spacing w:after="0"/>
              <w:rPr>
                <w:sz w:val="5"/>
                <w:szCs w:val="5"/>
                <w:color w:val="auto"/>
              </w:rPr>
            </w:pPr>
          </w:p>
        </w:tc>
        <w:tc>
          <w:tcPr>
            <w:tcW w:w="218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1"/>
              </w:rPr>
              <w:t>Unexercised Options</w:t>
            </w:r>
          </w:p>
        </w:tc>
        <w:tc>
          <w:tcPr>
            <w:tcW w:w="120" w:type="dxa"/>
            <w:vAlign w:val="bottom"/>
          </w:tcPr>
          <w:p>
            <w:pPr>
              <w:spacing w:after="0"/>
              <w:rPr>
                <w:sz w:val="5"/>
                <w:szCs w:val="5"/>
                <w:color w:val="auto"/>
              </w:rPr>
            </w:pPr>
          </w:p>
        </w:tc>
        <w:tc>
          <w:tcPr>
            <w:tcW w:w="2260" w:type="dxa"/>
            <w:vAlign w:val="bottom"/>
            <w:gridSpan w:val="2"/>
            <w:vMerge w:val="continue"/>
          </w:tcPr>
          <w:p>
            <w:pPr>
              <w:spacing w:after="0"/>
              <w:rPr>
                <w:sz w:val="5"/>
                <w:szCs w:val="5"/>
                <w:color w:val="auto"/>
              </w:rPr>
            </w:pPr>
          </w:p>
        </w:tc>
        <w:tc>
          <w:tcPr>
            <w:tcW w:w="2160" w:type="dxa"/>
            <w:vAlign w:val="bottom"/>
            <w:vMerge w:val="restart"/>
          </w:tcPr>
          <w:p>
            <w:pPr>
              <w:jc w:val="right"/>
              <w:ind w:right="508"/>
              <w:spacing w:after="0" w:line="149" w:lineRule="exact"/>
              <w:rPr>
                <w:sz w:val="20"/>
                <w:szCs w:val="20"/>
                <w:color w:val="auto"/>
              </w:rPr>
            </w:pPr>
            <w:r>
              <w:rPr>
                <w:rFonts w:ascii="Arial" w:cs="Arial" w:eastAsia="Arial" w:hAnsi="Arial"/>
                <w:sz w:val="14"/>
                <w:szCs w:val="14"/>
                <w:b w:val="1"/>
                <w:bCs w:val="1"/>
                <w:color w:val="auto"/>
              </w:rPr>
              <w:t>Expiration Date</w:t>
            </w:r>
          </w:p>
        </w:tc>
        <w:tc>
          <w:tcPr>
            <w:tcW w:w="0" w:type="dxa"/>
            <w:vAlign w:val="bottom"/>
          </w:tcPr>
          <w:p>
            <w:pPr>
              <w:spacing w:after="0"/>
              <w:rPr>
                <w:sz w:val="1"/>
                <w:szCs w:val="1"/>
                <w:color w:val="auto"/>
              </w:rPr>
            </w:pPr>
          </w:p>
        </w:tc>
      </w:tr>
      <w:tr>
        <w:trPr>
          <w:trHeight w:val="81"/>
        </w:trPr>
        <w:tc>
          <w:tcPr>
            <w:tcW w:w="4700" w:type="dxa"/>
            <w:vAlign w:val="bottom"/>
          </w:tcPr>
          <w:p>
            <w:pPr>
              <w:spacing w:after="0"/>
              <w:rPr>
                <w:sz w:val="7"/>
                <w:szCs w:val="7"/>
                <w:color w:val="auto"/>
              </w:rPr>
            </w:pPr>
          </w:p>
        </w:tc>
        <w:tc>
          <w:tcPr>
            <w:tcW w:w="21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22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7"/>
              </w:rPr>
              <w:t>Price ($)</w:t>
            </w:r>
          </w:p>
        </w:tc>
        <w:tc>
          <w:tcPr>
            <w:tcW w:w="2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4700" w:type="dxa"/>
            <w:vAlign w:val="bottom"/>
          </w:tcPr>
          <w:p>
            <w:pPr>
              <w:spacing w:after="0"/>
              <w:rPr>
                <w:sz w:val="9"/>
                <w:szCs w:val="9"/>
                <w:color w:val="auto"/>
              </w:rPr>
            </w:pPr>
          </w:p>
        </w:tc>
        <w:tc>
          <w:tcPr>
            <w:tcW w:w="21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Exercisable (#)</w:t>
            </w:r>
          </w:p>
        </w:tc>
        <w:tc>
          <w:tcPr>
            <w:tcW w:w="120" w:type="dxa"/>
            <w:vAlign w:val="bottom"/>
          </w:tcPr>
          <w:p>
            <w:pPr>
              <w:spacing w:after="0"/>
              <w:rPr>
                <w:sz w:val="9"/>
                <w:szCs w:val="9"/>
                <w:color w:val="auto"/>
              </w:rPr>
            </w:pPr>
          </w:p>
        </w:tc>
        <w:tc>
          <w:tcPr>
            <w:tcW w:w="2260" w:type="dxa"/>
            <w:vAlign w:val="bottom"/>
            <w:gridSpan w:val="2"/>
            <w:vMerge w:val="continue"/>
          </w:tcPr>
          <w:p>
            <w:pPr>
              <w:spacing w:after="0"/>
              <w:rPr>
                <w:sz w:val="9"/>
                <w:szCs w:val="9"/>
                <w:color w:val="auto"/>
              </w:rPr>
            </w:pPr>
          </w:p>
        </w:tc>
        <w:tc>
          <w:tcPr>
            <w:tcW w:w="2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4700" w:type="dxa"/>
            <w:vAlign w:val="bottom"/>
            <w:tcBorders>
              <w:bottom w:val="single" w:sz="8" w:color="CCEEFF"/>
            </w:tcBorders>
          </w:tcPr>
          <w:p>
            <w:pPr>
              <w:spacing w:after="0"/>
              <w:rPr>
                <w:sz w:val="7"/>
                <w:szCs w:val="7"/>
                <w:color w:val="auto"/>
              </w:rPr>
            </w:pPr>
          </w:p>
        </w:tc>
        <w:tc>
          <w:tcPr>
            <w:tcW w:w="2180" w:type="dxa"/>
            <w:vAlign w:val="bottom"/>
            <w:tcBorders>
              <w:bottom w:val="single" w:sz="8" w:color="auto"/>
            </w:tcBorders>
            <w:vMerge w:val="continue"/>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216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21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50"/>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R. Stanton Dodge (1)</w:t>
            </w:r>
          </w:p>
        </w:tc>
        <w:tc>
          <w:tcPr>
            <w:tcW w:w="2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1"/>
                <w:szCs w:val="21"/>
                <w:color w:val="auto"/>
              </w:rPr>
            </w:pPr>
          </w:p>
        </w:tc>
        <w:tc>
          <w:tcPr>
            <w:tcW w:w="22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N/A</w:t>
            </w:r>
          </w:p>
        </w:tc>
        <w:tc>
          <w:tcPr>
            <w:tcW w:w="2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283"/>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Total Options Outstanding at December 31, 2017</w:t>
            </w:r>
          </w:p>
        </w:tc>
        <w:tc>
          <w:tcPr>
            <w:tcW w:w="2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4"/>
                <w:szCs w:val="24"/>
                <w:color w:val="auto"/>
              </w:rPr>
            </w:pPr>
          </w:p>
        </w:tc>
        <w:tc>
          <w:tcPr>
            <w:tcW w:w="2260" w:type="dxa"/>
            <w:vAlign w:val="bottom"/>
            <w:tcBorders>
              <w:bottom w:val="single" w:sz="8" w:color="CCEEFF"/>
            </w:tcBorders>
            <w:gridSpan w:val="2"/>
          </w:tcPr>
          <w:p>
            <w:pPr>
              <w:jc w:val="right"/>
              <w:ind w:right="220"/>
              <w:spacing w:after="0"/>
              <w:rPr>
                <w:sz w:val="20"/>
                <w:szCs w:val="20"/>
                <w:color w:val="auto"/>
              </w:rPr>
            </w:pPr>
            <w:r>
              <w:rPr>
                <w:rFonts w:ascii="Arial" w:cs="Arial" w:eastAsia="Arial" w:hAnsi="Arial"/>
                <w:sz w:val="14"/>
                <w:szCs w:val="14"/>
                <w:color w:val="auto"/>
              </w:rPr>
              <w:t>N/A</w:t>
            </w:r>
          </w:p>
        </w:tc>
        <w:tc>
          <w:tcPr>
            <w:tcW w:w="216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264"/>
        </w:trPr>
        <w:tc>
          <w:tcPr>
            <w:tcW w:w="4700" w:type="dxa"/>
            <w:vAlign w:val="bottom"/>
            <w:shd w:val="clear" w:color="auto" w:fill="CCEEFF"/>
          </w:tcPr>
          <w:p>
            <w:pPr>
              <w:spacing w:after="0"/>
              <w:rPr>
                <w:sz w:val="22"/>
                <w:szCs w:val="22"/>
                <w:color w:val="auto"/>
              </w:rPr>
            </w:pPr>
          </w:p>
        </w:tc>
        <w:tc>
          <w:tcPr>
            <w:tcW w:w="2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Anthony M. Federico</w:t>
            </w:r>
          </w:p>
        </w:tc>
        <w:tc>
          <w:tcPr>
            <w:tcW w:w="2180" w:type="dxa"/>
            <w:vAlign w:val="bottom"/>
          </w:tcPr>
          <w:p>
            <w:pPr>
              <w:jc w:val="right"/>
              <w:ind w:right="28"/>
              <w:spacing w:after="0"/>
              <w:rPr>
                <w:sz w:val="20"/>
                <w:szCs w:val="20"/>
                <w:color w:val="auto"/>
              </w:rPr>
            </w:pPr>
            <w:r>
              <w:rPr>
                <w:rFonts w:ascii="Arial" w:cs="Arial" w:eastAsia="Arial" w:hAnsi="Arial"/>
                <w:sz w:val="14"/>
                <w:szCs w:val="14"/>
                <w:color w:val="auto"/>
              </w:rPr>
              <w:t>5,000</w:t>
            </w:r>
          </w:p>
        </w:tc>
        <w:tc>
          <w:tcPr>
            <w:tcW w:w="2280" w:type="dxa"/>
            <w:vAlign w:val="bottom"/>
            <w:gridSpan w:val="2"/>
          </w:tcPr>
          <w:p>
            <w:pPr>
              <w:jc w:val="right"/>
              <w:ind w:right="48"/>
              <w:spacing w:after="0"/>
              <w:rPr>
                <w:sz w:val="20"/>
                <w:szCs w:val="20"/>
                <w:color w:val="auto"/>
              </w:rPr>
            </w:pPr>
            <w:r>
              <w:rPr>
                <w:rFonts w:ascii="Arial" w:cs="Arial" w:eastAsia="Arial" w:hAnsi="Arial"/>
                <w:sz w:val="14"/>
                <w:szCs w:val="14"/>
                <w:color w:val="auto"/>
              </w:rPr>
              <w:t>39.11</w:t>
            </w:r>
          </w:p>
        </w:tc>
        <w:tc>
          <w:tcPr>
            <w:tcW w:w="100" w:type="dxa"/>
            <w:vAlign w:val="bottom"/>
          </w:tcPr>
          <w:p>
            <w:pPr>
              <w:spacing w:after="0"/>
              <w:rPr>
                <w:sz w:val="22"/>
                <w:szCs w:val="22"/>
                <w:color w:val="auto"/>
              </w:rPr>
            </w:pPr>
          </w:p>
        </w:tc>
        <w:tc>
          <w:tcPr>
            <w:tcW w:w="2160" w:type="dxa"/>
            <w:vAlign w:val="bottom"/>
          </w:tcPr>
          <w:p>
            <w:pPr>
              <w:jc w:val="right"/>
              <w:spacing w:after="0"/>
              <w:rPr>
                <w:sz w:val="20"/>
                <w:szCs w:val="20"/>
                <w:color w:val="auto"/>
              </w:rPr>
            </w:pPr>
            <w:r>
              <w:rPr>
                <w:rFonts w:ascii="Arial" w:cs="Arial" w:eastAsia="Arial" w:hAnsi="Arial"/>
                <w:sz w:val="14"/>
                <w:szCs w:val="14"/>
                <w:color w:val="auto"/>
              </w:rPr>
              <w:t>6/30/2018</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spacing w:after="0"/>
              <w:rPr>
                <w:sz w:val="24"/>
                <w:szCs w:val="24"/>
                <w:color w:val="auto"/>
              </w:rPr>
            </w:pPr>
          </w:p>
        </w:tc>
        <w:tc>
          <w:tcPr>
            <w:tcW w:w="2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5,000</w:t>
            </w:r>
          </w:p>
        </w:tc>
        <w:tc>
          <w:tcPr>
            <w:tcW w:w="228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52.50</w:t>
            </w:r>
          </w:p>
        </w:tc>
        <w:tc>
          <w:tcPr>
            <w:tcW w:w="100" w:type="dxa"/>
            <w:vAlign w:val="bottom"/>
            <w:shd w:val="clear" w:color="auto" w:fill="CCEEFF"/>
          </w:tcPr>
          <w:p>
            <w:pPr>
              <w:spacing w:after="0"/>
              <w:rPr>
                <w:sz w:val="24"/>
                <w:szCs w:val="24"/>
                <w:color w:val="auto"/>
              </w:rPr>
            </w:pPr>
          </w:p>
        </w:tc>
        <w:tc>
          <w:tcPr>
            <w:tcW w:w="2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1/1/2020</w:t>
            </w:r>
          </w:p>
        </w:tc>
        <w:tc>
          <w:tcPr>
            <w:tcW w:w="0" w:type="dxa"/>
            <w:vAlign w:val="bottom"/>
          </w:tcPr>
          <w:p>
            <w:pPr>
              <w:spacing w:after="0"/>
              <w:rPr>
                <w:sz w:val="1"/>
                <w:szCs w:val="1"/>
                <w:color w:val="auto"/>
              </w:rPr>
            </w:pPr>
          </w:p>
        </w:tc>
      </w:tr>
      <w:tr>
        <w:trPr>
          <w:trHeight w:val="264"/>
        </w:trPr>
        <w:tc>
          <w:tcPr>
            <w:tcW w:w="4700" w:type="dxa"/>
            <w:vAlign w:val="bottom"/>
          </w:tcPr>
          <w:p>
            <w:pPr>
              <w:spacing w:after="0"/>
              <w:rPr>
                <w:sz w:val="22"/>
                <w:szCs w:val="22"/>
                <w:color w:val="auto"/>
              </w:rPr>
            </w:pPr>
          </w:p>
        </w:tc>
        <w:tc>
          <w:tcPr>
            <w:tcW w:w="2180" w:type="dxa"/>
            <w:vAlign w:val="bottom"/>
          </w:tcPr>
          <w:p>
            <w:pPr>
              <w:jc w:val="right"/>
              <w:ind w:right="28"/>
              <w:spacing w:after="0"/>
              <w:rPr>
                <w:sz w:val="20"/>
                <w:szCs w:val="20"/>
                <w:color w:val="auto"/>
              </w:rPr>
            </w:pPr>
            <w:r>
              <w:rPr>
                <w:rFonts w:ascii="Arial" w:cs="Arial" w:eastAsia="Arial" w:hAnsi="Arial"/>
                <w:sz w:val="14"/>
                <w:szCs w:val="14"/>
                <w:color w:val="auto"/>
              </w:rPr>
              <w:t>5,000</w:t>
            </w:r>
          </w:p>
        </w:tc>
        <w:tc>
          <w:tcPr>
            <w:tcW w:w="2280" w:type="dxa"/>
            <w:vAlign w:val="bottom"/>
            <w:gridSpan w:val="2"/>
          </w:tcPr>
          <w:p>
            <w:pPr>
              <w:jc w:val="right"/>
              <w:ind w:right="48"/>
              <w:spacing w:after="0"/>
              <w:rPr>
                <w:sz w:val="20"/>
                <w:szCs w:val="20"/>
                <w:color w:val="auto"/>
              </w:rPr>
            </w:pPr>
            <w:r>
              <w:rPr>
                <w:rFonts w:ascii="Arial" w:cs="Arial" w:eastAsia="Arial" w:hAnsi="Arial"/>
                <w:sz w:val="14"/>
                <w:szCs w:val="14"/>
                <w:color w:val="auto"/>
              </w:rPr>
              <w:t>49.29</w:t>
            </w:r>
          </w:p>
        </w:tc>
        <w:tc>
          <w:tcPr>
            <w:tcW w:w="100" w:type="dxa"/>
            <w:vAlign w:val="bottom"/>
          </w:tcPr>
          <w:p>
            <w:pPr>
              <w:spacing w:after="0"/>
              <w:rPr>
                <w:sz w:val="22"/>
                <w:szCs w:val="22"/>
                <w:color w:val="auto"/>
              </w:rPr>
            </w:pPr>
          </w:p>
        </w:tc>
        <w:tc>
          <w:tcPr>
            <w:tcW w:w="2160" w:type="dxa"/>
            <w:vAlign w:val="bottom"/>
          </w:tcPr>
          <w:p>
            <w:pPr>
              <w:jc w:val="right"/>
              <w:spacing w:after="0"/>
              <w:rPr>
                <w:sz w:val="20"/>
                <w:szCs w:val="20"/>
                <w:color w:val="auto"/>
              </w:rPr>
            </w:pPr>
            <w:r>
              <w:rPr>
                <w:rFonts w:ascii="Arial" w:cs="Arial" w:eastAsia="Arial" w:hAnsi="Arial"/>
                <w:sz w:val="14"/>
                <w:szCs w:val="14"/>
                <w:color w:val="auto"/>
              </w:rPr>
              <w:t>7/1/2020</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spacing w:after="0"/>
              <w:rPr>
                <w:sz w:val="24"/>
                <w:szCs w:val="24"/>
                <w:color w:val="auto"/>
              </w:rPr>
            </w:pPr>
          </w:p>
        </w:tc>
        <w:tc>
          <w:tcPr>
            <w:tcW w:w="2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5,000</w:t>
            </w:r>
          </w:p>
        </w:tc>
        <w:tc>
          <w:tcPr>
            <w:tcW w:w="228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39.69</w:t>
            </w:r>
          </w:p>
        </w:tc>
        <w:tc>
          <w:tcPr>
            <w:tcW w:w="100" w:type="dxa"/>
            <w:vAlign w:val="bottom"/>
            <w:shd w:val="clear" w:color="auto" w:fill="CCEEFF"/>
          </w:tcPr>
          <w:p>
            <w:pPr>
              <w:spacing w:after="0"/>
              <w:rPr>
                <w:sz w:val="24"/>
                <w:szCs w:val="24"/>
                <w:color w:val="auto"/>
              </w:rPr>
            </w:pPr>
          </w:p>
        </w:tc>
        <w:tc>
          <w:tcPr>
            <w:tcW w:w="2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7/1/2021</w:t>
            </w: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tcPr>
          <w:p>
            <w:pPr>
              <w:spacing w:after="0"/>
              <w:rPr>
                <w:sz w:val="22"/>
                <w:szCs w:val="22"/>
                <w:color w:val="auto"/>
              </w:rPr>
            </w:pPr>
          </w:p>
        </w:tc>
        <w:tc>
          <w:tcPr>
            <w:tcW w:w="2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5,000</w:t>
            </w:r>
          </w:p>
        </w:tc>
        <w:tc>
          <w:tcPr>
            <w:tcW w:w="2280" w:type="dxa"/>
            <w:vAlign w:val="bottom"/>
            <w:tcBorders>
              <w:bottom w:val="single" w:sz="8" w:color="CCEEFF"/>
            </w:tcBorders>
            <w:gridSpan w:val="2"/>
          </w:tcPr>
          <w:p>
            <w:pPr>
              <w:jc w:val="right"/>
              <w:ind w:right="48"/>
              <w:spacing w:after="0"/>
              <w:rPr>
                <w:sz w:val="20"/>
                <w:szCs w:val="20"/>
                <w:color w:val="auto"/>
              </w:rPr>
            </w:pPr>
            <w:r>
              <w:rPr>
                <w:rFonts w:ascii="Arial" w:cs="Arial" w:eastAsia="Arial" w:hAnsi="Arial"/>
                <w:sz w:val="14"/>
                <w:szCs w:val="14"/>
                <w:color w:val="auto"/>
              </w:rPr>
              <w:t>60.70</w:t>
            </w:r>
          </w:p>
        </w:tc>
        <w:tc>
          <w:tcPr>
            <w:tcW w:w="100" w:type="dxa"/>
            <w:vAlign w:val="bottom"/>
            <w:tcBorders>
              <w:bottom w:val="single" w:sz="8" w:color="CCEEFF"/>
            </w:tcBorders>
          </w:tcPr>
          <w:p>
            <w:pPr>
              <w:spacing w:after="0"/>
              <w:rPr>
                <w:sz w:val="22"/>
                <w:szCs w:val="22"/>
                <w:color w:val="auto"/>
              </w:rPr>
            </w:pPr>
          </w:p>
        </w:tc>
        <w:tc>
          <w:tcPr>
            <w:tcW w:w="216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7/1/2022</w:t>
            </w:r>
          </w:p>
        </w:tc>
        <w:tc>
          <w:tcPr>
            <w:tcW w:w="0" w:type="dxa"/>
            <w:vAlign w:val="bottom"/>
          </w:tcPr>
          <w:p>
            <w:pPr>
              <w:spacing w:after="0"/>
              <w:rPr>
                <w:sz w:val="1"/>
                <w:szCs w:val="1"/>
                <w:color w:val="auto"/>
              </w:rPr>
            </w:pPr>
          </w:p>
        </w:tc>
      </w:tr>
      <w:tr>
        <w:trPr>
          <w:trHeight w:val="243"/>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i w:val="1"/>
                <w:iCs w:val="1"/>
                <w:color w:val="auto"/>
              </w:rPr>
              <w:t>Total Options Outstanding at December 31, 2017</w:t>
            </w:r>
          </w:p>
        </w:tc>
        <w:tc>
          <w:tcPr>
            <w:tcW w:w="2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25,000</w:t>
            </w:r>
          </w:p>
        </w:tc>
        <w:tc>
          <w:tcPr>
            <w:tcW w:w="12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47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Tom A. Ortolf</w:t>
            </w:r>
          </w:p>
        </w:tc>
        <w:tc>
          <w:tcPr>
            <w:tcW w:w="2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5,000</w:t>
            </w:r>
          </w:p>
        </w:tc>
        <w:tc>
          <w:tcPr>
            <w:tcW w:w="228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39.11</w:t>
            </w:r>
          </w:p>
        </w:tc>
        <w:tc>
          <w:tcPr>
            <w:tcW w:w="100" w:type="dxa"/>
            <w:vAlign w:val="bottom"/>
            <w:shd w:val="clear" w:color="auto" w:fill="CCEEFF"/>
          </w:tcPr>
          <w:p>
            <w:pPr>
              <w:spacing w:after="0"/>
              <w:rPr>
                <w:sz w:val="23"/>
                <w:szCs w:val="23"/>
                <w:color w:val="auto"/>
              </w:rPr>
            </w:pPr>
          </w:p>
        </w:tc>
        <w:tc>
          <w:tcPr>
            <w:tcW w:w="2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6/30/2018</w:t>
            </w:r>
          </w:p>
        </w:tc>
        <w:tc>
          <w:tcPr>
            <w:tcW w:w="0" w:type="dxa"/>
            <w:vAlign w:val="bottom"/>
          </w:tcPr>
          <w:p>
            <w:pPr>
              <w:spacing w:after="0"/>
              <w:rPr>
                <w:sz w:val="1"/>
                <w:szCs w:val="1"/>
                <w:color w:val="auto"/>
              </w:rPr>
            </w:pPr>
          </w:p>
        </w:tc>
      </w:tr>
      <w:tr>
        <w:trPr>
          <w:trHeight w:val="264"/>
        </w:trPr>
        <w:tc>
          <w:tcPr>
            <w:tcW w:w="4700" w:type="dxa"/>
            <w:vAlign w:val="bottom"/>
          </w:tcPr>
          <w:p>
            <w:pPr>
              <w:spacing w:after="0"/>
              <w:rPr>
                <w:sz w:val="22"/>
                <w:szCs w:val="22"/>
                <w:color w:val="auto"/>
              </w:rPr>
            </w:pPr>
          </w:p>
        </w:tc>
        <w:tc>
          <w:tcPr>
            <w:tcW w:w="2180" w:type="dxa"/>
            <w:vAlign w:val="bottom"/>
          </w:tcPr>
          <w:p>
            <w:pPr>
              <w:jc w:val="right"/>
              <w:ind w:right="28"/>
              <w:spacing w:after="0"/>
              <w:rPr>
                <w:sz w:val="20"/>
                <w:szCs w:val="20"/>
                <w:color w:val="auto"/>
              </w:rPr>
            </w:pPr>
            <w:r>
              <w:rPr>
                <w:rFonts w:ascii="Arial" w:cs="Arial" w:eastAsia="Arial" w:hAnsi="Arial"/>
                <w:sz w:val="14"/>
                <w:szCs w:val="14"/>
                <w:color w:val="auto"/>
              </w:rPr>
              <w:t>5,000</w:t>
            </w:r>
          </w:p>
        </w:tc>
        <w:tc>
          <w:tcPr>
            <w:tcW w:w="2280" w:type="dxa"/>
            <w:vAlign w:val="bottom"/>
            <w:gridSpan w:val="2"/>
          </w:tcPr>
          <w:p>
            <w:pPr>
              <w:jc w:val="right"/>
              <w:ind w:right="48"/>
              <w:spacing w:after="0"/>
              <w:rPr>
                <w:sz w:val="20"/>
                <w:szCs w:val="20"/>
                <w:color w:val="auto"/>
              </w:rPr>
            </w:pPr>
            <w:r>
              <w:rPr>
                <w:rFonts w:ascii="Arial" w:cs="Arial" w:eastAsia="Arial" w:hAnsi="Arial"/>
                <w:sz w:val="14"/>
                <w:szCs w:val="14"/>
                <w:color w:val="auto"/>
              </w:rPr>
              <w:t>52.50</w:t>
            </w:r>
          </w:p>
        </w:tc>
        <w:tc>
          <w:tcPr>
            <w:tcW w:w="100" w:type="dxa"/>
            <w:vAlign w:val="bottom"/>
          </w:tcPr>
          <w:p>
            <w:pPr>
              <w:spacing w:after="0"/>
              <w:rPr>
                <w:sz w:val="22"/>
                <w:szCs w:val="22"/>
                <w:color w:val="auto"/>
              </w:rPr>
            </w:pPr>
          </w:p>
        </w:tc>
        <w:tc>
          <w:tcPr>
            <w:tcW w:w="2160" w:type="dxa"/>
            <w:vAlign w:val="bottom"/>
          </w:tcPr>
          <w:p>
            <w:pPr>
              <w:jc w:val="right"/>
              <w:spacing w:after="0"/>
              <w:rPr>
                <w:sz w:val="20"/>
                <w:szCs w:val="20"/>
                <w:color w:val="auto"/>
              </w:rPr>
            </w:pPr>
            <w:r>
              <w:rPr>
                <w:rFonts w:ascii="Arial" w:cs="Arial" w:eastAsia="Arial" w:hAnsi="Arial"/>
                <w:sz w:val="14"/>
                <w:szCs w:val="14"/>
                <w:color w:val="auto"/>
              </w:rPr>
              <w:t>1/1/2020</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spacing w:after="0"/>
              <w:rPr>
                <w:sz w:val="24"/>
                <w:szCs w:val="24"/>
                <w:color w:val="auto"/>
              </w:rPr>
            </w:pPr>
          </w:p>
        </w:tc>
        <w:tc>
          <w:tcPr>
            <w:tcW w:w="2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5,000</w:t>
            </w:r>
          </w:p>
        </w:tc>
        <w:tc>
          <w:tcPr>
            <w:tcW w:w="228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49.29</w:t>
            </w:r>
          </w:p>
        </w:tc>
        <w:tc>
          <w:tcPr>
            <w:tcW w:w="100" w:type="dxa"/>
            <w:vAlign w:val="bottom"/>
            <w:shd w:val="clear" w:color="auto" w:fill="CCEEFF"/>
          </w:tcPr>
          <w:p>
            <w:pPr>
              <w:spacing w:after="0"/>
              <w:rPr>
                <w:sz w:val="24"/>
                <w:szCs w:val="24"/>
                <w:color w:val="auto"/>
              </w:rPr>
            </w:pPr>
          </w:p>
        </w:tc>
        <w:tc>
          <w:tcPr>
            <w:tcW w:w="2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7/1/2020</w:t>
            </w:r>
          </w:p>
        </w:tc>
        <w:tc>
          <w:tcPr>
            <w:tcW w:w="0" w:type="dxa"/>
            <w:vAlign w:val="bottom"/>
          </w:tcPr>
          <w:p>
            <w:pPr>
              <w:spacing w:after="0"/>
              <w:rPr>
                <w:sz w:val="1"/>
                <w:szCs w:val="1"/>
                <w:color w:val="auto"/>
              </w:rPr>
            </w:pPr>
          </w:p>
        </w:tc>
      </w:tr>
      <w:tr>
        <w:trPr>
          <w:trHeight w:val="264"/>
        </w:trPr>
        <w:tc>
          <w:tcPr>
            <w:tcW w:w="4700" w:type="dxa"/>
            <w:vAlign w:val="bottom"/>
          </w:tcPr>
          <w:p>
            <w:pPr>
              <w:spacing w:after="0"/>
              <w:rPr>
                <w:sz w:val="22"/>
                <w:szCs w:val="22"/>
                <w:color w:val="auto"/>
              </w:rPr>
            </w:pPr>
          </w:p>
        </w:tc>
        <w:tc>
          <w:tcPr>
            <w:tcW w:w="2180" w:type="dxa"/>
            <w:vAlign w:val="bottom"/>
          </w:tcPr>
          <w:p>
            <w:pPr>
              <w:jc w:val="right"/>
              <w:ind w:right="28"/>
              <w:spacing w:after="0"/>
              <w:rPr>
                <w:sz w:val="20"/>
                <w:szCs w:val="20"/>
                <w:color w:val="auto"/>
              </w:rPr>
            </w:pPr>
            <w:r>
              <w:rPr>
                <w:rFonts w:ascii="Arial" w:cs="Arial" w:eastAsia="Arial" w:hAnsi="Arial"/>
                <w:sz w:val="14"/>
                <w:szCs w:val="14"/>
                <w:color w:val="auto"/>
              </w:rPr>
              <w:t>5,000</w:t>
            </w:r>
          </w:p>
        </w:tc>
        <w:tc>
          <w:tcPr>
            <w:tcW w:w="2280" w:type="dxa"/>
            <w:vAlign w:val="bottom"/>
            <w:gridSpan w:val="2"/>
          </w:tcPr>
          <w:p>
            <w:pPr>
              <w:jc w:val="right"/>
              <w:ind w:right="48"/>
              <w:spacing w:after="0"/>
              <w:rPr>
                <w:sz w:val="20"/>
                <w:szCs w:val="20"/>
                <w:color w:val="auto"/>
              </w:rPr>
            </w:pPr>
            <w:r>
              <w:rPr>
                <w:rFonts w:ascii="Arial" w:cs="Arial" w:eastAsia="Arial" w:hAnsi="Arial"/>
                <w:sz w:val="14"/>
                <w:szCs w:val="14"/>
                <w:color w:val="auto"/>
              </w:rPr>
              <w:t>39.69</w:t>
            </w:r>
          </w:p>
        </w:tc>
        <w:tc>
          <w:tcPr>
            <w:tcW w:w="100" w:type="dxa"/>
            <w:vAlign w:val="bottom"/>
          </w:tcPr>
          <w:p>
            <w:pPr>
              <w:spacing w:after="0"/>
              <w:rPr>
                <w:sz w:val="22"/>
                <w:szCs w:val="22"/>
                <w:color w:val="auto"/>
              </w:rPr>
            </w:pPr>
          </w:p>
        </w:tc>
        <w:tc>
          <w:tcPr>
            <w:tcW w:w="2160" w:type="dxa"/>
            <w:vAlign w:val="bottom"/>
          </w:tcPr>
          <w:p>
            <w:pPr>
              <w:jc w:val="right"/>
              <w:spacing w:after="0"/>
              <w:rPr>
                <w:sz w:val="20"/>
                <w:szCs w:val="20"/>
                <w:color w:val="auto"/>
              </w:rPr>
            </w:pPr>
            <w:r>
              <w:rPr>
                <w:rFonts w:ascii="Arial" w:cs="Arial" w:eastAsia="Arial" w:hAnsi="Arial"/>
                <w:sz w:val="14"/>
                <w:szCs w:val="14"/>
                <w:color w:val="auto"/>
              </w:rPr>
              <w:t>7/1/2021</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spacing w:after="0"/>
              <w:rPr>
                <w:sz w:val="23"/>
                <w:szCs w:val="23"/>
                <w:color w:val="auto"/>
              </w:rPr>
            </w:pPr>
          </w:p>
        </w:tc>
        <w:tc>
          <w:tcPr>
            <w:tcW w:w="2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5,000</w:t>
            </w:r>
          </w:p>
        </w:tc>
        <w:tc>
          <w:tcPr>
            <w:tcW w:w="228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60.70</w:t>
            </w:r>
          </w:p>
        </w:tc>
        <w:tc>
          <w:tcPr>
            <w:tcW w:w="100" w:type="dxa"/>
            <w:vAlign w:val="bottom"/>
            <w:shd w:val="clear" w:color="auto" w:fill="CCEEFF"/>
          </w:tcPr>
          <w:p>
            <w:pPr>
              <w:spacing w:after="0"/>
              <w:rPr>
                <w:sz w:val="23"/>
                <w:szCs w:val="23"/>
                <w:color w:val="auto"/>
              </w:rPr>
            </w:pPr>
          </w:p>
        </w:tc>
        <w:tc>
          <w:tcPr>
            <w:tcW w:w="2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7/1/2022</w:t>
            </w:r>
          </w:p>
        </w:tc>
        <w:tc>
          <w:tcPr>
            <w:tcW w:w="0" w:type="dxa"/>
            <w:vAlign w:val="bottom"/>
          </w:tcPr>
          <w:p>
            <w:pPr>
              <w:spacing w:after="0"/>
              <w:rPr>
                <w:sz w:val="1"/>
                <w:szCs w:val="1"/>
                <w:color w:val="auto"/>
              </w:rPr>
            </w:pPr>
          </w:p>
        </w:tc>
      </w:tr>
      <w:tr>
        <w:trPr>
          <w:trHeight w:val="283"/>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Total Options Outstanding at December 31, 2017</w:t>
            </w:r>
          </w:p>
        </w:tc>
        <w:tc>
          <w:tcPr>
            <w:tcW w:w="2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25,000</w:t>
            </w:r>
          </w:p>
        </w:tc>
        <w:tc>
          <w:tcPr>
            <w:tcW w:w="120" w:type="dxa"/>
            <w:vAlign w:val="bottom"/>
            <w:tcBorders>
              <w:bottom w:val="single" w:sz="8" w:color="CCEEFF"/>
            </w:tcBorders>
          </w:tcPr>
          <w:p>
            <w:pPr>
              <w:spacing w:after="0"/>
              <w:rPr>
                <w:sz w:val="24"/>
                <w:szCs w:val="24"/>
                <w:color w:val="auto"/>
              </w:rPr>
            </w:pPr>
          </w:p>
        </w:tc>
        <w:tc>
          <w:tcPr>
            <w:tcW w:w="21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16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4700" w:type="dxa"/>
            <w:vAlign w:val="bottom"/>
            <w:shd w:val="clear" w:color="auto" w:fill="CCEEFF"/>
          </w:tcPr>
          <w:p>
            <w:pPr>
              <w:spacing w:after="0"/>
              <w:rPr>
                <w:sz w:val="24"/>
                <w:szCs w:val="24"/>
                <w:color w:val="auto"/>
              </w:rPr>
            </w:pPr>
          </w:p>
        </w:tc>
        <w:tc>
          <w:tcPr>
            <w:tcW w:w="2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C. Michael Schroeder</w:t>
            </w:r>
          </w:p>
        </w:tc>
        <w:tc>
          <w:tcPr>
            <w:tcW w:w="2180" w:type="dxa"/>
            <w:vAlign w:val="bottom"/>
          </w:tcPr>
          <w:p>
            <w:pPr>
              <w:jc w:val="right"/>
              <w:ind w:right="28"/>
              <w:spacing w:after="0"/>
              <w:rPr>
                <w:sz w:val="20"/>
                <w:szCs w:val="20"/>
                <w:color w:val="auto"/>
              </w:rPr>
            </w:pPr>
            <w:r>
              <w:rPr>
                <w:rFonts w:ascii="Arial" w:cs="Arial" w:eastAsia="Arial" w:hAnsi="Arial"/>
                <w:sz w:val="14"/>
                <w:szCs w:val="14"/>
                <w:color w:val="auto"/>
              </w:rPr>
              <w:t>5,000</w:t>
            </w:r>
          </w:p>
        </w:tc>
        <w:tc>
          <w:tcPr>
            <w:tcW w:w="2280" w:type="dxa"/>
            <w:vAlign w:val="bottom"/>
            <w:gridSpan w:val="2"/>
          </w:tcPr>
          <w:p>
            <w:pPr>
              <w:jc w:val="right"/>
              <w:ind w:right="48"/>
              <w:spacing w:after="0"/>
              <w:rPr>
                <w:sz w:val="20"/>
                <w:szCs w:val="20"/>
                <w:color w:val="auto"/>
              </w:rPr>
            </w:pPr>
            <w:r>
              <w:rPr>
                <w:rFonts w:ascii="Arial" w:cs="Arial" w:eastAsia="Arial" w:hAnsi="Arial"/>
                <w:sz w:val="14"/>
                <w:szCs w:val="14"/>
                <w:color w:val="auto"/>
              </w:rPr>
              <w:t>39.11</w:t>
            </w:r>
          </w:p>
        </w:tc>
        <w:tc>
          <w:tcPr>
            <w:tcW w:w="100" w:type="dxa"/>
            <w:vAlign w:val="bottom"/>
          </w:tcPr>
          <w:p>
            <w:pPr>
              <w:spacing w:after="0"/>
              <w:rPr>
                <w:sz w:val="22"/>
                <w:szCs w:val="22"/>
                <w:color w:val="auto"/>
              </w:rPr>
            </w:pPr>
          </w:p>
        </w:tc>
        <w:tc>
          <w:tcPr>
            <w:tcW w:w="2160" w:type="dxa"/>
            <w:vAlign w:val="bottom"/>
          </w:tcPr>
          <w:p>
            <w:pPr>
              <w:jc w:val="right"/>
              <w:spacing w:after="0"/>
              <w:rPr>
                <w:sz w:val="20"/>
                <w:szCs w:val="20"/>
                <w:color w:val="auto"/>
              </w:rPr>
            </w:pPr>
            <w:r>
              <w:rPr>
                <w:rFonts w:ascii="Arial" w:cs="Arial" w:eastAsia="Arial" w:hAnsi="Arial"/>
                <w:sz w:val="14"/>
                <w:szCs w:val="14"/>
                <w:color w:val="auto"/>
              </w:rPr>
              <w:t>6/30/2018</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spacing w:after="0"/>
              <w:rPr>
                <w:sz w:val="24"/>
                <w:szCs w:val="24"/>
                <w:color w:val="auto"/>
              </w:rPr>
            </w:pPr>
          </w:p>
        </w:tc>
        <w:tc>
          <w:tcPr>
            <w:tcW w:w="2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5,000</w:t>
            </w:r>
          </w:p>
        </w:tc>
        <w:tc>
          <w:tcPr>
            <w:tcW w:w="228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52.50</w:t>
            </w:r>
          </w:p>
        </w:tc>
        <w:tc>
          <w:tcPr>
            <w:tcW w:w="100" w:type="dxa"/>
            <w:vAlign w:val="bottom"/>
            <w:shd w:val="clear" w:color="auto" w:fill="CCEEFF"/>
          </w:tcPr>
          <w:p>
            <w:pPr>
              <w:spacing w:after="0"/>
              <w:rPr>
                <w:sz w:val="24"/>
                <w:szCs w:val="24"/>
                <w:color w:val="auto"/>
              </w:rPr>
            </w:pPr>
          </w:p>
        </w:tc>
        <w:tc>
          <w:tcPr>
            <w:tcW w:w="2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1/1/2020</w:t>
            </w:r>
          </w:p>
        </w:tc>
        <w:tc>
          <w:tcPr>
            <w:tcW w:w="0" w:type="dxa"/>
            <w:vAlign w:val="bottom"/>
          </w:tcPr>
          <w:p>
            <w:pPr>
              <w:spacing w:after="0"/>
              <w:rPr>
                <w:sz w:val="1"/>
                <w:szCs w:val="1"/>
                <w:color w:val="auto"/>
              </w:rPr>
            </w:pPr>
          </w:p>
        </w:tc>
      </w:tr>
      <w:tr>
        <w:trPr>
          <w:trHeight w:val="264"/>
        </w:trPr>
        <w:tc>
          <w:tcPr>
            <w:tcW w:w="4700" w:type="dxa"/>
            <w:vAlign w:val="bottom"/>
          </w:tcPr>
          <w:p>
            <w:pPr>
              <w:spacing w:after="0"/>
              <w:rPr>
                <w:sz w:val="22"/>
                <w:szCs w:val="22"/>
                <w:color w:val="auto"/>
              </w:rPr>
            </w:pPr>
          </w:p>
        </w:tc>
        <w:tc>
          <w:tcPr>
            <w:tcW w:w="2180" w:type="dxa"/>
            <w:vAlign w:val="bottom"/>
          </w:tcPr>
          <w:p>
            <w:pPr>
              <w:jc w:val="right"/>
              <w:ind w:right="28"/>
              <w:spacing w:after="0"/>
              <w:rPr>
                <w:sz w:val="20"/>
                <w:szCs w:val="20"/>
                <w:color w:val="auto"/>
              </w:rPr>
            </w:pPr>
            <w:r>
              <w:rPr>
                <w:rFonts w:ascii="Arial" w:cs="Arial" w:eastAsia="Arial" w:hAnsi="Arial"/>
                <w:sz w:val="14"/>
                <w:szCs w:val="14"/>
                <w:color w:val="auto"/>
              </w:rPr>
              <w:t>5,000</w:t>
            </w:r>
          </w:p>
        </w:tc>
        <w:tc>
          <w:tcPr>
            <w:tcW w:w="2280" w:type="dxa"/>
            <w:vAlign w:val="bottom"/>
            <w:gridSpan w:val="2"/>
          </w:tcPr>
          <w:p>
            <w:pPr>
              <w:jc w:val="right"/>
              <w:ind w:right="48"/>
              <w:spacing w:after="0"/>
              <w:rPr>
                <w:sz w:val="20"/>
                <w:szCs w:val="20"/>
                <w:color w:val="auto"/>
              </w:rPr>
            </w:pPr>
            <w:r>
              <w:rPr>
                <w:rFonts w:ascii="Arial" w:cs="Arial" w:eastAsia="Arial" w:hAnsi="Arial"/>
                <w:sz w:val="14"/>
                <w:szCs w:val="14"/>
                <w:color w:val="auto"/>
              </w:rPr>
              <w:t>49.29</w:t>
            </w:r>
          </w:p>
        </w:tc>
        <w:tc>
          <w:tcPr>
            <w:tcW w:w="100" w:type="dxa"/>
            <w:vAlign w:val="bottom"/>
          </w:tcPr>
          <w:p>
            <w:pPr>
              <w:spacing w:after="0"/>
              <w:rPr>
                <w:sz w:val="22"/>
                <w:szCs w:val="22"/>
                <w:color w:val="auto"/>
              </w:rPr>
            </w:pPr>
          </w:p>
        </w:tc>
        <w:tc>
          <w:tcPr>
            <w:tcW w:w="2160" w:type="dxa"/>
            <w:vAlign w:val="bottom"/>
          </w:tcPr>
          <w:p>
            <w:pPr>
              <w:jc w:val="right"/>
              <w:spacing w:after="0"/>
              <w:rPr>
                <w:sz w:val="20"/>
                <w:szCs w:val="20"/>
                <w:color w:val="auto"/>
              </w:rPr>
            </w:pPr>
            <w:r>
              <w:rPr>
                <w:rFonts w:ascii="Arial" w:cs="Arial" w:eastAsia="Arial" w:hAnsi="Arial"/>
                <w:sz w:val="14"/>
                <w:szCs w:val="14"/>
                <w:color w:val="auto"/>
              </w:rPr>
              <w:t>7/1/2020</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spacing w:after="0"/>
              <w:rPr>
                <w:sz w:val="24"/>
                <w:szCs w:val="24"/>
                <w:color w:val="auto"/>
              </w:rPr>
            </w:pPr>
          </w:p>
        </w:tc>
        <w:tc>
          <w:tcPr>
            <w:tcW w:w="2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5,000</w:t>
            </w:r>
          </w:p>
        </w:tc>
        <w:tc>
          <w:tcPr>
            <w:tcW w:w="228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39.69</w:t>
            </w:r>
          </w:p>
        </w:tc>
        <w:tc>
          <w:tcPr>
            <w:tcW w:w="100" w:type="dxa"/>
            <w:vAlign w:val="bottom"/>
            <w:shd w:val="clear" w:color="auto" w:fill="CCEEFF"/>
          </w:tcPr>
          <w:p>
            <w:pPr>
              <w:spacing w:after="0"/>
              <w:rPr>
                <w:sz w:val="24"/>
                <w:szCs w:val="24"/>
                <w:color w:val="auto"/>
              </w:rPr>
            </w:pPr>
          </w:p>
        </w:tc>
        <w:tc>
          <w:tcPr>
            <w:tcW w:w="2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7/1/2021</w:t>
            </w: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tcPr>
          <w:p>
            <w:pPr>
              <w:spacing w:after="0"/>
              <w:rPr>
                <w:sz w:val="22"/>
                <w:szCs w:val="22"/>
                <w:color w:val="auto"/>
              </w:rPr>
            </w:pPr>
          </w:p>
        </w:tc>
        <w:tc>
          <w:tcPr>
            <w:tcW w:w="2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5,000</w:t>
            </w:r>
          </w:p>
        </w:tc>
        <w:tc>
          <w:tcPr>
            <w:tcW w:w="2280" w:type="dxa"/>
            <w:vAlign w:val="bottom"/>
            <w:tcBorders>
              <w:bottom w:val="single" w:sz="8" w:color="CCEEFF"/>
            </w:tcBorders>
            <w:gridSpan w:val="2"/>
          </w:tcPr>
          <w:p>
            <w:pPr>
              <w:jc w:val="right"/>
              <w:ind w:right="48"/>
              <w:spacing w:after="0"/>
              <w:rPr>
                <w:sz w:val="20"/>
                <w:szCs w:val="20"/>
                <w:color w:val="auto"/>
              </w:rPr>
            </w:pPr>
            <w:r>
              <w:rPr>
                <w:rFonts w:ascii="Arial" w:cs="Arial" w:eastAsia="Arial" w:hAnsi="Arial"/>
                <w:sz w:val="14"/>
                <w:szCs w:val="14"/>
                <w:color w:val="auto"/>
              </w:rPr>
              <w:t>60.70</w:t>
            </w:r>
          </w:p>
        </w:tc>
        <w:tc>
          <w:tcPr>
            <w:tcW w:w="100" w:type="dxa"/>
            <w:vAlign w:val="bottom"/>
            <w:tcBorders>
              <w:bottom w:val="single" w:sz="8" w:color="CCEEFF"/>
            </w:tcBorders>
          </w:tcPr>
          <w:p>
            <w:pPr>
              <w:spacing w:after="0"/>
              <w:rPr>
                <w:sz w:val="22"/>
                <w:szCs w:val="22"/>
                <w:color w:val="auto"/>
              </w:rPr>
            </w:pPr>
          </w:p>
        </w:tc>
        <w:tc>
          <w:tcPr>
            <w:tcW w:w="216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7/1/2022</w:t>
            </w:r>
          </w:p>
        </w:tc>
        <w:tc>
          <w:tcPr>
            <w:tcW w:w="0" w:type="dxa"/>
            <w:vAlign w:val="bottom"/>
          </w:tcPr>
          <w:p>
            <w:pPr>
              <w:spacing w:after="0"/>
              <w:rPr>
                <w:sz w:val="1"/>
                <w:szCs w:val="1"/>
                <w:color w:val="auto"/>
              </w:rPr>
            </w:pPr>
          </w:p>
        </w:tc>
      </w:tr>
      <w:tr>
        <w:trPr>
          <w:trHeight w:val="243"/>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i w:val="1"/>
                <w:iCs w:val="1"/>
                <w:color w:val="auto"/>
              </w:rPr>
              <w:t>Total Options Outstanding at December 31, 2017</w:t>
            </w:r>
          </w:p>
        </w:tc>
        <w:tc>
          <w:tcPr>
            <w:tcW w:w="2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25,000</w:t>
            </w:r>
          </w:p>
        </w:tc>
        <w:tc>
          <w:tcPr>
            <w:tcW w:w="12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47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William David Wade</w:t>
            </w:r>
          </w:p>
        </w:tc>
        <w:tc>
          <w:tcPr>
            <w:tcW w:w="2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10,000</w:t>
            </w:r>
          </w:p>
        </w:tc>
        <w:tc>
          <w:tcPr>
            <w:tcW w:w="228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56.95</w:t>
            </w:r>
          </w:p>
        </w:tc>
        <w:tc>
          <w:tcPr>
            <w:tcW w:w="100" w:type="dxa"/>
            <w:vAlign w:val="bottom"/>
            <w:shd w:val="clear" w:color="auto" w:fill="CCEEFF"/>
          </w:tcPr>
          <w:p>
            <w:pPr>
              <w:spacing w:after="0"/>
              <w:rPr>
                <w:sz w:val="18"/>
                <w:szCs w:val="18"/>
                <w:color w:val="auto"/>
              </w:rPr>
            </w:pPr>
          </w:p>
        </w:tc>
        <w:tc>
          <w:tcPr>
            <w:tcW w:w="2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4/1/2022</w:t>
            </w: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tcPr>
          <w:p>
            <w:pPr>
              <w:spacing w:after="0"/>
              <w:rPr>
                <w:sz w:val="22"/>
                <w:szCs w:val="22"/>
                <w:color w:val="auto"/>
              </w:rPr>
            </w:pPr>
          </w:p>
        </w:tc>
        <w:tc>
          <w:tcPr>
            <w:tcW w:w="2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5,000</w:t>
            </w:r>
          </w:p>
        </w:tc>
        <w:tc>
          <w:tcPr>
            <w:tcW w:w="2280" w:type="dxa"/>
            <w:vAlign w:val="bottom"/>
            <w:tcBorders>
              <w:bottom w:val="single" w:sz="8" w:color="CCEEFF"/>
            </w:tcBorders>
            <w:gridSpan w:val="2"/>
          </w:tcPr>
          <w:p>
            <w:pPr>
              <w:jc w:val="right"/>
              <w:ind w:right="48"/>
              <w:spacing w:after="0"/>
              <w:rPr>
                <w:sz w:val="20"/>
                <w:szCs w:val="20"/>
                <w:color w:val="auto"/>
              </w:rPr>
            </w:pPr>
            <w:r>
              <w:rPr>
                <w:rFonts w:ascii="Arial" w:cs="Arial" w:eastAsia="Arial" w:hAnsi="Arial"/>
                <w:sz w:val="14"/>
                <w:szCs w:val="14"/>
                <w:color w:val="auto"/>
              </w:rPr>
              <w:t>60.70</w:t>
            </w:r>
          </w:p>
        </w:tc>
        <w:tc>
          <w:tcPr>
            <w:tcW w:w="100" w:type="dxa"/>
            <w:vAlign w:val="bottom"/>
            <w:tcBorders>
              <w:bottom w:val="single" w:sz="8" w:color="CCEEFF"/>
            </w:tcBorders>
          </w:tcPr>
          <w:p>
            <w:pPr>
              <w:spacing w:after="0"/>
              <w:rPr>
                <w:sz w:val="22"/>
                <w:szCs w:val="22"/>
                <w:color w:val="auto"/>
              </w:rPr>
            </w:pPr>
          </w:p>
        </w:tc>
        <w:tc>
          <w:tcPr>
            <w:tcW w:w="216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7/1/2022</w:t>
            </w:r>
          </w:p>
        </w:tc>
        <w:tc>
          <w:tcPr>
            <w:tcW w:w="0" w:type="dxa"/>
            <w:vAlign w:val="bottom"/>
          </w:tcPr>
          <w:p>
            <w:pPr>
              <w:spacing w:after="0"/>
              <w:rPr>
                <w:sz w:val="1"/>
                <w:szCs w:val="1"/>
                <w:color w:val="auto"/>
              </w:rPr>
            </w:pPr>
          </w:p>
        </w:tc>
      </w:tr>
      <w:tr>
        <w:trPr>
          <w:trHeight w:val="243"/>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i w:val="1"/>
                <w:iCs w:val="1"/>
                <w:color w:val="auto"/>
              </w:rPr>
              <w:t>Total Options Outstanding at December 31, 2017</w:t>
            </w:r>
          </w:p>
        </w:tc>
        <w:tc>
          <w:tcPr>
            <w:tcW w:w="2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15,000</w:t>
            </w:r>
          </w:p>
        </w:tc>
        <w:tc>
          <w:tcPr>
            <w:tcW w:w="12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4700" w:type="dxa"/>
            <w:vAlign w:val="bottom"/>
            <w:tcBorders>
              <w:bottom w:val="single" w:sz="8" w:color="9A9A9A"/>
            </w:tcBorders>
          </w:tcPr>
          <w:p>
            <w:pPr>
              <w:spacing w:after="0"/>
              <w:rPr>
                <w:sz w:val="8"/>
                <w:szCs w:val="8"/>
                <w:color w:val="auto"/>
              </w:rPr>
            </w:pPr>
          </w:p>
        </w:tc>
        <w:tc>
          <w:tcPr>
            <w:tcW w:w="21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1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1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99" w:lineRule="exact"/>
        <w:rPr>
          <w:sz w:val="20"/>
          <w:szCs w:val="20"/>
          <w:color w:val="auto"/>
        </w:rPr>
      </w:pPr>
    </w:p>
    <w:p>
      <w:pPr>
        <w:ind w:left="340" w:hanging="332"/>
        <w:spacing w:after="0" w:line="273" w:lineRule="auto"/>
        <w:tabs>
          <w:tab w:leader="none" w:pos="340" w:val="left"/>
        </w:tabs>
        <w:numPr>
          <w:ilvl w:val="0"/>
          <w:numId w:val="8"/>
        </w:numPr>
        <w:rPr>
          <w:rFonts w:ascii="Arial" w:cs="Arial" w:eastAsia="Arial" w:hAnsi="Arial"/>
          <w:sz w:val="14"/>
          <w:szCs w:val="14"/>
          <w:color w:val="auto"/>
        </w:rPr>
      </w:pPr>
      <w:r>
        <w:rPr>
          <w:rFonts w:ascii="Arial" w:cs="Arial" w:eastAsia="Arial" w:hAnsi="Arial"/>
          <w:sz w:val="14"/>
          <w:szCs w:val="14"/>
          <w:color w:val="auto"/>
        </w:rPr>
        <w:t>Mr. Dodge became a non-employee director upon his resignation in October 2017 from his position as Executive Vice President, General Counsel, Corporate Communications and Secretary of DISH. Mr. Dodge has not been granted any options under our Director Plans in connection with his services as our director.</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368"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CORPORATE GOVERNANCE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 Information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Board of Directors held six meetings in 2017 and took action by unanimous written consent two times during 2017. During 2017, each of our directors attended at least 75% of the aggregate of: (i) the total number of meetings of the Board held during the period in which he was a director and from which he was not recused; and (ii) the total number of meetings held by all committees of the Board on which he served. In addition, our non-employee directors held four executive sessions in 2017.</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Directors are elected annually and serve until their successors are duly elected and qualified or their earlier resignation or removal. Officers serve at the discretion of the Board.</w:t>
      </w:r>
    </w:p>
    <w:p>
      <w:pPr>
        <w:spacing w:after="0" w:line="17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Charles W. Ergen, our Chairman, beneficially owns more than 50% of the total voting power of all classes of our outstanding shares and through such beneficial ownership has the ability to elect a majority of our directors and to control all other matters requiring the approval of our stockholders. Mr. Ergen currently beneficially owns approximately 72.4% of the total voting power of all classes of our outstanding shares. See “Equity Security Ownership and Related Matters” below. As a result of Mr. Ergen’s voting power, we are a “controlled company” within the meaning of the NASDAQ Marketplace Rules. Therefore, we are not subject to the NASDAQ listing requirements that would otherwise require us to have: (i) a Board of Directors composed of a majority of independent directors; (ii) a nominating committee composed solely of independent directors; (iii) compensation of our executive officers determined by a majority of the independent directors or a compensation committee composed solely of independent directors; (iv) a compensation committee charter that provides the compensation committee with the authority and funding to retain compensation consultants and other advisors; and/or (v) director nominees selected, or recommended for the Board’s selection, either by a majority of the independent directors or a nominating committee composed solely of independent directors.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 Information</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Corporation has created an Executive Compensation Committee of the Board of Directors (the “Compensation Committee”), an Audit Committee of the Board of Directors (the “Audit Committee”) and a Nominating Committee of the Board of Directors (the “Nominating Committee”), all of which are composed entirely of independent directors. The function and authority of each of the committees of our Board of Directors are described below. The charters of our Compensation, Audit and Nominating Committees are available on our website at http://www.echostar.com.</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Compensation Committee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Compensation Committee operates under a charter adopted by the Board. The principal functions of the Compensation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Committee are, to the extent the Board deems necessary or appropriate, to: (i) make and approve all option grants and other issuances of EchoStar’s equity securities to EchoStar’s executive officers and Board members other than non-employee directors; (ii) approve all other option grants and issuances of EchoStar’s equity securities, and recommend that the full Board make and approve such grants and issuances; (iii) establish in writing all performance goals for performance-based compensation, which together with other compensation to senior executive officers could exceed $1 million annually, other than standard stock incentive plan options that may be paid to EchoStar’s executive officers, and certify the achievement of such goals prior to payment; and (iv) set the compensation of our Chairman, Mr. Ergen.</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Compensation Committee held four meetings and took action by unanimous written consent on five occasions during 2017. The current members of the Compensation Committee are Messrs. Ortolf, Schroeder and Federico, with Mr. Ortolf serving as Chairman. The Board has determined that each member of the Compensation Committee meets the independence requirements of NASDAQ rules and regulations. A report of the Compensation Committee is set forth below on page 23 of this Proxy Statement.</w:t>
      </w:r>
    </w:p>
    <w:p>
      <w:pPr>
        <w:spacing w:after="0" w:line="18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i w:val="1"/>
          <w:iCs w:val="1"/>
          <w:color w:val="auto"/>
        </w:rPr>
        <w:t>Audit Committee</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Board has established a standing Audit Committee in accordance with NASDAQ rules and Section 10A of the Securities Exchange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Act of 1934 (as amended, the “Exchange Act”) and related SEC rules and regulations. The Audit Committee operates under a charter adopted by the Board. The principal functions of the Audit Committee are to: (i) select the independent registered public accounting firm and set their compensation; (ii) select the internal auditor and approve his or her compensation; (iii) review and approve management’s plan for engaging our independent registered public accounting firm during the year to perform non-audit services and consider what effect these services will have on the independence of our independent registered public accounting firm; (iv) review our annual financial statements and various other financial reports that require approval by the Board; (v) oversee the integrity of our financial statements, our systems of disclosure and internal controls, and our compliance with legal and regulatory requirements; (vi) review and approve the scope of our independent registered public accounting firm’s audit plans and the results of their audits; and (vii) evaluate the performance of our internal audit function and the independent registered public accounting firm.</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364" w:right="239" w:bottom="1440" w:gutter="0" w:footer="0" w:header="0"/>
        </w:sectPr>
      </w:pPr>
    </w:p>
    <w:bookmarkStart w:id="12" w:name="page13"/>
    <w:bookmarkEnd w:id="12"/>
    <w:p>
      <w:pPr>
        <w:jc w:val="both"/>
        <w:spacing w:after="0" w:line="276" w:lineRule="auto"/>
        <w:rPr>
          <w:sz w:val="20"/>
          <w:szCs w:val="20"/>
          <w:color w:val="auto"/>
        </w:rPr>
      </w:pPr>
      <w:r>
        <w:rPr>
          <w:rFonts w:ascii="Arial" w:cs="Arial" w:eastAsia="Arial" w:hAnsi="Arial"/>
          <w:sz w:val="17"/>
          <w:szCs w:val="17"/>
          <w:color w:val="auto"/>
        </w:rPr>
        <w:t>The Audit Committee held five meetings and took no action by unanimous written consent during 2017. The current members of the Audit Committee are Messrs. Ortolf, Schroeder, Federico and Wade, with Mr. Schroeder serving as Chairman. The Board has determined that each member of our Audit Committee meets the independence requirements of NASDAQ and SEC rules and regulations. The Board has also determined that each member of our Audit Committee is financially literate and has designated Mr. Ortolf as our “audit committee financial expert” as defined by applicable SEC rules and regulations. A report of the Audit Committee is set forth below on page 41 of this Proxy Statement.</w:t>
      </w:r>
    </w:p>
    <w:p>
      <w:pPr>
        <w:spacing w:after="0" w:line="17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b w:val="1"/>
          <w:bCs w:val="1"/>
          <w:i w:val="1"/>
          <w:iCs w:val="1"/>
          <w:color w:val="auto"/>
        </w:rPr>
        <w:t>Nominating Committee</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Nominating Committee operates under a charter adopted by the Board. The principal function of the Nominating Committee is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to identify, review and recommend independent director nominees for selection by the Board and to consider all director nominees in light of the entirety of their credentials. The Nominating Committee held two meetings and took no action by written consent during 2017. The current members of the Nominating Committee are Messrs. Ortolf, Schroeder, Federico and Wade, with Mr. Federico serving as Chairman. The Board has determined that each member of the Nominating Committee meets the independence requirements of NASDAQ rules and regulations.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Criteria and Board Selection Process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Nominating Committee considers candidates suggested by its members, other directors, senior management and shareholders, as appropriate. No search firms or other advisors were retained to identify prospective nominees during the past fiscal year. In considering whether to recommend a prospective nominee for selection by the Board, the Nominating Committee considers the entirety of the prospective nominee’s credentials, including but not limited to the following diverse factors: (i) their reputation and character; (ii) their ability and willingness to devote sufficient time to Board duties; (iii) their educational background; (iv) their business and professional achievements, experience and industry background; (v) their independence from management under applicable listing standards and the Corporation’s governance guidelines; and (vi) the needs of the Board and the Corporation. The Nominating Committee does not assign specific weights to any particular criteria and no particular criterion is necessarily applicable to all prospective nominees. However, the Corporation believes that the backgrounds and qualifications of the directors, considered as a group, should provide a diverse mix of experience, knowledge and abilities that will allow the Board to fulfill its responsibilities. The Nominating Committee recommends, if necessary, measures to be taken so that the Board reflects the appropriate balance of experience, knowledge and abilities required for the Board as a whole and contains at least the minimum number of independent directors required by applicable laws and regulations.</w:t>
      </w:r>
    </w:p>
    <w:p>
      <w:pPr>
        <w:spacing w:after="0" w:line="18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Nominating Committee has not adopted a written policy with respect to the consideration of candidates proposed by shareholders or with respect to nominating anyone to our Board other than independent directors. A shareholder who wishes to recommend a prospective nominee for the Board should notify the Corporation’s Secretary or any member of the Nominating Committee in writing, in accordance with the process described in “Shareholder Communications” below, with whatever supporting material the shareholder considers appropriate. It is the practice of the Nominating Committee to consider whether to nominate any person nominated by a shareholder pursuant to the provisions of the Corporation’s bylaws relating to shareholder nominations.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Board currently separates the role of Chairman of the Board from the role of Chief Executive Officer with Mr. Charles W. Ergen serving as Chairman and Mr. Michael T. Dugan serving as Chief Executive Officer and President of the Corporation. Mr. Dugan is responsible for the day-to-day management of the Corporation and Mr. Ergen primarily identifies strategic priorities and leads the discussion and execution of strategy for the Corporation. We believe this leadership structure is appropriate for the Corporation and in the best interest of our shareholders because, among other reasons, separating the Chairman and Chief Executive Officer roles allows us to efficiently develop and implement corporate strategy that is consistent with the Board’s oversight role, while facilitating strong day-to-day executive leadership. Among other things, separation of these roles allows our Chief Executive Officer and other members of senior management to focus on our day-to-day business, while at the same time the Board is able to take advantage of the unique blend of leadership, experience and knowledge of our industry and business that Mr. Ergen brings to the role of Chairman in providing guidance to, and oversight of, management.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Board’s Role in Risk Oversight</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Board has ultimate responsibility for oversight of the Corporation’s risk management processes. The Board discharges this oversight responsibility itself or using its committees through regular reports received from, and discussions with, senior management on areas of material risk exposure to the Corporation. These reports and Board or committee discussions include, among other things, operational, financial, legal and regulatory, strategic and cybersecurity and physical security risks. Additionally, the Corporation’s risk management processes are intended to identify, manage and control risks so that they are appropriate considering the Corporation’s scope, operations and business objectives. The Board (or appropriate committee in the case of risks in areas for which responsibility has been delegated</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368" w:right="239" w:bottom="1440" w:gutter="0" w:footer="0" w:header="0"/>
        </w:sectPr>
      </w:pPr>
    </w:p>
    <w:bookmarkStart w:id="13" w:name="page14"/>
    <w:bookmarkEnd w:id="13"/>
    <w:p>
      <w:pPr>
        <w:jc w:val="both"/>
        <w:spacing w:after="0" w:line="288" w:lineRule="auto"/>
        <w:rPr>
          <w:sz w:val="20"/>
          <w:szCs w:val="20"/>
          <w:color w:val="auto"/>
        </w:rPr>
      </w:pPr>
      <w:r>
        <w:rPr>
          <w:rFonts w:ascii="Arial" w:cs="Arial" w:eastAsia="Arial" w:hAnsi="Arial"/>
          <w:sz w:val="16"/>
          <w:szCs w:val="16"/>
          <w:color w:val="auto"/>
        </w:rPr>
        <w:t>to or are handled by a particular committee) engages with the appropriate members of senior management to enable its members to understand and provide input to, and oversight of, our risk identification, risk management and risk mitigation strategies. The Audit Committee meets regularly in executive session without management present to, among other things, discuss the Corporation’s risk management culture and processes. The Audit Committee is briefed periodically by the Corporation’s chief information security officer regarding cybersecurity risks. As part of its charter, our Audit Committee is responsible for discussing the Corporation’s policies with respect to risk assessment and risk management, and reviewing contingent liabilities and risks that may be material to the Corporation. When a committee receives a report from a member of management regarding areas of risk, the chairman of the relevant committee is expected to report on the discussion to the Board to the extent necessary or appropriate. This enables the Board to coordinate risk oversight, particularly with respect to interrelated or cumulative risks that may involve multiple areas for which more than one committee has responsibility. The Board or applicable committee also has authority to engage external advisors as necessary. A discussion of our risk assessment of compensation programs and practices is described in “Risk Assessment” in the Compensation Discussion and Analysis section below on page 23 of this Proxy Statement.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Information about Our Board of Directors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 Interlocks and Insider Participation</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Compensation Committee is comprised solely of independent directors. The current Compensation Committee members are Messrs. Ortolf, Schroeder and Federico. None of these individuals was an officer or employee of EchoStar or our subsidiaries or DISH or its subsidiaries at any time during the 2017 fiscal year. During the 2017 fiscal year, no executive officer of EchoStar served on: (i) the compensation committee of another entity, one of whose executive officers served on our Compensation Committee, (ii) the board of directors of another entity, one of whose executive officers served on our Compensation Committee, or (iii) the compensation committee of another entity, one of whose executive officers served on our Board of Directors.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Annual Meeting Attendance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Although we do not have a policy with regard to Board members’ attendance at our annual meetings of shareholders, all of our directors are encouraged to attend such meetings. All of our directors were in attendance at our 2017 Annual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368"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INFORMATION CONCERNING OUR EXECUTIVE OFFICERS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table and information below sets forth the name, age and position with the Corporation of each of our executive officers, the period during which each executive officer has served as such, and each executive officer’s business experience during at least the past five years. Information concerning Charles W. Ergen, Chairman; Michael T. Dugan, Chief Executive Officer, President and Director; and Pradman P. Kaul, President of Hughes Communications and Director, is set forth above under “Proposal 1 — Election of Directors.”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20" w:type="dxa"/>
            <w:vAlign w:val="bottom"/>
            <w:gridSpan w:val="2"/>
          </w:tcPr>
          <w:p>
            <w:pPr>
              <w:ind w:left="40"/>
              <w:spacing w:after="0"/>
              <w:rPr>
                <w:sz w:val="20"/>
                <w:szCs w:val="20"/>
                <w:color w:val="auto"/>
              </w:rPr>
            </w:pPr>
            <w:r>
              <w:rPr>
                <w:rFonts w:ascii="Arial" w:cs="Arial" w:eastAsia="Arial" w:hAnsi="Arial"/>
                <w:sz w:val="18"/>
                <w:szCs w:val="18"/>
                <w:b w:val="1"/>
                <w:bCs w:val="1"/>
                <w:color w:val="auto"/>
              </w:rPr>
              <w:t>Name</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Age</w:t>
            </w:r>
          </w:p>
        </w:tc>
        <w:tc>
          <w:tcPr>
            <w:tcW w:w="6840" w:type="dxa"/>
            <w:vAlign w:val="bottom"/>
          </w:tcPr>
          <w:p>
            <w:pPr>
              <w:ind w:left="3100"/>
              <w:spacing w:after="0"/>
              <w:rPr>
                <w:sz w:val="20"/>
                <w:szCs w:val="20"/>
                <w:color w:val="auto"/>
              </w:rPr>
            </w:pPr>
            <w:r>
              <w:rPr>
                <w:rFonts w:ascii="Arial" w:cs="Arial" w:eastAsia="Arial" w:hAnsi="Arial"/>
                <w:sz w:val="18"/>
                <w:szCs w:val="18"/>
                <w:b w:val="1"/>
                <w:bCs w:val="1"/>
                <w:color w:val="auto"/>
              </w:rPr>
              <w:t>Position</w:t>
            </w:r>
          </w:p>
        </w:tc>
      </w:tr>
      <w:tr>
        <w:trPr>
          <w:trHeight w:val="27"/>
        </w:trPr>
        <w:tc>
          <w:tcPr>
            <w:tcW w:w="3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840" w:type="dxa"/>
            <w:vAlign w:val="bottom"/>
            <w:tcBorders>
              <w:bottom w:val="single" w:sz="8" w:color="auto"/>
            </w:tcBorders>
          </w:tcPr>
          <w:p>
            <w:pPr>
              <w:spacing w:after="0"/>
              <w:rPr>
                <w:sz w:val="2"/>
                <w:szCs w:val="2"/>
                <w:color w:val="auto"/>
              </w:rPr>
            </w:pPr>
          </w:p>
        </w:tc>
      </w:tr>
      <w:tr>
        <w:trPr>
          <w:trHeight w:val="244"/>
        </w:trPr>
        <w:tc>
          <w:tcPr>
            <w:tcW w:w="3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Anders N. Johnson</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60</w:t>
            </w:r>
          </w:p>
        </w:tc>
        <w:tc>
          <w:tcPr>
            <w:tcW w:w="120" w:type="dxa"/>
            <w:vAlign w:val="bottom"/>
            <w:tcBorders>
              <w:bottom w:val="single" w:sz="8" w:color="CCEEFF"/>
            </w:tcBorders>
            <w:shd w:val="clear" w:color="auto" w:fill="CCEEFF"/>
          </w:tcPr>
          <w:p>
            <w:pPr>
              <w:spacing w:after="0"/>
              <w:rPr>
                <w:sz w:val="21"/>
                <w:szCs w:val="21"/>
                <w:color w:val="auto"/>
              </w:rPr>
            </w:pPr>
          </w:p>
        </w:tc>
        <w:tc>
          <w:tcPr>
            <w:tcW w:w="6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Chief Strategy Officer and President, EchoStar Satellite Services L.L.C.</w:t>
            </w:r>
          </w:p>
        </w:tc>
      </w:tr>
      <w:tr>
        <w:trPr>
          <w:trHeight w:val="243"/>
        </w:trPr>
        <w:tc>
          <w:tcPr>
            <w:tcW w:w="3220" w:type="dxa"/>
            <w:vAlign w:val="bottom"/>
            <w:gridSpan w:val="2"/>
          </w:tcPr>
          <w:p>
            <w:pPr>
              <w:ind w:left="40"/>
              <w:spacing w:after="0"/>
              <w:rPr>
                <w:sz w:val="20"/>
                <w:szCs w:val="20"/>
                <w:color w:val="auto"/>
              </w:rPr>
            </w:pPr>
            <w:r>
              <w:rPr>
                <w:rFonts w:ascii="Arial" w:cs="Arial" w:eastAsia="Arial" w:hAnsi="Arial"/>
                <w:sz w:val="18"/>
                <w:szCs w:val="18"/>
                <w:color w:val="auto"/>
              </w:rPr>
              <w:t>Kranti K. Kilaru</w:t>
            </w: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53</w:t>
            </w:r>
          </w:p>
        </w:tc>
        <w:tc>
          <w:tcPr>
            <w:tcW w:w="120" w:type="dxa"/>
            <w:vAlign w:val="bottom"/>
          </w:tcPr>
          <w:p>
            <w:pPr>
              <w:spacing w:after="0"/>
              <w:rPr>
                <w:sz w:val="21"/>
                <w:szCs w:val="21"/>
                <w:color w:val="auto"/>
              </w:rPr>
            </w:pPr>
          </w:p>
        </w:tc>
        <w:tc>
          <w:tcPr>
            <w:tcW w:w="6840" w:type="dxa"/>
            <w:vAlign w:val="bottom"/>
          </w:tcPr>
          <w:p>
            <w:pPr>
              <w:ind w:left="20"/>
              <w:spacing w:after="0"/>
              <w:rPr>
                <w:sz w:val="20"/>
                <w:szCs w:val="20"/>
                <w:color w:val="auto"/>
              </w:rPr>
            </w:pPr>
            <w:r>
              <w:rPr>
                <w:rFonts w:ascii="Arial" w:cs="Arial" w:eastAsia="Arial" w:hAnsi="Arial"/>
                <w:sz w:val="18"/>
                <w:szCs w:val="18"/>
                <w:color w:val="auto"/>
              </w:rPr>
              <w:t>Executive Vice President</w:t>
            </w:r>
          </w:p>
        </w:tc>
      </w:tr>
      <w:tr>
        <w:trPr>
          <w:trHeight w:val="27"/>
        </w:trPr>
        <w:tc>
          <w:tcPr>
            <w:tcW w:w="3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40" w:type="dxa"/>
            <w:vAlign w:val="bottom"/>
          </w:tcPr>
          <w:p>
            <w:pPr>
              <w:spacing w:after="0"/>
              <w:rPr>
                <w:sz w:val="2"/>
                <w:szCs w:val="2"/>
                <w:color w:val="auto"/>
              </w:rPr>
            </w:pPr>
          </w:p>
        </w:tc>
      </w:tr>
      <w:tr>
        <w:trPr>
          <w:trHeight w:val="250"/>
        </w:trPr>
        <w:tc>
          <w:tcPr>
            <w:tcW w:w="3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Dean A. Manson</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51</w:t>
            </w:r>
          </w:p>
        </w:tc>
        <w:tc>
          <w:tcPr>
            <w:tcW w:w="120" w:type="dxa"/>
            <w:vAlign w:val="bottom"/>
            <w:tcBorders>
              <w:bottom w:val="single" w:sz="8" w:color="CCEEFF"/>
            </w:tcBorders>
            <w:shd w:val="clear" w:color="auto" w:fill="CCEEFF"/>
          </w:tcPr>
          <w:p>
            <w:pPr>
              <w:spacing w:after="0"/>
              <w:rPr>
                <w:sz w:val="21"/>
                <w:szCs w:val="21"/>
                <w:color w:val="auto"/>
              </w:rPr>
            </w:pPr>
          </w:p>
        </w:tc>
        <w:tc>
          <w:tcPr>
            <w:tcW w:w="6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Executive Vice President, General Counsel and Secretary</w:t>
            </w:r>
          </w:p>
        </w:tc>
      </w:tr>
      <w:tr>
        <w:trPr>
          <w:trHeight w:val="243"/>
        </w:trPr>
        <w:tc>
          <w:tcPr>
            <w:tcW w:w="3220" w:type="dxa"/>
            <w:vAlign w:val="bottom"/>
            <w:gridSpan w:val="2"/>
          </w:tcPr>
          <w:p>
            <w:pPr>
              <w:ind w:left="40"/>
              <w:spacing w:after="0"/>
              <w:rPr>
                <w:sz w:val="20"/>
                <w:szCs w:val="20"/>
                <w:color w:val="auto"/>
              </w:rPr>
            </w:pPr>
            <w:r>
              <w:rPr>
                <w:rFonts w:ascii="Arial" w:cs="Arial" w:eastAsia="Arial" w:hAnsi="Arial"/>
                <w:sz w:val="18"/>
                <w:szCs w:val="18"/>
                <w:color w:val="auto"/>
              </w:rPr>
              <w:t>David J. Rayner</w:t>
            </w: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60</w:t>
            </w:r>
          </w:p>
        </w:tc>
        <w:tc>
          <w:tcPr>
            <w:tcW w:w="120" w:type="dxa"/>
            <w:vAlign w:val="bottom"/>
          </w:tcPr>
          <w:p>
            <w:pPr>
              <w:spacing w:after="0"/>
              <w:rPr>
                <w:sz w:val="21"/>
                <w:szCs w:val="21"/>
                <w:color w:val="auto"/>
              </w:rPr>
            </w:pPr>
          </w:p>
        </w:tc>
        <w:tc>
          <w:tcPr>
            <w:tcW w:w="6840" w:type="dxa"/>
            <w:vAlign w:val="bottom"/>
          </w:tcPr>
          <w:p>
            <w:pPr>
              <w:ind w:left="20"/>
              <w:spacing w:after="0"/>
              <w:rPr>
                <w:sz w:val="20"/>
                <w:szCs w:val="20"/>
                <w:color w:val="auto"/>
              </w:rPr>
            </w:pPr>
            <w:r>
              <w:rPr>
                <w:rFonts w:ascii="Arial" w:cs="Arial" w:eastAsia="Arial" w:hAnsi="Arial"/>
                <w:sz w:val="18"/>
                <w:szCs w:val="18"/>
                <w:color w:val="auto"/>
                <w:w w:val="97"/>
              </w:rPr>
              <w:t>Executive Vice President, Chief Financial Officer, Chief Operating Officer and Treasurer</w:t>
            </w:r>
          </w:p>
        </w:tc>
      </w:tr>
    </w:tbl>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 substantial majority of the voting power of the shares of both EchoStar and DISH is owned beneficially by Charles W. Ergen, our Chairman, and by certain trusts established by Mr. Ergen for the benefit of his family. Certain of our executive officers have previously been employed by DISH and its subsidiaries.</w:t>
      </w:r>
    </w:p>
    <w:p>
      <w:pPr>
        <w:spacing w:after="0" w:line="12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Anders N. Johnson</w:t>
      </w:r>
      <w:r>
        <w:rPr>
          <w:rFonts w:ascii="Arial" w:cs="Arial" w:eastAsia="Arial" w:hAnsi="Arial"/>
          <w:sz w:val="18"/>
          <w:szCs w:val="18"/>
          <w:color w:val="auto"/>
        </w:rPr>
        <w:t>. Mr. Johnson has served as President of EchoStar Satellite Services L.L.C. since June 2011 and as our Chief Strategy Officer since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September 2016. Before joining EchoStar, Mr. Johnson was most recently at SES World Skies where he served as Senior Vice President of Strategic Satellite Development. Mr. Johnson joined SES GLOBAL after the combination of GE Americom and SES GLOBAL in 2001. Prior to SES GLOBAL, Mr. Johnson worked at GE Capital beginning in 1985 in a variety of executive level roles in Satellite Services, Aviation Services and Transportation &amp; Industrial Financing.</w:t>
      </w:r>
    </w:p>
    <w:p>
      <w:pPr>
        <w:spacing w:after="0" w:line="18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Kranti K. Kilaru</w:t>
      </w:r>
      <w:r>
        <w:rPr>
          <w:rFonts w:ascii="Arial" w:cs="Arial" w:eastAsia="Arial" w:hAnsi="Arial"/>
          <w:sz w:val="16"/>
          <w:szCs w:val="16"/>
          <w:color w:val="auto"/>
        </w:rPr>
        <w:t>. Mr. Kilaru has served as an Executive Vice President since May 2017 and from July 2013 until May 2017 as our Executive Vice President,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Business Systems, IT and Operations. Mr. Kilaru served as Senior Vice President of our systems engineering group from April 2005 to July 2013.</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Dean A. Manson</w:t>
      </w:r>
      <w:r>
        <w:rPr>
          <w:rFonts w:ascii="Arial" w:cs="Arial" w:eastAsia="Arial" w:hAnsi="Arial"/>
          <w:sz w:val="18"/>
          <w:szCs w:val="18"/>
          <w:color w:val="auto"/>
        </w:rPr>
        <w:t>. Mr. Manson has served as our Executive Vice President, General Counsel and Secretary since November 2011. Mr. Manson also serves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Executive Vice President, General Counsel and Secretary of Hughes Communications. Mr. Manson joined Hughes in 2000 from the law firm of Milbank, Tweed, Hadley &amp; McCloy, where he focused on international project finance and corporate transactions, and was appointed General Counsel of Hughes in 2004.</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David J. Rayner</w:t>
      </w:r>
      <w:r>
        <w:rPr>
          <w:rFonts w:ascii="Arial" w:cs="Arial" w:eastAsia="Arial" w:hAnsi="Arial"/>
          <w:sz w:val="18"/>
          <w:szCs w:val="18"/>
          <w:color w:val="auto"/>
        </w:rPr>
        <w:t>. Mr. Rayner has served as our Executive Vice President, Chief Financial Officer and Treasurer since December 2012 and our Chief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Operating Officer since September 2016. From November 2011 to November 2012, Mr. Rayner served as Chief Financial Officer of Tendril Networks, Inc., a Boulder, Colorado software company. Mr. Rayner served as our Chief Financial Officer from June 2010 to November 2011 and served as our Chief Administrative Officer from January 2008 to June 2010. Prior to that, Mr. Rayner served as Executive Vice President of Installation and Service Networks of DISH and previously as Chief Financial Officer of DISH. Before joining DISH in December 2004, Mr. Rayner served as Senior Vice President and Chief Financial Officer of Time Warner Telecom in Denver, beginning in June 1998.</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364"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INFORMATION REGARDING CHIEF EXECUTIVE OFFICER PAY RATIO</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pay ratio rules under the Dodd-Frank Wall Street Reform and Consumer Protection Act and related regulations (the “Pay Ratio Rules”) require us to provide the following information about the relationship of the median annual total compensation of our employees and the annual total compensation of our Chief Executive Officer, Mr. Dugan.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For 2017, our last completed fiscal year:</w:t>
      </w:r>
    </w:p>
    <w:p>
      <w:pPr>
        <w:spacing w:after="0" w:line="225"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median of the annual total compensation of our employees (other than our Chief Executive Officer) was $97,584; and</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annual total compensation of our Chief Executive Officer was $1,857,253 (See “Summary Compensation Table” below).</w:t>
      </w:r>
    </w:p>
    <w:p>
      <w:pPr>
        <w:spacing w:after="0" w:line="2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Accordingly, for 2017 the ratio of the annual total compensation of Mr. Dugan, our Chief Executive Officer, to the median annual total compensation of our employees was 19 to 1.</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This pay ratio is a reasonable estimate calculated in a manner consistent with the Pay Ratio Rules based on our payroll and employment records and the methodology described below. The Pay Ratio Rules for identifying the median employee and calculating the pay ratio based on that employee’s annual total compensation allow companies to adopt a variety of methodologies, to apply certain exclusions, and to make reasonable estimates and assumptions that reflect their compensation practices. As such, the pay ratio reported by other companies may not be comparable to the pay ratio reported above, as other companies may have different employment and compensation practices and may utilize different methodologies, exclusions, estimates and assumptions in calculating their own pay ratios.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Determining the Median Employee</w:t>
      </w:r>
    </w:p>
    <w:p>
      <w:pPr>
        <w:spacing w:after="0" w:line="21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December 31, 2017, our total employee population consisted of 2,105 individuals, with 314 of our employees being located in foreign countries. Approximately 85% of our employees were located in the United States, 5% were located in Europe (primarily in the United Kingdom and Germany), 7% were located in Brazil and 3% were located in various countries worldwide. We selected December 31, 2017 as the date upon which we would identify the “median employee.” We excluded employees located in the following foreign countries: 6 employees in Colombia; 9 employees in Italy; 7 employees in Russia; 10 employees in India; 3 employees in Indonesia; 1 employee in Saudi Arabia; 11 employees in United Arab Emirates and 8 employees in Mexico as permitted by the Pay Ratio Rules. After taking into consideration these adjustments, our adjusted employee population consisted of 2,050 individuals as of December 31, 2017.</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Determining Compensation</w:t>
      </w:r>
    </w:p>
    <w:p>
      <w:pPr>
        <w:spacing w:after="0" w:line="21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Under the Pay Ratio Rules, we were required to identify the median employee by use of a “consistently applied compensation measure,” or CACM. We chose a CACM that closely approximates the annual total direct compensation of our employees. Specifically, we determined that our “median employee” was a full-time, salaried employee located in the United States with wages as reflected in our payroll records for the 12-month period ending December 31, 2017 in the amount of $89,721. Our payroll records do not include certain compensation items that are required to be included in an employee’s total compensation under the Pay Ratio Rules. We identified and calculated the elements of such employee’s compensation for 2017 in accordance with the requirements of the Pay Ratio Rules. See “Summary Compensation Table” below for the annual total compensation of our Chief Executive Officer.</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information is being provided for compliance purposes. Neither the Compensation Committee nor management of EchoStar used the pay ratio measure in making compensation decisions.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364" w:right="239" w:bottom="1440" w:gutter="0" w:footer="0" w:header="0"/>
        </w:sectPr>
      </w:pPr>
    </w:p>
    <w:bookmarkStart w:id="16" w:name="page17"/>
    <w:bookmarkEnd w:id="16"/>
    <w:p>
      <w:pPr>
        <w:ind w:left="3160"/>
        <w:spacing w:after="0"/>
        <w:rPr>
          <w:sz w:val="20"/>
          <w:szCs w:val="20"/>
          <w:color w:val="auto"/>
        </w:rPr>
      </w:pPr>
      <w:r>
        <w:rPr>
          <w:rFonts w:ascii="Arial" w:cs="Arial" w:eastAsia="Arial" w:hAnsi="Arial"/>
          <w:sz w:val="18"/>
          <w:szCs w:val="18"/>
          <w:b w:val="1"/>
          <w:bCs w:val="1"/>
          <w:color w:val="auto"/>
        </w:rPr>
        <w:t>EQUITY SECURITY OWNERSHIP AND RELATED MATTERS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Security Ownership of Certain Beneficial Owners and Management</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following table sets forth, to the best of our knowledge, the beneficial ownership of our voting securities as of the close of business on the Record Date by: (i) each person known by us to be the beneficial owner of more than five percent of any class of our voting securities; (ii) each of our directors; (iii) our Chief Executive Officer, Chief Financial Officer and next three most highly compensated executive officers in 2017 (collectively, the “Named Executive Officers” or “NEOs”); and (iv) all of our directors and executive officers as a group. Unless otherwise indicated, each person listed in the following table (alone or with family members) has sole voting and dispositive power over the shares listed opposite such person’s name.</w:t>
      </w:r>
    </w:p>
    <w:p>
      <w:pPr>
        <w:spacing w:after="0" w:line="119" w:lineRule="exact"/>
        <w:rPr>
          <w:sz w:val="20"/>
          <w:szCs w:val="20"/>
          <w:color w:val="auto"/>
        </w:rPr>
      </w:pPr>
    </w:p>
    <w:tbl>
      <w:tblPr>
        <w:tblLayout w:type="fixed"/>
        <w:tblInd w:w="200" w:type="dxa"/>
        <w:tblCellMar>
          <w:top w:w="0" w:type="dxa"/>
          <w:left w:w="0" w:type="dxa"/>
          <w:bottom w:w="0" w:type="dxa"/>
          <w:right w:w="0" w:type="dxa"/>
        </w:tblCellMar>
      </w:tblPr>
      <w:tr>
        <w:trPr>
          <w:trHeight w:val="203"/>
        </w:trPr>
        <w:tc>
          <w:tcPr>
            <w:tcW w:w="5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Amount and</w:t>
            </w:r>
          </w:p>
        </w:tc>
        <w:tc>
          <w:tcPr>
            <w:tcW w:w="1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203"/>
        </w:trPr>
        <w:tc>
          <w:tcPr>
            <w:tcW w:w="5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Nature of</w:t>
            </w:r>
          </w:p>
        </w:tc>
        <w:tc>
          <w:tcPr>
            <w:tcW w:w="1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203"/>
        </w:trPr>
        <w:tc>
          <w:tcPr>
            <w:tcW w:w="5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Beneficial</w:t>
            </w:r>
          </w:p>
        </w:tc>
        <w:tc>
          <w:tcPr>
            <w:tcW w:w="2060" w:type="dxa"/>
            <w:vAlign w:val="bottom"/>
            <w:gridSpan w:val="2"/>
          </w:tcPr>
          <w:p>
            <w:pPr>
              <w:ind w:left="600"/>
              <w:spacing w:after="0"/>
              <w:rPr>
                <w:sz w:val="20"/>
                <w:szCs w:val="20"/>
                <w:color w:val="auto"/>
              </w:rPr>
            </w:pPr>
            <w:r>
              <w:rPr>
                <w:rFonts w:ascii="Arial" w:cs="Arial" w:eastAsia="Arial" w:hAnsi="Arial"/>
                <w:sz w:val="16"/>
                <w:szCs w:val="16"/>
                <w:b w:val="1"/>
                <w:bCs w:val="1"/>
                <w:color w:val="auto"/>
              </w:rPr>
              <w:t>Percentage</w:t>
            </w:r>
          </w:p>
        </w:tc>
        <w:tc>
          <w:tcPr>
            <w:tcW w:w="1940" w:type="dxa"/>
            <w:vAlign w:val="bottom"/>
          </w:tcPr>
          <w:p>
            <w:pPr>
              <w:spacing w:after="0"/>
              <w:rPr>
                <w:sz w:val="17"/>
                <w:szCs w:val="17"/>
                <w:color w:val="auto"/>
              </w:rPr>
            </w:pPr>
          </w:p>
        </w:tc>
      </w:tr>
      <w:tr>
        <w:trPr>
          <w:trHeight w:val="210"/>
        </w:trPr>
        <w:tc>
          <w:tcPr>
            <w:tcW w:w="5220" w:type="dxa"/>
            <w:vAlign w:val="bottom"/>
            <w:gridSpan w:val="2"/>
          </w:tcPr>
          <w:p>
            <w:pPr>
              <w:ind w:left="2240"/>
              <w:spacing w:after="0"/>
              <w:rPr>
                <w:sz w:val="20"/>
                <w:szCs w:val="20"/>
                <w:color w:val="auto"/>
              </w:rPr>
            </w:pPr>
            <w:r>
              <w:rPr>
                <w:rFonts w:ascii="Arial" w:cs="Arial" w:eastAsia="Arial" w:hAnsi="Arial"/>
                <w:sz w:val="16"/>
                <w:szCs w:val="16"/>
                <w:b w:val="1"/>
                <w:bCs w:val="1"/>
                <w:color w:val="auto"/>
              </w:rPr>
              <w:t>Name (1)</w:t>
            </w:r>
          </w:p>
        </w:tc>
        <w:tc>
          <w:tcPr>
            <w:tcW w:w="20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4"/>
              </w:rPr>
              <w:t>Ownership</w:t>
            </w:r>
          </w:p>
        </w:tc>
        <w:tc>
          <w:tcPr>
            <w:tcW w:w="2060" w:type="dxa"/>
            <w:vAlign w:val="bottom"/>
            <w:gridSpan w:val="2"/>
          </w:tcPr>
          <w:p>
            <w:pPr>
              <w:ind w:left="580"/>
              <w:spacing w:after="0"/>
              <w:rPr>
                <w:sz w:val="20"/>
                <w:szCs w:val="20"/>
                <w:color w:val="auto"/>
              </w:rPr>
            </w:pPr>
            <w:r>
              <w:rPr>
                <w:rFonts w:ascii="Arial" w:cs="Arial" w:eastAsia="Arial" w:hAnsi="Arial"/>
                <w:sz w:val="16"/>
                <w:szCs w:val="16"/>
                <w:b w:val="1"/>
                <w:bCs w:val="1"/>
                <w:color w:val="auto"/>
              </w:rPr>
              <w:t>of Class (2)</w:t>
            </w:r>
          </w:p>
        </w:tc>
        <w:tc>
          <w:tcPr>
            <w:tcW w:w="1940" w:type="dxa"/>
            <w:vAlign w:val="bottom"/>
          </w:tcPr>
          <w:p>
            <w:pPr>
              <w:jc w:val="right"/>
              <w:ind w:right="119"/>
              <w:spacing w:after="0"/>
              <w:rPr>
                <w:sz w:val="20"/>
                <w:szCs w:val="20"/>
                <w:color w:val="auto"/>
              </w:rPr>
            </w:pPr>
            <w:r>
              <w:rPr>
                <w:rFonts w:ascii="Arial" w:cs="Arial" w:eastAsia="Arial" w:hAnsi="Arial"/>
                <w:sz w:val="16"/>
                <w:szCs w:val="16"/>
                <w:b w:val="1"/>
                <w:bCs w:val="1"/>
                <w:color w:val="auto"/>
              </w:rPr>
              <w:t>Total Voting Power (3)</w:t>
            </w:r>
          </w:p>
        </w:tc>
      </w:tr>
      <w:tr>
        <w:trPr>
          <w:trHeight w:val="33"/>
        </w:trPr>
        <w:tc>
          <w:tcPr>
            <w:tcW w:w="5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44"/>
        </w:trPr>
        <w:tc>
          <w:tcPr>
            <w:tcW w:w="5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Class A Common Stock:</w:t>
            </w:r>
          </w:p>
        </w:tc>
        <w:tc>
          <w:tcPr>
            <w:tcW w:w="1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r>
      <w:tr>
        <w:trPr>
          <w:trHeight w:val="224"/>
        </w:trPr>
        <w:tc>
          <w:tcPr>
            <w:tcW w:w="5220" w:type="dxa"/>
            <w:vAlign w:val="bottom"/>
            <w:gridSpan w:val="2"/>
          </w:tcPr>
          <w:p>
            <w:pPr>
              <w:ind w:left="220"/>
              <w:spacing w:after="0"/>
              <w:rPr>
                <w:sz w:val="20"/>
                <w:szCs w:val="20"/>
                <w:color w:val="auto"/>
              </w:rPr>
            </w:pPr>
            <w:r>
              <w:rPr>
                <w:rFonts w:ascii="Arial" w:cs="Arial" w:eastAsia="Arial" w:hAnsi="Arial"/>
                <w:sz w:val="16"/>
                <w:szCs w:val="16"/>
                <w:color w:val="auto"/>
              </w:rPr>
              <w:t>Charles W. Ergen (4)</w:t>
            </w:r>
          </w:p>
        </w:tc>
        <w:tc>
          <w:tcPr>
            <w:tcW w:w="1900" w:type="dxa"/>
            <w:vAlign w:val="bottom"/>
          </w:tcPr>
          <w:p>
            <w:pPr>
              <w:jc w:val="right"/>
              <w:ind w:right="39"/>
              <w:spacing w:after="0"/>
              <w:rPr>
                <w:sz w:val="20"/>
                <w:szCs w:val="20"/>
                <w:color w:val="auto"/>
              </w:rPr>
            </w:pPr>
            <w:r>
              <w:rPr>
                <w:rFonts w:ascii="Arial" w:cs="Arial" w:eastAsia="Arial" w:hAnsi="Arial"/>
                <w:sz w:val="16"/>
                <w:szCs w:val="16"/>
                <w:color w:val="auto"/>
              </w:rPr>
              <w:t>40,226,265</w:t>
            </w:r>
          </w:p>
        </w:tc>
        <w:tc>
          <w:tcPr>
            <w:tcW w:w="10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45.9%</w:t>
            </w:r>
          </w:p>
        </w:tc>
        <w:tc>
          <w:tcPr>
            <w:tcW w:w="12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72.4%</w:t>
            </w:r>
          </w:p>
        </w:tc>
      </w:tr>
      <w:tr>
        <w:trPr>
          <w:trHeight w:val="47"/>
        </w:trPr>
        <w:tc>
          <w:tcPr>
            <w:tcW w:w="5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940" w:type="dxa"/>
            <w:vAlign w:val="bottom"/>
          </w:tcPr>
          <w:p>
            <w:pPr>
              <w:spacing w:after="0"/>
              <w:rPr>
                <w:sz w:val="4"/>
                <w:szCs w:val="4"/>
                <w:color w:val="auto"/>
              </w:rPr>
            </w:pPr>
          </w:p>
        </w:tc>
      </w:tr>
      <w:tr>
        <w:trPr>
          <w:trHeight w:val="250"/>
        </w:trPr>
        <w:tc>
          <w:tcPr>
            <w:tcW w:w="522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6"/>
                <w:szCs w:val="16"/>
                <w:color w:val="auto"/>
              </w:rPr>
              <w:t>Cantey M. Ergen (5)</w:t>
            </w:r>
          </w:p>
        </w:tc>
        <w:tc>
          <w:tcPr>
            <w:tcW w:w="1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38,626,265</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44.9%</w:t>
            </w:r>
          </w:p>
        </w:tc>
        <w:tc>
          <w:tcPr>
            <w:tcW w:w="1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72.3%</w:t>
            </w:r>
          </w:p>
        </w:tc>
      </w:tr>
      <w:tr>
        <w:trPr>
          <w:trHeight w:val="224"/>
        </w:trPr>
        <w:tc>
          <w:tcPr>
            <w:tcW w:w="5220" w:type="dxa"/>
            <w:vAlign w:val="bottom"/>
            <w:gridSpan w:val="2"/>
          </w:tcPr>
          <w:p>
            <w:pPr>
              <w:ind w:left="220"/>
              <w:spacing w:after="0"/>
              <w:rPr>
                <w:sz w:val="20"/>
                <w:szCs w:val="20"/>
                <w:color w:val="auto"/>
              </w:rPr>
            </w:pPr>
            <w:r>
              <w:rPr>
                <w:rFonts w:ascii="Arial" w:cs="Arial" w:eastAsia="Arial" w:hAnsi="Arial"/>
                <w:sz w:val="16"/>
                <w:szCs w:val="16"/>
                <w:color w:val="auto"/>
              </w:rPr>
              <w:t>William R. Gouger (6)</w:t>
            </w:r>
          </w:p>
        </w:tc>
        <w:tc>
          <w:tcPr>
            <w:tcW w:w="1900" w:type="dxa"/>
            <w:vAlign w:val="bottom"/>
          </w:tcPr>
          <w:p>
            <w:pPr>
              <w:jc w:val="right"/>
              <w:ind w:right="39"/>
              <w:spacing w:after="0"/>
              <w:rPr>
                <w:sz w:val="20"/>
                <w:szCs w:val="20"/>
                <w:color w:val="auto"/>
              </w:rPr>
            </w:pPr>
            <w:r>
              <w:rPr>
                <w:rFonts w:ascii="Arial" w:cs="Arial" w:eastAsia="Arial" w:hAnsi="Arial"/>
                <w:sz w:val="16"/>
                <w:szCs w:val="16"/>
                <w:color w:val="auto"/>
              </w:rPr>
              <w:t>9,781,693</w:t>
            </w:r>
          </w:p>
        </w:tc>
        <w:tc>
          <w:tcPr>
            <w:tcW w:w="10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16.9%</w:t>
            </w:r>
          </w:p>
        </w:tc>
        <w:tc>
          <w:tcPr>
            <w:tcW w:w="12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18.6%</w:t>
            </w:r>
          </w:p>
        </w:tc>
      </w:tr>
      <w:tr>
        <w:trPr>
          <w:trHeight w:val="47"/>
        </w:trPr>
        <w:tc>
          <w:tcPr>
            <w:tcW w:w="5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940" w:type="dxa"/>
            <w:vAlign w:val="bottom"/>
          </w:tcPr>
          <w:p>
            <w:pPr>
              <w:spacing w:after="0"/>
              <w:rPr>
                <w:sz w:val="4"/>
                <w:szCs w:val="4"/>
                <w:color w:val="auto"/>
              </w:rPr>
            </w:pPr>
          </w:p>
        </w:tc>
      </w:tr>
      <w:tr>
        <w:trPr>
          <w:trHeight w:val="250"/>
        </w:trPr>
        <w:tc>
          <w:tcPr>
            <w:tcW w:w="522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6"/>
                <w:szCs w:val="16"/>
                <w:color w:val="auto"/>
              </w:rPr>
              <w:t>Trusts (6)</w:t>
            </w:r>
          </w:p>
        </w:tc>
        <w:tc>
          <w:tcPr>
            <w:tcW w:w="1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9,779,391</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16.9%</w:t>
            </w:r>
          </w:p>
        </w:tc>
        <w:tc>
          <w:tcPr>
            <w:tcW w:w="1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18.6%</w:t>
            </w:r>
          </w:p>
        </w:tc>
      </w:tr>
      <w:tr>
        <w:trPr>
          <w:trHeight w:val="224"/>
        </w:trPr>
        <w:tc>
          <w:tcPr>
            <w:tcW w:w="5220" w:type="dxa"/>
            <w:vAlign w:val="bottom"/>
            <w:gridSpan w:val="2"/>
          </w:tcPr>
          <w:p>
            <w:pPr>
              <w:ind w:left="220"/>
              <w:spacing w:after="0"/>
              <w:rPr>
                <w:sz w:val="20"/>
                <w:szCs w:val="20"/>
                <w:color w:val="auto"/>
              </w:rPr>
            </w:pPr>
            <w:r>
              <w:rPr>
                <w:rFonts w:ascii="Arial" w:cs="Arial" w:eastAsia="Arial" w:hAnsi="Arial"/>
                <w:sz w:val="16"/>
                <w:szCs w:val="16"/>
                <w:color w:val="auto"/>
              </w:rPr>
              <w:t>Putnam Investments, LLC (7)</w:t>
            </w:r>
          </w:p>
        </w:tc>
        <w:tc>
          <w:tcPr>
            <w:tcW w:w="1900" w:type="dxa"/>
            <w:vAlign w:val="bottom"/>
          </w:tcPr>
          <w:p>
            <w:pPr>
              <w:jc w:val="right"/>
              <w:ind w:right="39"/>
              <w:spacing w:after="0"/>
              <w:rPr>
                <w:sz w:val="20"/>
                <w:szCs w:val="20"/>
                <w:color w:val="auto"/>
              </w:rPr>
            </w:pPr>
            <w:r>
              <w:rPr>
                <w:rFonts w:ascii="Arial" w:cs="Arial" w:eastAsia="Arial" w:hAnsi="Arial"/>
                <w:sz w:val="16"/>
                <w:szCs w:val="16"/>
                <w:color w:val="auto"/>
              </w:rPr>
              <w:t>11,993,230</w:t>
            </w:r>
          </w:p>
        </w:tc>
        <w:tc>
          <w:tcPr>
            <w:tcW w:w="10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24.9%</w:t>
            </w:r>
          </w:p>
        </w:tc>
        <w:tc>
          <w:tcPr>
            <w:tcW w:w="12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47"/>
        </w:trPr>
        <w:tc>
          <w:tcPr>
            <w:tcW w:w="5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940" w:type="dxa"/>
            <w:vAlign w:val="bottom"/>
          </w:tcPr>
          <w:p>
            <w:pPr>
              <w:spacing w:after="0"/>
              <w:rPr>
                <w:sz w:val="4"/>
                <w:szCs w:val="4"/>
                <w:color w:val="auto"/>
              </w:rPr>
            </w:pPr>
          </w:p>
        </w:tc>
      </w:tr>
      <w:tr>
        <w:trPr>
          <w:trHeight w:val="250"/>
        </w:trPr>
        <w:tc>
          <w:tcPr>
            <w:tcW w:w="522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6"/>
                <w:szCs w:val="16"/>
                <w:color w:val="auto"/>
              </w:rPr>
              <w:t>Renaissance Technologies LLC (8)</w:t>
            </w:r>
          </w:p>
        </w:tc>
        <w:tc>
          <w:tcPr>
            <w:tcW w:w="1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2,952,680</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1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r>
      <w:tr>
        <w:trPr>
          <w:trHeight w:val="224"/>
        </w:trPr>
        <w:tc>
          <w:tcPr>
            <w:tcW w:w="5220" w:type="dxa"/>
            <w:vAlign w:val="bottom"/>
            <w:gridSpan w:val="2"/>
          </w:tcPr>
          <w:p>
            <w:pPr>
              <w:ind w:left="220"/>
              <w:spacing w:after="0"/>
              <w:rPr>
                <w:sz w:val="20"/>
                <w:szCs w:val="20"/>
                <w:color w:val="auto"/>
              </w:rPr>
            </w:pPr>
            <w:r>
              <w:rPr>
                <w:rFonts w:ascii="Arial" w:cs="Arial" w:eastAsia="Arial" w:hAnsi="Arial"/>
                <w:sz w:val="16"/>
                <w:szCs w:val="16"/>
                <w:color w:val="auto"/>
              </w:rPr>
              <w:t>The Vanguard Group, Inc. (9)</w:t>
            </w:r>
          </w:p>
        </w:tc>
        <w:tc>
          <w:tcPr>
            <w:tcW w:w="1900" w:type="dxa"/>
            <w:vAlign w:val="bottom"/>
          </w:tcPr>
          <w:p>
            <w:pPr>
              <w:jc w:val="right"/>
              <w:ind w:right="39"/>
              <w:spacing w:after="0"/>
              <w:rPr>
                <w:sz w:val="20"/>
                <w:szCs w:val="20"/>
                <w:color w:val="auto"/>
              </w:rPr>
            </w:pPr>
            <w:r>
              <w:rPr>
                <w:rFonts w:ascii="Arial" w:cs="Arial" w:eastAsia="Arial" w:hAnsi="Arial"/>
                <w:sz w:val="16"/>
                <w:szCs w:val="16"/>
                <w:color w:val="auto"/>
              </w:rPr>
              <w:t>3,235,820</w:t>
            </w:r>
          </w:p>
        </w:tc>
        <w:tc>
          <w:tcPr>
            <w:tcW w:w="10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6.7%</w:t>
            </w:r>
          </w:p>
        </w:tc>
        <w:tc>
          <w:tcPr>
            <w:tcW w:w="120" w:type="dxa"/>
            <w:vAlign w:val="bottom"/>
          </w:tcPr>
          <w:p>
            <w:pPr>
              <w:spacing w:after="0"/>
              <w:rPr>
                <w:sz w:val="19"/>
                <w:szCs w:val="19"/>
                <w:color w:val="auto"/>
              </w:rPr>
            </w:pPr>
          </w:p>
        </w:tc>
        <w:tc>
          <w:tcPr>
            <w:tcW w:w="1940" w:type="dxa"/>
            <w:vAlign w:val="bottom"/>
          </w:tcPr>
          <w:p>
            <w:pPr>
              <w:jc w:val="right"/>
              <w:ind w:right="79"/>
              <w:spacing w:after="0"/>
              <w:rPr>
                <w:sz w:val="20"/>
                <w:szCs w:val="20"/>
                <w:color w:val="auto"/>
              </w:rPr>
            </w:pPr>
            <w:r>
              <w:rPr>
                <w:rFonts w:ascii="Arial" w:cs="Arial" w:eastAsia="Arial" w:hAnsi="Arial"/>
                <w:sz w:val="16"/>
                <w:szCs w:val="16"/>
                <w:color w:val="auto"/>
              </w:rPr>
              <w:t>*</w:t>
            </w:r>
          </w:p>
        </w:tc>
      </w:tr>
      <w:tr>
        <w:trPr>
          <w:trHeight w:val="47"/>
        </w:trPr>
        <w:tc>
          <w:tcPr>
            <w:tcW w:w="5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940" w:type="dxa"/>
            <w:vAlign w:val="bottom"/>
          </w:tcPr>
          <w:p>
            <w:pPr>
              <w:spacing w:after="0"/>
              <w:rPr>
                <w:sz w:val="4"/>
                <w:szCs w:val="4"/>
                <w:color w:val="auto"/>
              </w:rPr>
            </w:pPr>
          </w:p>
        </w:tc>
      </w:tr>
      <w:tr>
        <w:trPr>
          <w:trHeight w:val="250"/>
        </w:trPr>
        <w:tc>
          <w:tcPr>
            <w:tcW w:w="522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6"/>
                <w:szCs w:val="16"/>
                <w:color w:val="auto"/>
              </w:rPr>
              <w:t>Michael T. Dugan (10)</w:t>
            </w:r>
          </w:p>
        </w:tc>
        <w:tc>
          <w:tcPr>
            <w:tcW w:w="1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687,146</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r>
      <w:tr>
        <w:trPr>
          <w:trHeight w:val="224"/>
        </w:trPr>
        <w:tc>
          <w:tcPr>
            <w:tcW w:w="5220" w:type="dxa"/>
            <w:vAlign w:val="bottom"/>
            <w:gridSpan w:val="2"/>
          </w:tcPr>
          <w:p>
            <w:pPr>
              <w:ind w:left="220"/>
              <w:spacing w:after="0"/>
              <w:rPr>
                <w:sz w:val="20"/>
                <w:szCs w:val="20"/>
                <w:color w:val="auto"/>
              </w:rPr>
            </w:pPr>
            <w:r>
              <w:rPr>
                <w:rFonts w:ascii="Arial" w:cs="Arial" w:eastAsia="Arial" w:hAnsi="Arial"/>
                <w:sz w:val="16"/>
                <w:szCs w:val="16"/>
                <w:color w:val="auto"/>
              </w:rPr>
              <w:t>Anders N. Johnson (11)</w:t>
            </w:r>
          </w:p>
        </w:tc>
        <w:tc>
          <w:tcPr>
            <w:tcW w:w="1900" w:type="dxa"/>
            <w:vAlign w:val="bottom"/>
          </w:tcPr>
          <w:p>
            <w:pPr>
              <w:jc w:val="right"/>
              <w:ind w:right="39"/>
              <w:spacing w:after="0"/>
              <w:rPr>
                <w:sz w:val="20"/>
                <w:szCs w:val="20"/>
                <w:color w:val="auto"/>
              </w:rPr>
            </w:pPr>
            <w:r>
              <w:rPr>
                <w:rFonts w:ascii="Arial" w:cs="Arial" w:eastAsia="Arial" w:hAnsi="Arial"/>
                <w:sz w:val="16"/>
                <w:szCs w:val="16"/>
                <w:color w:val="auto"/>
              </w:rPr>
              <w:t>210,729</w:t>
            </w:r>
          </w:p>
        </w:tc>
        <w:tc>
          <w:tcPr>
            <w:tcW w:w="100" w:type="dxa"/>
            <w:vAlign w:val="bottom"/>
          </w:tcPr>
          <w:p>
            <w:pPr>
              <w:spacing w:after="0"/>
              <w:rPr>
                <w:sz w:val="19"/>
                <w:szCs w:val="19"/>
                <w:color w:val="auto"/>
              </w:rPr>
            </w:pPr>
          </w:p>
        </w:tc>
        <w:tc>
          <w:tcPr>
            <w:tcW w:w="19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940" w:type="dxa"/>
            <w:vAlign w:val="bottom"/>
          </w:tcPr>
          <w:p>
            <w:pPr>
              <w:jc w:val="right"/>
              <w:ind w:right="79"/>
              <w:spacing w:after="0"/>
              <w:rPr>
                <w:sz w:val="20"/>
                <w:szCs w:val="20"/>
                <w:color w:val="auto"/>
              </w:rPr>
            </w:pPr>
            <w:r>
              <w:rPr>
                <w:rFonts w:ascii="Arial" w:cs="Arial" w:eastAsia="Arial" w:hAnsi="Arial"/>
                <w:sz w:val="16"/>
                <w:szCs w:val="16"/>
                <w:color w:val="auto"/>
              </w:rPr>
              <w:t>*</w:t>
            </w:r>
          </w:p>
        </w:tc>
      </w:tr>
      <w:tr>
        <w:trPr>
          <w:trHeight w:val="47"/>
        </w:trPr>
        <w:tc>
          <w:tcPr>
            <w:tcW w:w="5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940" w:type="dxa"/>
            <w:vAlign w:val="bottom"/>
          </w:tcPr>
          <w:p>
            <w:pPr>
              <w:spacing w:after="0"/>
              <w:rPr>
                <w:sz w:val="4"/>
                <w:szCs w:val="4"/>
                <w:color w:val="auto"/>
              </w:rPr>
            </w:pPr>
          </w:p>
        </w:tc>
      </w:tr>
      <w:tr>
        <w:trPr>
          <w:trHeight w:val="250"/>
        </w:trPr>
        <w:tc>
          <w:tcPr>
            <w:tcW w:w="522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6"/>
                <w:szCs w:val="16"/>
                <w:color w:val="auto"/>
              </w:rPr>
              <w:t>Pradman P. Kaul (12)</w:t>
            </w:r>
          </w:p>
        </w:tc>
        <w:tc>
          <w:tcPr>
            <w:tcW w:w="1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20,723</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r>
      <w:tr>
        <w:trPr>
          <w:trHeight w:val="224"/>
        </w:trPr>
        <w:tc>
          <w:tcPr>
            <w:tcW w:w="5220" w:type="dxa"/>
            <w:vAlign w:val="bottom"/>
            <w:gridSpan w:val="2"/>
          </w:tcPr>
          <w:p>
            <w:pPr>
              <w:ind w:left="220"/>
              <w:spacing w:after="0"/>
              <w:rPr>
                <w:sz w:val="20"/>
                <w:szCs w:val="20"/>
                <w:color w:val="auto"/>
              </w:rPr>
            </w:pPr>
            <w:r>
              <w:rPr>
                <w:rFonts w:ascii="Arial" w:cs="Arial" w:eastAsia="Arial" w:hAnsi="Arial"/>
                <w:sz w:val="16"/>
                <w:szCs w:val="16"/>
                <w:color w:val="auto"/>
              </w:rPr>
              <w:t>David J. Rayner (13)</w:t>
            </w:r>
          </w:p>
        </w:tc>
        <w:tc>
          <w:tcPr>
            <w:tcW w:w="1900" w:type="dxa"/>
            <w:vAlign w:val="bottom"/>
          </w:tcPr>
          <w:p>
            <w:pPr>
              <w:jc w:val="right"/>
              <w:ind w:right="39"/>
              <w:spacing w:after="0"/>
              <w:rPr>
                <w:sz w:val="20"/>
                <w:szCs w:val="20"/>
                <w:color w:val="auto"/>
              </w:rPr>
            </w:pPr>
            <w:r>
              <w:rPr>
                <w:rFonts w:ascii="Arial" w:cs="Arial" w:eastAsia="Arial" w:hAnsi="Arial"/>
                <w:sz w:val="16"/>
                <w:szCs w:val="16"/>
                <w:color w:val="auto"/>
              </w:rPr>
              <w:t>173,195</w:t>
            </w:r>
          </w:p>
        </w:tc>
        <w:tc>
          <w:tcPr>
            <w:tcW w:w="100" w:type="dxa"/>
            <w:vAlign w:val="bottom"/>
          </w:tcPr>
          <w:p>
            <w:pPr>
              <w:spacing w:after="0"/>
              <w:rPr>
                <w:sz w:val="19"/>
                <w:szCs w:val="19"/>
                <w:color w:val="auto"/>
              </w:rPr>
            </w:pPr>
          </w:p>
        </w:tc>
        <w:tc>
          <w:tcPr>
            <w:tcW w:w="19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940" w:type="dxa"/>
            <w:vAlign w:val="bottom"/>
          </w:tcPr>
          <w:p>
            <w:pPr>
              <w:jc w:val="right"/>
              <w:ind w:right="79"/>
              <w:spacing w:after="0"/>
              <w:rPr>
                <w:sz w:val="20"/>
                <w:szCs w:val="20"/>
                <w:color w:val="auto"/>
              </w:rPr>
            </w:pPr>
            <w:r>
              <w:rPr>
                <w:rFonts w:ascii="Arial" w:cs="Arial" w:eastAsia="Arial" w:hAnsi="Arial"/>
                <w:sz w:val="16"/>
                <w:szCs w:val="16"/>
                <w:color w:val="auto"/>
              </w:rPr>
              <w:t>*</w:t>
            </w:r>
          </w:p>
        </w:tc>
      </w:tr>
      <w:tr>
        <w:trPr>
          <w:trHeight w:val="47"/>
        </w:trPr>
        <w:tc>
          <w:tcPr>
            <w:tcW w:w="5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940" w:type="dxa"/>
            <w:vAlign w:val="bottom"/>
          </w:tcPr>
          <w:p>
            <w:pPr>
              <w:spacing w:after="0"/>
              <w:rPr>
                <w:sz w:val="4"/>
                <w:szCs w:val="4"/>
                <w:color w:val="auto"/>
              </w:rPr>
            </w:pPr>
          </w:p>
        </w:tc>
      </w:tr>
      <w:tr>
        <w:trPr>
          <w:trHeight w:val="250"/>
        </w:trPr>
        <w:tc>
          <w:tcPr>
            <w:tcW w:w="522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6"/>
                <w:szCs w:val="16"/>
                <w:color w:val="auto"/>
              </w:rPr>
              <w:t>R. Stanton Dodge (14)</w:t>
            </w:r>
          </w:p>
        </w:tc>
        <w:tc>
          <w:tcPr>
            <w:tcW w:w="1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511</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r>
      <w:tr>
        <w:trPr>
          <w:trHeight w:val="224"/>
        </w:trPr>
        <w:tc>
          <w:tcPr>
            <w:tcW w:w="5220" w:type="dxa"/>
            <w:vAlign w:val="bottom"/>
            <w:gridSpan w:val="2"/>
          </w:tcPr>
          <w:p>
            <w:pPr>
              <w:ind w:left="220"/>
              <w:spacing w:after="0"/>
              <w:rPr>
                <w:sz w:val="20"/>
                <w:szCs w:val="20"/>
                <w:color w:val="auto"/>
              </w:rPr>
            </w:pPr>
            <w:r>
              <w:rPr>
                <w:rFonts w:ascii="Arial" w:cs="Arial" w:eastAsia="Arial" w:hAnsi="Arial"/>
                <w:sz w:val="16"/>
                <w:szCs w:val="16"/>
                <w:color w:val="auto"/>
              </w:rPr>
              <w:t>Anthony M. Federico (15)</w:t>
            </w:r>
          </w:p>
        </w:tc>
        <w:tc>
          <w:tcPr>
            <w:tcW w:w="1900" w:type="dxa"/>
            <w:vAlign w:val="bottom"/>
          </w:tcPr>
          <w:p>
            <w:pPr>
              <w:jc w:val="right"/>
              <w:ind w:right="39"/>
              <w:spacing w:after="0"/>
              <w:rPr>
                <w:sz w:val="20"/>
                <w:szCs w:val="20"/>
                <w:color w:val="auto"/>
              </w:rPr>
            </w:pPr>
            <w:r>
              <w:rPr>
                <w:rFonts w:ascii="Arial" w:cs="Arial" w:eastAsia="Arial" w:hAnsi="Arial"/>
                <w:sz w:val="16"/>
                <w:szCs w:val="16"/>
                <w:color w:val="auto"/>
              </w:rPr>
              <w:t>25,146</w:t>
            </w:r>
          </w:p>
        </w:tc>
        <w:tc>
          <w:tcPr>
            <w:tcW w:w="100" w:type="dxa"/>
            <w:vAlign w:val="bottom"/>
          </w:tcPr>
          <w:p>
            <w:pPr>
              <w:spacing w:after="0"/>
              <w:rPr>
                <w:sz w:val="19"/>
                <w:szCs w:val="19"/>
                <w:color w:val="auto"/>
              </w:rPr>
            </w:pPr>
          </w:p>
        </w:tc>
        <w:tc>
          <w:tcPr>
            <w:tcW w:w="19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940" w:type="dxa"/>
            <w:vAlign w:val="bottom"/>
          </w:tcPr>
          <w:p>
            <w:pPr>
              <w:jc w:val="right"/>
              <w:ind w:right="79"/>
              <w:spacing w:after="0"/>
              <w:rPr>
                <w:sz w:val="20"/>
                <w:szCs w:val="20"/>
                <w:color w:val="auto"/>
              </w:rPr>
            </w:pPr>
            <w:r>
              <w:rPr>
                <w:rFonts w:ascii="Arial" w:cs="Arial" w:eastAsia="Arial" w:hAnsi="Arial"/>
                <w:sz w:val="16"/>
                <w:szCs w:val="16"/>
                <w:color w:val="auto"/>
              </w:rPr>
              <w:t>*</w:t>
            </w:r>
          </w:p>
        </w:tc>
      </w:tr>
      <w:tr>
        <w:trPr>
          <w:trHeight w:val="47"/>
        </w:trPr>
        <w:tc>
          <w:tcPr>
            <w:tcW w:w="5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940" w:type="dxa"/>
            <w:vAlign w:val="bottom"/>
          </w:tcPr>
          <w:p>
            <w:pPr>
              <w:spacing w:after="0"/>
              <w:rPr>
                <w:sz w:val="4"/>
                <w:szCs w:val="4"/>
                <w:color w:val="auto"/>
              </w:rPr>
            </w:pPr>
          </w:p>
        </w:tc>
      </w:tr>
      <w:tr>
        <w:trPr>
          <w:trHeight w:val="250"/>
        </w:trPr>
        <w:tc>
          <w:tcPr>
            <w:tcW w:w="522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6"/>
                <w:szCs w:val="16"/>
                <w:color w:val="auto"/>
              </w:rPr>
              <w:t>Tom A. Ortolf (16)</w:t>
            </w:r>
          </w:p>
        </w:tc>
        <w:tc>
          <w:tcPr>
            <w:tcW w:w="1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32,000</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r>
      <w:tr>
        <w:trPr>
          <w:trHeight w:val="224"/>
        </w:trPr>
        <w:tc>
          <w:tcPr>
            <w:tcW w:w="5220" w:type="dxa"/>
            <w:vAlign w:val="bottom"/>
            <w:gridSpan w:val="2"/>
          </w:tcPr>
          <w:p>
            <w:pPr>
              <w:ind w:left="220"/>
              <w:spacing w:after="0"/>
              <w:rPr>
                <w:sz w:val="20"/>
                <w:szCs w:val="20"/>
                <w:color w:val="auto"/>
              </w:rPr>
            </w:pPr>
            <w:r>
              <w:rPr>
                <w:rFonts w:ascii="Arial" w:cs="Arial" w:eastAsia="Arial" w:hAnsi="Arial"/>
                <w:sz w:val="16"/>
                <w:szCs w:val="16"/>
                <w:color w:val="auto"/>
              </w:rPr>
              <w:t>C. Michael Schroeder (17)</w:t>
            </w:r>
          </w:p>
        </w:tc>
        <w:tc>
          <w:tcPr>
            <w:tcW w:w="1900" w:type="dxa"/>
            <w:vAlign w:val="bottom"/>
          </w:tcPr>
          <w:p>
            <w:pPr>
              <w:jc w:val="right"/>
              <w:ind w:right="39"/>
              <w:spacing w:after="0"/>
              <w:rPr>
                <w:sz w:val="20"/>
                <w:szCs w:val="20"/>
                <w:color w:val="auto"/>
              </w:rPr>
            </w:pPr>
            <w:r>
              <w:rPr>
                <w:rFonts w:ascii="Arial" w:cs="Arial" w:eastAsia="Arial" w:hAnsi="Arial"/>
                <w:sz w:val="16"/>
                <w:szCs w:val="16"/>
                <w:color w:val="auto"/>
              </w:rPr>
              <w:t>28,020</w:t>
            </w:r>
          </w:p>
        </w:tc>
        <w:tc>
          <w:tcPr>
            <w:tcW w:w="100" w:type="dxa"/>
            <w:vAlign w:val="bottom"/>
          </w:tcPr>
          <w:p>
            <w:pPr>
              <w:spacing w:after="0"/>
              <w:rPr>
                <w:sz w:val="19"/>
                <w:szCs w:val="19"/>
                <w:color w:val="auto"/>
              </w:rPr>
            </w:pPr>
          </w:p>
        </w:tc>
        <w:tc>
          <w:tcPr>
            <w:tcW w:w="19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940" w:type="dxa"/>
            <w:vAlign w:val="bottom"/>
          </w:tcPr>
          <w:p>
            <w:pPr>
              <w:jc w:val="right"/>
              <w:ind w:right="79"/>
              <w:spacing w:after="0"/>
              <w:rPr>
                <w:sz w:val="20"/>
                <w:szCs w:val="20"/>
                <w:color w:val="auto"/>
              </w:rPr>
            </w:pPr>
            <w:r>
              <w:rPr>
                <w:rFonts w:ascii="Arial" w:cs="Arial" w:eastAsia="Arial" w:hAnsi="Arial"/>
                <w:sz w:val="16"/>
                <w:szCs w:val="16"/>
                <w:color w:val="auto"/>
              </w:rPr>
              <w:t>*</w:t>
            </w:r>
          </w:p>
        </w:tc>
      </w:tr>
      <w:tr>
        <w:trPr>
          <w:trHeight w:val="47"/>
        </w:trPr>
        <w:tc>
          <w:tcPr>
            <w:tcW w:w="5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940" w:type="dxa"/>
            <w:vAlign w:val="bottom"/>
          </w:tcPr>
          <w:p>
            <w:pPr>
              <w:spacing w:after="0"/>
              <w:rPr>
                <w:sz w:val="4"/>
                <w:szCs w:val="4"/>
                <w:color w:val="auto"/>
              </w:rPr>
            </w:pPr>
          </w:p>
        </w:tc>
      </w:tr>
      <w:tr>
        <w:trPr>
          <w:trHeight w:val="250"/>
        </w:trPr>
        <w:tc>
          <w:tcPr>
            <w:tcW w:w="522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6"/>
                <w:szCs w:val="16"/>
                <w:color w:val="auto"/>
              </w:rPr>
              <w:t>William David Wade (18)</w:t>
            </w:r>
          </w:p>
        </w:tc>
        <w:tc>
          <w:tcPr>
            <w:tcW w:w="1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15,000</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r>
      <w:tr>
        <w:trPr>
          <w:trHeight w:val="224"/>
        </w:trPr>
        <w:tc>
          <w:tcPr>
            <w:tcW w:w="5220" w:type="dxa"/>
            <w:vAlign w:val="bottom"/>
            <w:gridSpan w:val="2"/>
          </w:tcPr>
          <w:p>
            <w:pPr>
              <w:ind w:left="220"/>
              <w:spacing w:after="0"/>
              <w:rPr>
                <w:sz w:val="20"/>
                <w:szCs w:val="20"/>
                <w:color w:val="auto"/>
              </w:rPr>
            </w:pPr>
            <w:r>
              <w:rPr>
                <w:rFonts w:ascii="Arial" w:cs="Arial" w:eastAsia="Arial" w:hAnsi="Arial"/>
                <w:sz w:val="16"/>
                <w:szCs w:val="16"/>
                <w:color w:val="auto"/>
              </w:rPr>
              <w:t>All Directors and Executive Officers as a Group (12 persons) (19)</w:t>
            </w:r>
          </w:p>
        </w:tc>
        <w:tc>
          <w:tcPr>
            <w:tcW w:w="1900" w:type="dxa"/>
            <w:vAlign w:val="bottom"/>
          </w:tcPr>
          <w:p>
            <w:pPr>
              <w:jc w:val="right"/>
              <w:ind w:right="39"/>
              <w:spacing w:after="0"/>
              <w:rPr>
                <w:sz w:val="20"/>
                <w:szCs w:val="20"/>
                <w:color w:val="auto"/>
              </w:rPr>
            </w:pPr>
            <w:r>
              <w:rPr>
                <w:rFonts w:ascii="Arial" w:cs="Arial" w:eastAsia="Arial" w:hAnsi="Arial"/>
                <w:sz w:val="16"/>
                <w:szCs w:val="16"/>
                <w:color w:val="auto"/>
              </w:rPr>
              <w:t>41,617,661</w:t>
            </w:r>
          </w:p>
        </w:tc>
        <w:tc>
          <w:tcPr>
            <w:tcW w:w="10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46.7%</w:t>
            </w:r>
          </w:p>
        </w:tc>
        <w:tc>
          <w:tcPr>
            <w:tcW w:w="12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72.5%</w:t>
            </w:r>
          </w:p>
        </w:tc>
      </w:tr>
      <w:tr>
        <w:trPr>
          <w:trHeight w:val="47"/>
        </w:trPr>
        <w:tc>
          <w:tcPr>
            <w:tcW w:w="5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940" w:type="dxa"/>
            <w:vAlign w:val="bottom"/>
          </w:tcPr>
          <w:p>
            <w:pPr>
              <w:spacing w:after="0"/>
              <w:rPr>
                <w:sz w:val="4"/>
                <w:szCs w:val="4"/>
                <w:color w:val="auto"/>
              </w:rPr>
            </w:pPr>
          </w:p>
        </w:tc>
      </w:tr>
      <w:tr>
        <w:trPr>
          <w:trHeight w:val="250"/>
        </w:trPr>
        <w:tc>
          <w:tcPr>
            <w:tcW w:w="5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Class B Common Stock:</w:t>
            </w:r>
          </w:p>
        </w:tc>
        <w:tc>
          <w:tcPr>
            <w:tcW w:w="1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r>
      <w:tr>
        <w:trPr>
          <w:trHeight w:val="224"/>
        </w:trPr>
        <w:tc>
          <w:tcPr>
            <w:tcW w:w="5220" w:type="dxa"/>
            <w:vAlign w:val="bottom"/>
            <w:gridSpan w:val="2"/>
          </w:tcPr>
          <w:p>
            <w:pPr>
              <w:ind w:left="220"/>
              <w:spacing w:after="0"/>
              <w:rPr>
                <w:sz w:val="20"/>
                <w:szCs w:val="20"/>
                <w:color w:val="auto"/>
              </w:rPr>
            </w:pPr>
            <w:r>
              <w:rPr>
                <w:rFonts w:ascii="Arial" w:cs="Arial" w:eastAsia="Arial" w:hAnsi="Arial"/>
                <w:sz w:val="16"/>
                <w:szCs w:val="16"/>
                <w:color w:val="auto"/>
              </w:rPr>
              <w:t>Charles W. Ergen (4)</w:t>
            </w:r>
          </w:p>
        </w:tc>
        <w:tc>
          <w:tcPr>
            <w:tcW w:w="1900" w:type="dxa"/>
            <w:vAlign w:val="bottom"/>
          </w:tcPr>
          <w:p>
            <w:pPr>
              <w:jc w:val="right"/>
              <w:ind w:right="39"/>
              <w:spacing w:after="0"/>
              <w:rPr>
                <w:sz w:val="20"/>
                <w:szCs w:val="20"/>
                <w:color w:val="auto"/>
              </w:rPr>
            </w:pPr>
            <w:r>
              <w:rPr>
                <w:rFonts w:ascii="Arial" w:cs="Arial" w:eastAsia="Arial" w:hAnsi="Arial"/>
                <w:sz w:val="16"/>
                <w:szCs w:val="16"/>
                <w:color w:val="auto"/>
              </w:rPr>
              <w:t>37,909,288</w:t>
            </w:r>
          </w:p>
        </w:tc>
        <w:tc>
          <w:tcPr>
            <w:tcW w:w="10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79.5%</w:t>
            </w:r>
          </w:p>
        </w:tc>
        <w:tc>
          <w:tcPr>
            <w:tcW w:w="12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72.4%</w:t>
            </w:r>
          </w:p>
        </w:tc>
      </w:tr>
      <w:tr>
        <w:trPr>
          <w:trHeight w:val="47"/>
        </w:trPr>
        <w:tc>
          <w:tcPr>
            <w:tcW w:w="5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940" w:type="dxa"/>
            <w:vAlign w:val="bottom"/>
          </w:tcPr>
          <w:p>
            <w:pPr>
              <w:spacing w:after="0"/>
              <w:rPr>
                <w:sz w:val="4"/>
                <w:szCs w:val="4"/>
                <w:color w:val="auto"/>
              </w:rPr>
            </w:pPr>
          </w:p>
        </w:tc>
      </w:tr>
      <w:tr>
        <w:trPr>
          <w:trHeight w:val="250"/>
        </w:trPr>
        <w:tc>
          <w:tcPr>
            <w:tcW w:w="522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6"/>
                <w:szCs w:val="16"/>
                <w:color w:val="auto"/>
              </w:rPr>
              <w:t>Cantey M. Ergen (5)</w:t>
            </w:r>
          </w:p>
        </w:tc>
        <w:tc>
          <w:tcPr>
            <w:tcW w:w="1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37,909,288</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79.5%</w:t>
            </w:r>
          </w:p>
        </w:tc>
        <w:tc>
          <w:tcPr>
            <w:tcW w:w="1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72.3%</w:t>
            </w:r>
          </w:p>
        </w:tc>
      </w:tr>
      <w:tr>
        <w:trPr>
          <w:trHeight w:val="224"/>
        </w:trPr>
        <w:tc>
          <w:tcPr>
            <w:tcW w:w="5220" w:type="dxa"/>
            <w:vAlign w:val="bottom"/>
            <w:gridSpan w:val="2"/>
          </w:tcPr>
          <w:p>
            <w:pPr>
              <w:ind w:left="220"/>
              <w:spacing w:after="0"/>
              <w:rPr>
                <w:sz w:val="20"/>
                <w:szCs w:val="20"/>
                <w:color w:val="auto"/>
              </w:rPr>
            </w:pPr>
            <w:r>
              <w:rPr>
                <w:rFonts w:ascii="Arial" w:cs="Arial" w:eastAsia="Arial" w:hAnsi="Arial"/>
                <w:sz w:val="16"/>
                <w:szCs w:val="16"/>
                <w:color w:val="auto"/>
              </w:rPr>
              <w:t>William R. Gouger (6)</w:t>
            </w:r>
          </w:p>
        </w:tc>
        <w:tc>
          <w:tcPr>
            <w:tcW w:w="1900" w:type="dxa"/>
            <w:vAlign w:val="bottom"/>
          </w:tcPr>
          <w:p>
            <w:pPr>
              <w:jc w:val="right"/>
              <w:ind w:right="39"/>
              <w:spacing w:after="0"/>
              <w:rPr>
                <w:sz w:val="20"/>
                <w:szCs w:val="20"/>
                <w:color w:val="auto"/>
              </w:rPr>
            </w:pPr>
            <w:r>
              <w:rPr>
                <w:rFonts w:ascii="Arial" w:cs="Arial" w:eastAsia="Arial" w:hAnsi="Arial"/>
                <w:sz w:val="16"/>
                <w:szCs w:val="16"/>
                <w:color w:val="auto"/>
              </w:rPr>
              <w:t>9,777,751</w:t>
            </w:r>
          </w:p>
        </w:tc>
        <w:tc>
          <w:tcPr>
            <w:tcW w:w="10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20.5%</w:t>
            </w:r>
          </w:p>
        </w:tc>
        <w:tc>
          <w:tcPr>
            <w:tcW w:w="12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18.6%</w:t>
            </w:r>
          </w:p>
        </w:tc>
      </w:tr>
      <w:tr>
        <w:trPr>
          <w:trHeight w:val="47"/>
        </w:trPr>
        <w:tc>
          <w:tcPr>
            <w:tcW w:w="5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940" w:type="dxa"/>
            <w:vAlign w:val="bottom"/>
          </w:tcPr>
          <w:p>
            <w:pPr>
              <w:spacing w:after="0"/>
              <w:rPr>
                <w:sz w:val="4"/>
                <w:szCs w:val="4"/>
                <w:color w:val="auto"/>
              </w:rPr>
            </w:pPr>
          </w:p>
        </w:tc>
      </w:tr>
      <w:tr>
        <w:trPr>
          <w:trHeight w:val="250"/>
        </w:trPr>
        <w:tc>
          <w:tcPr>
            <w:tcW w:w="522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6"/>
                <w:szCs w:val="16"/>
                <w:color w:val="auto"/>
              </w:rPr>
              <w:t>Trusts (6)</w:t>
            </w:r>
          </w:p>
        </w:tc>
        <w:tc>
          <w:tcPr>
            <w:tcW w:w="1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9,777,751</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20.5%</w:t>
            </w:r>
          </w:p>
        </w:tc>
        <w:tc>
          <w:tcPr>
            <w:tcW w:w="1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18.6%</w:t>
            </w:r>
          </w:p>
        </w:tc>
      </w:tr>
      <w:tr>
        <w:trPr>
          <w:trHeight w:val="224"/>
        </w:trPr>
        <w:tc>
          <w:tcPr>
            <w:tcW w:w="5220" w:type="dxa"/>
            <w:vAlign w:val="bottom"/>
            <w:gridSpan w:val="2"/>
          </w:tcPr>
          <w:p>
            <w:pPr>
              <w:ind w:left="220"/>
              <w:spacing w:after="0"/>
              <w:rPr>
                <w:sz w:val="20"/>
                <w:szCs w:val="20"/>
                <w:color w:val="auto"/>
              </w:rPr>
            </w:pPr>
            <w:r>
              <w:rPr>
                <w:rFonts w:ascii="Arial" w:cs="Arial" w:eastAsia="Arial" w:hAnsi="Arial"/>
                <w:sz w:val="16"/>
                <w:szCs w:val="16"/>
                <w:color w:val="auto"/>
              </w:rPr>
              <w:t>All Directors and Executive Officers as a Group (12 persons) (20)</w:t>
            </w:r>
          </w:p>
        </w:tc>
        <w:tc>
          <w:tcPr>
            <w:tcW w:w="1900" w:type="dxa"/>
            <w:vAlign w:val="bottom"/>
          </w:tcPr>
          <w:p>
            <w:pPr>
              <w:jc w:val="right"/>
              <w:ind w:right="39"/>
              <w:spacing w:after="0"/>
              <w:rPr>
                <w:sz w:val="20"/>
                <w:szCs w:val="20"/>
                <w:color w:val="auto"/>
              </w:rPr>
            </w:pPr>
            <w:r>
              <w:rPr>
                <w:rFonts w:ascii="Arial" w:cs="Arial" w:eastAsia="Arial" w:hAnsi="Arial"/>
                <w:sz w:val="16"/>
                <w:szCs w:val="16"/>
                <w:color w:val="auto"/>
              </w:rPr>
              <w:t>37,909,288</w:t>
            </w:r>
          </w:p>
        </w:tc>
        <w:tc>
          <w:tcPr>
            <w:tcW w:w="10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79.5%</w:t>
            </w:r>
          </w:p>
        </w:tc>
        <w:tc>
          <w:tcPr>
            <w:tcW w:w="12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72.5%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wp:posOffset>
            </wp:positionV>
            <wp:extent cx="72720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73" w:lineRule="exact"/>
        <w:rPr>
          <w:sz w:val="20"/>
          <w:szCs w:val="20"/>
          <w:color w:val="auto"/>
        </w:rPr>
      </w:pPr>
    </w:p>
    <w:p>
      <w:pPr>
        <w:ind w:left="80"/>
        <w:spacing w:after="0"/>
        <w:rPr>
          <w:sz w:val="20"/>
          <w:szCs w:val="20"/>
          <w:color w:val="auto"/>
        </w:rPr>
      </w:pPr>
      <w:r>
        <w:rPr>
          <w:rFonts w:ascii="Arial" w:cs="Arial" w:eastAsia="Arial" w:hAnsi="Arial"/>
          <w:sz w:val="16"/>
          <w:szCs w:val="16"/>
          <w:color w:val="auto"/>
        </w:rPr>
        <w:t>*Less than 1%.</w:t>
      </w:r>
    </w:p>
    <w:p>
      <w:pPr>
        <w:spacing w:after="0" w:line="194" w:lineRule="exact"/>
        <w:rPr>
          <w:sz w:val="20"/>
          <w:szCs w:val="20"/>
          <w:color w:val="auto"/>
        </w:rPr>
      </w:pPr>
    </w:p>
    <w:p>
      <w:pPr>
        <w:jc w:val="both"/>
        <w:ind w:left="500" w:hanging="424"/>
        <w:spacing w:after="0" w:line="252" w:lineRule="auto"/>
        <w:tabs>
          <w:tab w:leader="none" w:pos="5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Except as otherwise noted below, the address of each such person is 100 Inverness Terrace East, Englewood, Colorado 80112. As of the close of business on the Record Date, there were 48,209,476 Class A Shares outstanding and 47,687,039 Class B Shares outstanding. Class B Shares are convertible into Class A Shares on a one-for-one basis at any time.</w:t>
      </w:r>
    </w:p>
    <w:p>
      <w:pPr>
        <w:spacing w:after="0" w:line="1" w:lineRule="exact"/>
        <w:rPr>
          <w:rFonts w:ascii="Arial" w:cs="Arial" w:eastAsia="Arial" w:hAnsi="Arial"/>
          <w:sz w:val="16"/>
          <w:szCs w:val="16"/>
          <w:color w:val="auto"/>
        </w:rPr>
      </w:pPr>
    </w:p>
    <w:p>
      <w:pPr>
        <w:jc w:val="both"/>
        <w:ind w:left="500" w:hanging="424"/>
        <w:spacing w:after="0" w:line="246" w:lineRule="auto"/>
        <w:tabs>
          <w:tab w:leader="none" w:pos="5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Describes the ownership percentage of each class of shares beneficially owned by each beneficial owner. For the Class A Shares, the calculation assumes the conversion only of the Class B Shares beneficially owned by the applicable beneficial owner into Class A Shares and gives effect to the exercise of options and vesting of restricted stock units held by the applicable beneficial owner that are either currently exercisable or vested as of, or may become exercisable or may vest within 60 days after, the Record Date.</w:t>
      </w:r>
    </w:p>
    <w:p>
      <w:pPr>
        <w:spacing w:after="0" w:line="1" w:lineRule="exact"/>
        <w:rPr>
          <w:rFonts w:ascii="Arial" w:cs="Arial" w:eastAsia="Arial" w:hAnsi="Arial"/>
          <w:sz w:val="16"/>
          <w:szCs w:val="16"/>
          <w:color w:val="auto"/>
        </w:rPr>
      </w:pPr>
    </w:p>
    <w:p>
      <w:pPr>
        <w:jc w:val="both"/>
        <w:ind w:left="500" w:hanging="424"/>
        <w:spacing w:after="0" w:line="246" w:lineRule="auto"/>
        <w:tabs>
          <w:tab w:leader="none" w:pos="5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Describes the total voting power of each beneficial owner taking into account all classes of shares beneficially owned by the applicable beneficial owner. The calculation assumes no conversion of any Class B Shares owned by any beneficial owner and gives effect to the exercise of options and vesting of restricted stock units held by the applicable beneficial owner that are either currently exercisable or vested as of, or may become exercisable or vest within 60 days after, the Record Date. Each Class B Share is entitled to ten votes per share.</w:t>
      </w:r>
    </w:p>
    <w:p>
      <w:pPr>
        <w:spacing w:after="0" w:line="1" w:lineRule="exact"/>
        <w:rPr>
          <w:rFonts w:ascii="Arial" w:cs="Arial" w:eastAsia="Arial" w:hAnsi="Arial"/>
          <w:sz w:val="16"/>
          <w:szCs w:val="16"/>
          <w:color w:val="auto"/>
        </w:rPr>
      </w:pPr>
    </w:p>
    <w:p>
      <w:pPr>
        <w:jc w:val="both"/>
        <w:ind w:left="500" w:hanging="424"/>
        <w:spacing w:after="0" w:line="250" w:lineRule="auto"/>
        <w:tabs>
          <w:tab w:leader="none" w:pos="5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Mr. Ergen’s beneficial ownership includes: (i) 700,678 Class A Shares beneficially owned directly by Mr. Ergen; (ii) 3,705 Class A Shares beneficially owned indirectly by Mr. Ergen in the DISH Network Corporation 401(k) Employee Savings Plan (the “DISH 401(k) Plan”); (iii) 1,600,000 Class A Shares subject to employee stock options that are either currently exercisable as of, or may become exercisable within 60 days after, the Record Date; (iv) 22,309,288 Class A Shares issuable upon conversion of the Class B Shares beneficially owned directly by</w:t>
      </w:r>
    </w:p>
    <w:p>
      <w:pPr>
        <w:sectPr>
          <w:pgSz w:w="11900" w:h="16838" w:orient="portrait"/>
          <w:cols w:equalWidth="0" w:num="1">
            <w:col w:w="11420"/>
          </w:cols>
          <w:pgMar w:left="240" w:top="364" w:right="239"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364" w:right="239" w:bottom="1440" w:gutter="0" w:footer="0" w:header="0"/>
          <w:type w:val="continuous"/>
        </w:sectPr>
      </w:pPr>
    </w:p>
    <w:bookmarkStart w:id="17" w:name="page18"/>
    <w:bookmarkEnd w:id="17"/>
    <w:p>
      <w:pPr>
        <w:jc w:val="both"/>
        <w:ind w:left="424"/>
        <w:spacing w:after="0" w:line="353" w:lineRule="auto"/>
        <w:rPr>
          <w:sz w:val="20"/>
          <w:szCs w:val="20"/>
          <w:color w:val="auto"/>
        </w:rPr>
      </w:pPr>
      <w:r>
        <w:rPr>
          <w:rFonts w:ascii="Arial" w:cs="Arial" w:eastAsia="Arial" w:hAnsi="Arial"/>
          <w:sz w:val="15"/>
          <w:szCs w:val="15"/>
          <w:color w:val="auto"/>
        </w:rPr>
        <w:t>Mr. Ergen; (v) 47 Class A Shares beneficially owned by Mr. Ergen’s spouse, Cantey M. Ergen; (vi) 201 Class A Shares beneficially owned indirectly by Mrs. Ergen in the DISH 401(k) Plan; (vii) 6,122 Class A Shares beneficially owned by one of Mr. Ergen’s children; (viii) 5,400 Class A Shares beneficially owned by a charitable foundation for which Mr. Ergen is an officer and for which he shares investment control and voting power with Mrs. Ergen; (ix) 7,600,000 Class A Shares issuable upon conversion of Class B Shares beneficially owned by Mrs. Ergen solely by virtue of her position as trustee of the Ergen Three-Year 2017 SATS grantor retained annuity trust (“GRAT”) dated May 30, 2017 (the “2017 May GRAT”); (x) 8,000,000 Class A Shares issuable upon conversion of Class B Shares beneficially owned by Mrs. Ergen solely by virtue of her position as trustee of the Ergen Two-Year 2017 SATS GRAT dated November 30, 2017 (the “2017 November GRAT”); and (xi) 824 Class A Shares held by a trust for which Mrs. Ergen has durable power of attorney on behalf of the beneficiary of the trust. Mr. Ergen’s beneficial ownership of Class A Shares excludes the shares owned by the Trusts (as defined below) as described in footnote 6. Because each Class B Share is convertible on a one-for-one basis into a Class A Share, assuming conversion of all shares of outstanding Class B Shares into Class A Shares and giving effect to the exercise of options held by Mr. Ergen that are either currently exercisable as of, or may become exercisable within 60 days after, the Record Date, the percentage of Class A Shares that Mr. Ergen may be deemed to beneficially own would be approximately 41.3%.</w:t>
      </w:r>
    </w:p>
    <w:p>
      <w:pPr>
        <w:spacing w:after="0" w:line="5" w:lineRule="exact"/>
        <w:rPr>
          <w:sz w:val="20"/>
          <w:szCs w:val="20"/>
          <w:color w:val="auto"/>
        </w:rPr>
      </w:pPr>
    </w:p>
    <w:p>
      <w:pPr>
        <w:jc w:val="both"/>
        <w:ind w:left="424" w:hanging="424"/>
        <w:spacing w:after="0" w:line="264" w:lineRule="auto"/>
        <w:tabs>
          <w:tab w:leader="none" w:pos="424" w:val="left"/>
        </w:tabs>
        <w:numPr>
          <w:ilvl w:val="0"/>
          <w:numId w:val="11"/>
        </w:numPr>
        <w:rPr>
          <w:rFonts w:ascii="Arial" w:cs="Arial" w:eastAsia="Arial" w:hAnsi="Arial"/>
          <w:sz w:val="15"/>
          <w:szCs w:val="15"/>
          <w:color w:val="auto"/>
        </w:rPr>
      </w:pPr>
      <w:r>
        <w:rPr>
          <w:rFonts w:ascii="Arial" w:cs="Arial" w:eastAsia="Arial" w:hAnsi="Arial"/>
          <w:sz w:val="15"/>
          <w:szCs w:val="15"/>
          <w:color w:val="auto"/>
        </w:rPr>
        <w:t>Mrs. Ergen’s beneficial ownership includes: (i) 47 shares of Class A Shares beneficially owned directly by Mrs. Ergen; (ii) 201 shares of Class A Shares beneficially owned indirectly by Mrs. Ergen in the DISH 401(k) Plan; (iii) 7,600,000 Class A Shares issuable upon conversion of Class B Shares beneficially owned by Mrs. Ergen solely by virtue of her position as trustee of the 2017 May GRAT; (iv) 8,000,000 Class A Shares issuable upon conversion of Class B Shares beneficially owned by Mrs. Ergen solely by virtue of her position as trustee of the 2017 November GRAT; (v) 824 Class A Shares held by a trust for which Mrs. Ergen has durable power of attorney on behalf of the beneficiary of the trust; (vi) 700,678 Class A Shares beneficially owned directly by her spouse, Mr. Ergen; (vii) 3,705 Class A Shares beneficially owned indirectly by Mr. Ergen in the DISH 401(k) Plan; (viii) 6,122 Class A Shares beneficially owned by one of Mrs. Ergen’s children; (ix) 5,400 shares of Class A Shares beneficially owned by a charitable foundation for which Mrs. Ergen is an officer and for which Mrs. Ergen shares investment control and voting power with Mr. Ergen; and (x) 22,309,288 Class A Shares issuable upon conversion of the Class B Shares beneficially owned directly by Mr. Ergen. Mrs. Ergen’s beneficial ownership of Class A Shares excludes the shares owned by the Trusts as described in footnote 6. Because each Class B Share is convertible on a one-for-one basis into a Class A Share, assuming conversion of all shares of outstanding Class B Shares into Class A Shares and giving effect to the exercise of options held by Mrs. Ergen that are either currently exercisable as of, or may become exercisable within 60 days after, the Record Date, the percentage of Class A Shares that Mrs. Ergen may be deemed to beneficially own would be approximately 40.3%. Mrs. Ergen exercises voting and dispositive power with respect to the 2017 May GRAT and 2017 November GRAT independently and in accordance with her fiduciary responsibilities to the beneficiaries of such trust.</w:t>
      </w:r>
    </w:p>
    <w:p>
      <w:pPr>
        <w:spacing w:after="0" w:line="5" w:lineRule="exact"/>
        <w:rPr>
          <w:rFonts w:ascii="Arial" w:cs="Arial" w:eastAsia="Arial" w:hAnsi="Arial"/>
          <w:sz w:val="15"/>
          <w:szCs w:val="15"/>
          <w:color w:val="auto"/>
        </w:rPr>
      </w:pPr>
    </w:p>
    <w:p>
      <w:pPr>
        <w:jc w:val="both"/>
        <w:ind w:left="424" w:hanging="424"/>
        <w:spacing w:after="0" w:line="263" w:lineRule="auto"/>
        <w:tabs>
          <w:tab w:leader="none" w:pos="424" w:val="left"/>
        </w:tabs>
        <w:numPr>
          <w:ilvl w:val="0"/>
          <w:numId w:val="11"/>
        </w:numPr>
        <w:rPr>
          <w:rFonts w:ascii="Arial" w:cs="Arial" w:eastAsia="Arial" w:hAnsi="Arial"/>
          <w:sz w:val="15"/>
          <w:szCs w:val="15"/>
          <w:color w:val="auto"/>
        </w:rPr>
      </w:pPr>
      <w:r>
        <w:rPr>
          <w:rFonts w:ascii="Arial" w:cs="Arial" w:eastAsia="Arial" w:hAnsi="Arial"/>
          <w:sz w:val="15"/>
          <w:szCs w:val="15"/>
          <w:color w:val="auto"/>
        </w:rPr>
        <w:t>The address of Mr. William R. Gouger is 5701 S. Santa Fe Drive, Littleton, Colorado 80123. Mr. Gouger’s beneficial ownership includes: (i) 28 Class A Shares owned directly by Mr. Gouger; (ii) 1,450 Class A Shares beneficially owned indirectly by Mr. Gouger in the DISH 401(k) Plan; (iii) 824 Class A Shares held by a trust beneficially owned by Mr. Gouger solely by virtue of his position as trustee; (iv) 1,640 Class A Shares beneficially owned by Mr. Gouger solely by virtue of his position as the sole member of the investment committee (with sole voting and dispositive power) of Centennial Fiduciary Management LLC, which serves as trustee of certain trusts established by Mr. Ergen for the benefit of his family; (v) 4,969,546 Class A Shares issuable upon conversion of Class B Shares beneficially owned by Mr. Gouger solely by virtue of his position as trustee (with sole voting and dispositive power) of the Ergen Three-Year 2015 SATS GRAT dated November 30, 2015 (the “2015 GRAT”); and (vi) 4,808,205 Class A Shares issuable upon conversion of Class B Shares held by certain other trusts established by Mr. Ergen for the benefit of his family, which are beneficially owned by Mr. Gouger solely by virtue of his position as the sole member of the investment committee (with sole voting and dispositive power) of Centennial Fiduciary Management LLC, which serves as trustee of such trusts, including: (A) 3,560,833 Class A Shares issuable upon conversion of Class B Shares beneficially owned by Mr. Gouger solely by virtue of his position as the sole member of the investment committee of Centennial Fiduciary Management LLC, which serves as trustee of the Ergen 2010 Family Wyoming Trust; and (B) 1,247,372 Class A Shares issuable upon conversion of Class B Shares beneficially owned by Mr. Gouger solely by virtue of his position as the sole member of the investment committee of Centennial Fiduciary Management LLC, which serves as trustee of certain other trusts established by Mr. Ergen for the benefit of his family. Because each Class B Share is convertible on a one-for-one basis into a Class A Share, assuming conversion of all shares of outstanding Class B Shares into Class A Shares, the percentage of Class A Shares that each of Mr. Gouger and the Trusts may be deemed to beneficially own would be approximately 10.2% and 10.2%, respectively. The Trusts listed in the beneficial ownership table are those GRATs and other trusts established by Mr. Ergen for the benefit of his family that are referenced in this footnote 6. Mr. Gouger exercises voting and dispositive power with respect to the 2015 GRAT independently and in accordance with his fiduciary responsibilities to the beneficiaries of such trust. Solely by virtue of his position as the sole member of the investment committee of Centennial Fiduciary Management LLC, which serves as trustee, Mr. Gouger exercises voting and dispositive power on behalf of Centennial Fiduciary Management LLC with respect to each family trust independently and in accordance with Centennial Fiduciary Management LLC's fiduciary responsibilities to the beneficiaries of such family trusts.</w:t>
      </w:r>
    </w:p>
    <w:p>
      <w:pPr>
        <w:spacing w:after="0" w:line="1" w:lineRule="exact"/>
        <w:rPr>
          <w:rFonts w:ascii="Arial" w:cs="Arial" w:eastAsia="Arial" w:hAnsi="Arial"/>
          <w:sz w:val="15"/>
          <w:szCs w:val="15"/>
          <w:color w:val="auto"/>
        </w:rPr>
      </w:pPr>
    </w:p>
    <w:p>
      <w:pPr>
        <w:jc w:val="both"/>
        <w:ind w:left="424" w:hanging="424"/>
        <w:spacing w:after="0" w:line="246" w:lineRule="auto"/>
        <w:tabs>
          <w:tab w:leader="none" w:pos="424"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address of Putnam Investments, LLC (d/b/a Putnam Investments) is One Post Office Square, Boston, Massachusetts 02109. Putnam Investments has sole dispositive power as to all of the Class A Shares it beneficially owns. The foregoing information is based solely upon a Schedule 13G/A filed by Putnam Investments with the SEC on February 7, 2018.</w:t>
      </w:r>
    </w:p>
    <w:p>
      <w:pPr>
        <w:spacing w:after="0" w:line="1" w:lineRule="exact"/>
        <w:rPr>
          <w:rFonts w:ascii="Arial" w:cs="Arial" w:eastAsia="Arial" w:hAnsi="Arial"/>
          <w:sz w:val="16"/>
          <w:szCs w:val="16"/>
          <w:color w:val="auto"/>
        </w:rPr>
      </w:pPr>
    </w:p>
    <w:p>
      <w:pPr>
        <w:jc w:val="both"/>
        <w:ind w:left="424" w:hanging="424"/>
        <w:spacing w:after="0" w:line="263" w:lineRule="auto"/>
        <w:tabs>
          <w:tab w:leader="none" w:pos="424" w:val="left"/>
        </w:tabs>
        <w:numPr>
          <w:ilvl w:val="0"/>
          <w:numId w:val="11"/>
        </w:numPr>
        <w:rPr>
          <w:rFonts w:ascii="Arial" w:cs="Arial" w:eastAsia="Arial" w:hAnsi="Arial"/>
          <w:sz w:val="15"/>
          <w:szCs w:val="15"/>
          <w:color w:val="auto"/>
        </w:rPr>
      </w:pPr>
      <w:r>
        <w:rPr>
          <w:rFonts w:ascii="Arial" w:cs="Arial" w:eastAsia="Arial" w:hAnsi="Arial"/>
          <w:sz w:val="15"/>
          <w:szCs w:val="15"/>
          <w:color w:val="auto"/>
        </w:rPr>
        <w:t>The address of Renaissance Technologies LLC is 800 Third Avenue, New York, New York 10022. Of the Class A Shares beneficially owned by Renaissance Technologies LLC, it has sole voting power as to 2,906,768 Class A Shares, sole dispositive power as to 2,908,658 Class A Shares and shared dispositive power as to 44,022. The foregoing information is based solely upon a Schedule 13G/A filed by Renaissance Technologies LLC with the SEC on February 14, 2018.</w:t>
      </w:r>
    </w:p>
    <w:p>
      <w:pPr>
        <w:jc w:val="both"/>
        <w:ind w:left="424" w:hanging="424"/>
        <w:spacing w:after="0" w:line="246" w:lineRule="auto"/>
        <w:tabs>
          <w:tab w:leader="none" w:pos="424"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address of The Vanguard Group, Inc. is 100 Vanguard Blvd., Malvern, Pennsylvania 19355. Of the Class A Shares beneficially owned by Vanguard Group, Inc., it has sole voting power as to 25,239 Class A Shares, shared voting power as to 5,749 Class A Shares, sole dispositive power as to 3,208,346 Class A Shares and shared dispositive power as to 27,474 Class A Shares. The foregoing information is based solely upon a Schedule 13G/A filed by Vanguard Group, Inc. with the SEC on February 9, 2018.</w:t>
      </w:r>
    </w:p>
    <w:p>
      <w:pPr>
        <w:spacing w:after="0" w:line="1" w:lineRule="exact"/>
        <w:rPr>
          <w:rFonts w:ascii="Arial" w:cs="Arial" w:eastAsia="Arial" w:hAnsi="Arial"/>
          <w:sz w:val="16"/>
          <w:szCs w:val="16"/>
          <w:color w:val="auto"/>
        </w:rPr>
      </w:pPr>
    </w:p>
    <w:p>
      <w:pPr>
        <w:jc w:val="both"/>
        <w:ind w:left="424" w:hanging="424"/>
        <w:spacing w:after="0" w:line="252" w:lineRule="auto"/>
        <w:tabs>
          <w:tab w:leader="none" w:pos="424" w:val="left"/>
        </w:tabs>
        <w:numPr>
          <w:ilvl w:val="0"/>
          <w:numId w:val="11"/>
        </w:numPr>
        <w:rPr>
          <w:rFonts w:ascii="Arial" w:cs="Arial" w:eastAsia="Arial" w:hAnsi="Arial"/>
          <w:sz w:val="16"/>
          <w:szCs w:val="16"/>
          <w:color w:val="auto"/>
        </w:rPr>
      </w:pPr>
      <w:r>
        <w:rPr>
          <w:rFonts w:ascii="Arial" w:cs="Arial" w:eastAsia="Arial" w:hAnsi="Arial"/>
          <w:sz w:val="16"/>
          <w:szCs w:val="16"/>
          <w:color w:val="auto"/>
        </w:rPr>
        <w:t>Mr. Dugan’s beneficial ownership includes: (i) 25,146 Class A Shares held directly by Mr. Dugan; (ii) 1,694 Class A Shares held by Mr. Dugan in the Corporation’s 401(k) Employee Savings Plan (the “401(k) Plan”); and (iii) 660,306 Class A Shares subject to employee stock options that are either currently exercisable as of, or may become exercisable within 60 days after, the Record Date.</w:t>
      </w:r>
    </w:p>
    <w:p>
      <w:pPr>
        <w:spacing w:after="0" w:line="212" w:lineRule="exact"/>
        <w:rPr>
          <w:sz w:val="20"/>
          <w:szCs w:val="20"/>
          <w:color w:val="auto"/>
        </w:rPr>
      </w:pPr>
    </w:p>
    <w:p>
      <w:pPr>
        <w:jc w:val="center"/>
        <w:ind w:right="56"/>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44"/>
          </w:cols>
          <w:pgMar w:left="316" w:top="400" w:right="239" w:bottom="1440" w:gutter="0" w:footer="0" w:header="0"/>
        </w:sectPr>
      </w:pPr>
    </w:p>
    <w:bookmarkStart w:id="18" w:name="page19"/>
    <w:bookmarkEnd w:id="18"/>
    <w:p>
      <w:pPr>
        <w:ind w:left="500" w:hanging="424"/>
        <w:spacing w:after="0"/>
        <w:tabs>
          <w:tab w:leader="none" w:pos="500" w:val="left"/>
        </w:tabs>
        <w:numPr>
          <w:ilvl w:val="0"/>
          <w:numId w:val="12"/>
        </w:numPr>
        <w:rPr>
          <w:rFonts w:ascii="Arial" w:cs="Arial" w:eastAsia="Arial" w:hAnsi="Arial"/>
          <w:sz w:val="14"/>
          <w:szCs w:val="14"/>
          <w:color w:val="auto"/>
        </w:rPr>
      </w:pPr>
      <w:r>
        <w:rPr>
          <w:rFonts w:ascii="Arial" w:cs="Arial" w:eastAsia="Arial" w:hAnsi="Arial"/>
          <w:sz w:val="14"/>
          <w:szCs w:val="14"/>
          <w:color w:val="auto"/>
        </w:rPr>
        <w:t>Mr. Johnson’s beneficial ownership includes: (i) 2,000 Class A Shares held directly by Mr. Johnson; (ii) 729 Class A Shares held by Mr. Johnson in the 401(k) Plan; and</w:t>
      </w:r>
    </w:p>
    <w:p>
      <w:pPr>
        <w:spacing w:after="0" w:line="42" w:lineRule="exact"/>
        <w:rPr>
          <w:rFonts w:ascii="Arial" w:cs="Arial" w:eastAsia="Arial" w:hAnsi="Arial"/>
          <w:sz w:val="14"/>
          <w:szCs w:val="14"/>
          <w:color w:val="auto"/>
        </w:rPr>
      </w:pPr>
    </w:p>
    <w:p>
      <w:pPr>
        <w:ind w:left="500" w:hanging="6"/>
        <w:spacing w:after="0" w:line="246" w:lineRule="auto"/>
        <w:tabs>
          <w:tab w:leader="none" w:pos="792" w:val="left"/>
        </w:tabs>
        <w:numPr>
          <w:ilvl w:val="1"/>
          <w:numId w:val="12"/>
        </w:numPr>
        <w:rPr>
          <w:rFonts w:ascii="Arial" w:cs="Arial" w:eastAsia="Arial" w:hAnsi="Arial"/>
          <w:sz w:val="16"/>
          <w:szCs w:val="16"/>
          <w:color w:val="auto"/>
        </w:rPr>
      </w:pPr>
      <w:r>
        <w:rPr>
          <w:rFonts w:ascii="Arial" w:cs="Arial" w:eastAsia="Arial" w:hAnsi="Arial"/>
          <w:sz w:val="16"/>
          <w:szCs w:val="16"/>
          <w:color w:val="auto"/>
        </w:rPr>
        <w:t>208,000 Class A Shares subject to employee stock options that are either currently exercisable as of, or may become exercisable within 60 days after, the Record Date.</w:t>
      </w:r>
    </w:p>
    <w:p>
      <w:pPr>
        <w:ind w:left="500" w:hanging="424"/>
        <w:spacing w:after="0" w:line="281" w:lineRule="auto"/>
        <w:tabs>
          <w:tab w:leader="none" w:pos="500" w:val="left"/>
        </w:tabs>
        <w:numPr>
          <w:ilvl w:val="0"/>
          <w:numId w:val="12"/>
        </w:numPr>
        <w:rPr>
          <w:rFonts w:ascii="Arial" w:cs="Arial" w:eastAsia="Arial" w:hAnsi="Arial"/>
          <w:sz w:val="14"/>
          <w:szCs w:val="14"/>
          <w:color w:val="auto"/>
        </w:rPr>
      </w:pPr>
      <w:r>
        <w:rPr>
          <w:rFonts w:ascii="Arial" w:cs="Arial" w:eastAsia="Arial" w:hAnsi="Arial"/>
          <w:sz w:val="14"/>
          <w:szCs w:val="14"/>
          <w:color w:val="auto"/>
        </w:rPr>
        <w:t>Mr. Kaul’s beneficial ownership includes: (i) 302 Class A Shares held directly by Mr. Kaul; (ii) 421 Class A Shares held by Mr. Kaul in the 401(k) Plan; and (iii) 20,000 Class A Shares subject to employee stock options that are either currently exercisable as of, or may become exercisable within 60 days after, the Record Date.</w:t>
      </w:r>
    </w:p>
    <w:p>
      <w:pPr>
        <w:spacing w:after="0" w:line="1" w:lineRule="exact"/>
        <w:rPr>
          <w:rFonts w:ascii="Arial" w:cs="Arial" w:eastAsia="Arial" w:hAnsi="Arial"/>
          <w:sz w:val="14"/>
          <w:szCs w:val="14"/>
          <w:color w:val="auto"/>
        </w:rPr>
      </w:pPr>
    </w:p>
    <w:p>
      <w:pPr>
        <w:ind w:left="500" w:hanging="424"/>
        <w:spacing w:after="0"/>
        <w:tabs>
          <w:tab w:leader="none" w:pos="500" w:val="left"/>
        </w:tabs>
        <w:numPr>
          <w:ilvl w:val="0"/>
          <w:numId w:val="12"/>
        </w:numPr>
        <w:rPr>
          <w:rFonts w:ascii="Arial" w:cs="Arial" w:eastAsia="Arial" w:hAnsi="Arial"/>
          <w:sz w:val="15"/>
          <w:szCs w:val="15"/>
          <w:color w:val="auto"/>
        </w:rPr>
      </w:pPr>
      <w:r>
        <w:rPr>
          <w:rFonts w:ascii="Arial" w:cs="Arial" w:eastAsia="Arial" w:hAnsi="Arial"/>
          <w:sz w:val="15"/>
          <w:szCs w:val="15"/>
          <w:color w:val="auto"/>
        </w:rPr>
        <w:t>Mr. Rayner’s beneficial ownership includes: (i) 3,246 Class A Shares held directly by Mr. Rayner; (ii) 949 Class A Shares held by Mr. Rayner in the 401(k) Plan; and</w:t>
      </w:r>
    </w:p>
    <w:p>
      <w:pPr>
        <w:spacing w:after="0" w:line="16" w:lineRule="exact"/>
        <w:rPr>
          <w:rFonts w:ascii="Arial" w:cs="Arial" w:eastAsia="Arial" w:hAnsi="Arial"/>
          <w:sz w:val="15"/>
          <w:szCs w:val="15"/>
          <w:color w:val="auto"/>
        </w:rPr>
      </w:pPr>
    </w:p>
    <w:p>
      <w:pPr>
        <w:ind w:left="500" w:hanging="6"/>
        <w:spacing w:after="0" w:line="246" w:lineRule="auto"/>
        <w:tabs>
          <w:tab w:leader="none" w:pos="792" w:val="left"/>
        </w:tabs>
        <w:numPr>
          <w:ilvl w:val="1"/>
          <w:numId w:val="12"/>
        </w:numPr>
        <w:rPr>
          <w:rFonts w:ascii="Arial" w:cs="Arial" w:eastAsia="Arial" w:hAnsi="Arial"/>
          <w:sz w:val="16"/>
          <w:szCs w:val="16"/>
          <w:color w:val="auto"/>
        </w:rPr>
      </w:pPr>
      <w:r>
        <w:rPr>
          <w:rFonts w:ascii="Arial" w:cs="Arial" w:eastAsia="Arial" w:hAnsi="Arial"/>
          <w:sz w:val="16"/>
          <w:szCs w:val="16"/>
          <w:color w:val="auto"/>
        </w:rPr>
        <w:t>169,000 Class A Shares subject to employee stock options that are either currently exercisable as of, or may become exercisable within 60 days after, the Record Date.</w:t>
      </w:r>
    </w:p>
    <w:p>
      <w:pPr>
        <w:ind w:left="500" w:hanging="424"/>
        <w:spacing w:after="0"/>
        <w:tabs>
          <w:tab w:leader="none" w:pos="500" w:val="left"/>
        </w:tabs>
        <w:numPr>
          <w:ilvl w:val="0"/>
          <w:numId w:val="12"/>
        </w:numPr>
        <w:rPr>
          <w:rFonts w:ascii="Arial" w:cs="Arial" w:eastAsia="Arial" w:hAnsi="Arial"/>
          <w:sz w:val="14"/>
          <w:szCs w:val="14"/>
          <w:color w:val="auto"/>
        </w:rPr>
      </w:pPr>
      <w:r>
        <w:rPr>
          <w:rFonts w:ascii="Arial" w:cs="Arial" w:eastAsia="Arial" w:hAnsi="Arial"/>
          <w:sz w:val="14"/>
          <w:szCs w:val="14"/>
          <w:color w:val="auto"/>
        </w:rPr>
        <w:t>Mr. Dodge’s beneficial ownership includes: (i) 83 Class A Shares held directly by Mr. Dodge; and (ii) 428 Class A Shares held by Mr. Dodge in the DISH 401(k) Plan.</w:t>
      </w:r>
    </w:p>
    <w:p>
      <w:pPr>
        <w:spacing w:after="0" w:line="28" w:lineRule="exact"/>
        <w:rPr>
          <w:rFonts w:ascii="Arial" w:cs="Arial" w:eastAsia="Arial" w:hAnsi="Arial"/>
          <w:sz w:val="14"/>
          <w:szCs w:val="14"/>
          <w:color w:val="auto"/>
        </w:rPr>
      </w:pPr>
    </w:p>
    <w:p>
      <w:pPr>
        <w:ind w:left="500" w:right="300" w:hanging="424"/>
        <w:spacing w:after="0" w:line="246" w:lineRule="auto"/>
        <w:tabs>
          <w:tab w:leader="none" w:pos="5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Mr. Federico’s beneficial ownership includes: (i) 146 Class A Shares held directly by Mr. Federico; and (ii) 25,000 Class A Shares subject to non-employee director stock options that are either currently exercisable as of, or may become exercisable within 60 days after, the Record Date.</w:t>
      </w:r>
    </w:p>
    <w:p>
      <w:pPr>
        <w:ind w:left="500" w:right="140" w:hanging="424"/>
        <w:spacing w:after="0" w:line="246" w:lineRule="auto"/>
        <w:tabs>
          <w:tab w:leader="none" w:pos="5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Mr. Ortolf’s beneficial ownership includes: (i) 12,000 Class A Shares that are held by a partnership of which Mr. Ortolf is a partner and that are held as collateral for a margin account; and (ii) 20,000 Class A Shares subject to non-employee director stock options that are either currently exercisable as of, or may become exercisable within 60 days after, the Record Date.</w:t>
      </w:r>
    </w:p>
    <w:p>
      <w:pPr>
        <w:spacing w:after="0" w:line="1" w:lineRule="exact"/>
        <w:rPr>
          <w:rFonts w:ascii="Arial" w:cs="Arial" w:eastAsia="Arial" w:hAnsi="Arial"/>
          <w:sz w:val="16"/>
          <w:szCs w:val="16"/>
          <w:color w:val="auto"/>
        </w:rPr>
      </w:pPr>
    </w:p>
    <w:p>
      <w:pPr>
        <w:ind w:left="500" w:right="80" w:hanging="424"/>
        <w:spacing w:after="0" w:line="263" w:lineRule="auto"/>
        <w:tabs>
          <w:tab w:leader="none" w:pos="500" w:val="left"/>
        </w:tabs>
        <w:numPr>
          <w:ilvl w:val="0"/>
          <w:numId w:val="12"/>
        </w:numPr>
        <w:rPr>
          <w:rFonts w:ascii="Arial" w:cs="Arial" w:eastAsia="Arial" w:hAnsi="Arial"/>
          <w:sz w:val="15"/>
          <w:szCs w:val="15"/>
          <w:color w:val="auto"/>
        </w:rPr>
      </w:pPr>
      <w:r>
        <w:rPr>
          <w:rFonts w:ascii="Arial" w:cs="Arial" w:eastAsia="Arial" w:hAnsi="Arial"/>
          <w:sz w:val="15"/>
          <w:szCs w:val="15"/>
          <w:color w:val="auto"/>
        </w:rPr>
        <w:t>Mr. Schroeder’s beneficial ownership includes: (i) 3,020 Class A Shares held by a trust for which Mr. Schroeder is the trustee; and (ii) 25,000 Class A Shares subject to non-employee director stock options that are either currently exercisable as of, or may become exercisable within 60 days after, the Record Date.</w:t>
      </w:r>
    </w:p>
    <w:p>
      <w:pPr>
        <w:ind w:left="500" w:right="20" w:hanging="424"/>
        <w:spacing w:after="0" w:line="246" w:lineRule="auto"/>
        <w:tabs>
          <w:tab w:leader="none" w:pos="5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Mr. Wade’s beneficial ownership includes 15,000 Class A Shares subject to non-employee director stock options that are either currently exercisable as of, or may become exercisable within 60 days after, the Record Date.</w:t>
      </w:r>
    </w:p>
    <w:p>
      <w:pPr>
        <w:jc w:val="both"/>
        <w:ind w:left="500" w:hanging="424"/>
        <w:spacing w:after="0" w:line="246" w:lineRule="auto"/>
        <w:tabs>
          <w:tab w:leader="none" w:pos="5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Includes: (i) 733,127 Class A Shares held directly; (ii) 5,010 Class A Shares held in the 401(k) Plan and 4,133 held by executive officers or directors in the DISH 401(k) Plan; (iii) 2,938,489 Class A Shares subject to employee and non-employee director stock options that are either currently exercisable or may become exercisable within 60 days of the Record Date; (iv) 12,000 Class A Shares held in a partnership; (v) 37,909,288 Class A Shares issuable upon conversion of Class B Shares; (vi) 5,400 Class A Shares held by a charitable foundation; (vii) 6,370 Class A Shares held by a spouse or child directly and by a spouse indirectly in the DISH 401(k) Plan; and (viii) 3,844 Class A Shares held in trust.</w:t>
      </w:r>
    </w:p>
    <w:p>
      <w:pPr>
        <w:spacing w:after="0" w:line="2" w:lineRule="exact"/>
        <w:rPr>
          <w:rFonts w:ascii="Arial" w:cs="Arial" w:eastAsia="Arial" w:hAnsi="Arial"/>
          <w:sz w:val="16"/>
          <w:szCs w:val="16"/>
          <w:color w:val="auto"/>
        </w:rPr>
      </w:pPr>
    </w:p>
    <w:p>
      <w:pPr>
        <w:ind w:left="500" w:hanging="424"/>
        <w:spacing w:after="0"/>
        <w:tabs>
          <w:tab w:leader="none" w:pos="5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Comprises the 37,909,288 Class B Shares beneficially owned by Mr. Ergen.</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Section 16(a) of the Exchange Act requires our directors, executive officers and holders of more than 10% of our common stock to file reports with the SEC regarding their ownership and changes in ownership of our equity securities. We believe that during 2017, our directors, executive officers and 10% shareholders complied with all Section 16(a) filing requirements, with the exception of an inadvertent late filing of a Form 4 by Mr. Charles W. Ergen, our Chairman, reporting the disposition of an indirect beneficial ownership interest of the Hughes Retail Preferred Tracking Stock issued by EchoStar and one of its subsidiaries (the “Preferred Tracking Stock”). See “Certain Relationships and Related Party Transactions” below for more information about the Preferred Tracking Stock. In making these statements, we have relied upon examination of copies of Forms 3, 4 and 5 provided to us and the written representations of our directors and officers.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373"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EXECUTIVE COMPENSATION AND OTHER INFORMATION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02"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This Compensation Discussion and Analysis (“CD&amp;A”) addresses our compensation objectives and policies for our NEOs, the elements of NEO compensation and the application of those objectives and policies to each element of compensation for our NEOs for fiscal year 2017.</w:t>
      </w:r>
    </w:p>
    <w:p>
      <w:pPr>
        <w:spacing w:after="0" w:line="156"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Our NEOs in 2017 were Messrs. Michael T. Dugan, Charles W. Ergen, Anders N. Johnson, Pradman P. Kaul, and David J. Rayner. All of our NEOs, with the exception of Mr. Ergen, were employed and solely compensated by EchoStar during 2017. Mr. Ergen was employed by and compensated by both EchoStar and DISH in 2017; however, the compensation paid by DISH had no impact on our compensation decisions. With the exception of Mr. Kaul, who entered into an agreement regarding his employment with Hughes prior to our acquisition of all of the outstanding equity of Hughes Communications in 2011 (the “Hughes Acquisition”), none of our NEOs are party to an employment agreement with us.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Overall Executive Compensation Program Objectives and Policies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Philosophy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Our executive compensation program was guided by the following key principles in 2017:</w:t>
      </w:r>
    </w:p>
    <w:p>
      <w:pPr>
        <w:spacing w:after="0" w:line="212"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20"/>
          <w:szCs w:val="20"/>
          <w:color w:val="auto"/>
        </w:rPr>
      </w:pPr>
      <w:r>
        <w:rPr>
          <w:rFonts w:ascii="Arial" w:cs="Arial" w:eastAsia="Arial" w:hAnsi="Arial"/>
          <w:sz w:val="18"/>
          <w:szCs w:val="18"/>
          <w:color w:val="auto"/>
        </w:rPr>
        <w:t>attraction, retention and motivation of executive officers over the long-term;</w:t>
      </w:r>
    </w:p>
    <w:p>
      <w:pPr>
        <w:spacing w:after="0" w:line="4" w:lineRule="exact"/>
        <w:rPr>
          <w:rFonts w:ascii="Arial" w:cs="Arial" w:eastAsia="Arial" w:hAnsi="Arial"/>
          <w:sz w:val="20"/>
          <w:szCs w:val="20"/>
          <w:color w:val="auto"/>
        </w:rPr>
      </w:pPr>
    </w:p>
    <w:p>
      <w:pPr>
        <w:ind w:left="660" w:hanging="328"/>
        <w:spacing w:after="0" w:line="235" w:lineRule="auto"/>
        <w:tabs>
          <w:tab w:leader="none" w:pos="660" w:val="left"/>
        </w:tabs>
        <w:numPr>
          <w:ilvl w:val="0"/>
          <w:numId w:val="13"/>
        </w:numPr>
        <w:rPr>
          <w:rFonts w:ascii="Arial" w:cs="Arial" w:eastAsia="Arial" w:hAnsi="Arial"/>
          <w:sz w:val="20"/>
          <w:szCs w:val="20"/>
          <w:color w:val="auto"/>
        </w:rPr>
      </w:pPr>
      <w:r>
        <w:rPr>
          <w:rFonts w:ascii="Arial" w:cs="Arial" w:eastAsia="Arial" w:hAnsi="Arial"/>
          <w:sz w:val="18"/>
          <w:szCs w:val="18"/>
          <w:color w:val="auto"/>
        </w:rPr>
        <w:t>recognition of individual performance;</w:t>
      </w:r>
    </w:p>
    <w:p>
      <w:pPr>
        <w:spacing w:after="0" w:line="4" w:lineRule="exact"/>
        <w:rPr>
          <w:rFonts w:ascii="Arial" w:cs="Arial" w:eastAsia="Arial" w:hAnsi="Arial"/>
          <w:sz w:val="20"/>
          <w:szCs w:val="20"/>
          <w:color w:val="auto"/>
        </w:rPr>
      </w:pPr>
    </w:p>
    <w:p>
      <w:pPr>
        <w:ind w:left="660" w:hanging="328"/>
        <w:spacing w:after="0" w:line="235" w:lineRule="auto"/>
        <w:tabs>
          <w:tab w:leader="none" w:pos="660" w:val="left"/>
        </w:tabs>
        <w:numPr>
          <w:ilvl w:val="0"/>
          <w:numId w:val="13"/>
        </w:numPr>
        <w:rPr>
          <w:rFonts w:ascii="Arial" w:cs="Arial" w:eastAsia="Arial" w:hAnsi="Arial"/>
          <w:sz w:val="20"/>
          <w:szCs w:val="20"/>
          <w:color w:val="auto"/>
        </w:rPr>
      </w:pPr>
      <w:r>
        <w:rPr>
          <w:rFonts w:ascii="Arial" w:cs="Arial" w:eastAsia="Arial" w:hAnsi="Arial"/>
          <w:sz w:val="18"/>
          <w:szCs w:val="18"/>
          <w:color w:val="auto"/>
        </w:rPr>
        <w:t>recognition of the achievement of company-wide and group performance goals, if any; and</w:t>
      </w:r>
    </w:p>
    <w:p>
      <w:pPr>
        <w:spacing w:after="0" w:line="4" w:lineRule="exact"/>
        <w:rPr>
          <w:rFonts w:ascii="Arial" w:cs="Arial" w:eastAsia="Arial" w:hAnsi="Arial"/>
          <w:sz w:val="20"/>
          <w:szCs w:val="20"/>
          <w:color w:val="auto"/>
        </w:rPr>
      </w:pPr>
    </w:p>
    <w:p>
      <w:pPr>
        <w:ind w:left="660" w:hanging="328"/>
        <w:spacing w:after="0" w:line="235" w:lineRule="auto"/>
        <w:tabs>
          <w:tab w:leader="none" w:pos="660" w:val="left"/>
        </w:tabs>
        <w:numPr>
          <w:ilvl w:val="0"/>
          <w:numId w:val="13"/>
        </w:numPr>
        <w:rPr>
          <w:rFonts w:ascii="Arial" w:cs="Arial" w:eastAsia="Arial" w:hAnsi="Arial"/>
          <w:sz w:val="20"/>
          <w:szCs w:val="20"/>
          <w:color w:val="auto"/>
        </w:rPr>
      </w:pPr>
      <w:r>
        <w:rPr>
          <w:rFonts w:ascii="Arial" w:cs="Arial" w:eastAsia="Arial" w:hAnsi="Arial"/>
          <w:sz w:val="18"/>
          <w:szCs w:val="18"/>
          <w:color w:val="auto"/>
        </w:rPr>
        <w:t>creation of shareholder value by aligning the interests of management and shareholders through equity and cash incentives.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Compensation Levels</w:t>
      </w:r>
    </w:p>
    <w:p>
      <w:pPr>
        <w:spacing w:after="0" w:line="19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total compensation opportunities, both base salaries and incentives, offered to our NEOs have been designed to ensure that, for each executive as appropriate, they are competitive with market compensation levels, support our executive recruitment, retention and motivation objectives, reward individual, group and company-wide performance and contribute to our success by aligning the interests of our executive officers and shareholders.</w:t>
      </w:r>
    </w:p>
    <w:p>
      <w:pPr>
        <w:spacing w:after="0" w:line="151"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In determining the overall compensation of our NEOs, the Corporation considers the subjective recommendations of our Chairman, Mr. Ergen (other than with respect to his compensation), and our Chief Executive Officer and President, Mr. Dugan (other than with respect to his and Mr. Ergen’s compensation), and the subjective determinations of the Compensation Committee, all of which may take into account one or more of the following factors: (i) information described in “Compilation of Certain Peer Group Data” below, including the base salaries and range of the percentage increases in base salaries, for named executive officers of the companies contained in the Peer Group Data (as defined in “Compilation of Certain Peer Group Data” below) and other information obtained from media reports or other generally available sources related to executive compensation information, (ii) the executive’s performance and contributions and/or considerations of retention, including, without limitation, the executive’s success in achieving individual, group and company-wide goals and the extent to which the executive’s individual efforts resulted in tangible increases in corporate, division or department success, (iii) whether the performance goals of any short-term or long-term incentive plans were met and the payouts that would become payable upon achievement of those performance goals, (iv) the value of historic and current components of each NEO’s compensation, including the base salary and any bonus or incentive compensation paid to the NEO in the prior year, (v) the value of equity awards previously granted to the executive, (vi) EchoStar’s overall financial and business performance, (vii) the performance of the NEO’s business unit, (viii) the rate of standard annual merit increases for employees who are performing at a satisfactory level, (ix) the expected compensation to be paid to other senior officers in the applicable year in relation to a particular NEO, (x) whether the NEO was promoted or newly hired in the prior or applicable year, and (xi) equity awards that would normally be granted upon a promotion in accordance with our policies for promotions. This approach to general compensation levels is not formulaic or standard and does not utilize formalized benchmarking, and the weight given to any particular factor in determining a particular NEO’s compensation depends on the subjective consideration of all factors described above in the aggregate.</w:t>
      </w:r>
    </w:p>
    <w:p>
      <w:pPr>
        <w:spacing w:after="0" w:line="179"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With respect to equity incentive compensation, we generally believe that our NEOs should have appropriate incentives tied to the performance of our Class A Shares. Therefore, we may grant equity awards to a particular NEO in a given year based on a number of subjective criteria, including if a substantial portion of the NEO’s equity incentives are vested and the underlying stock is capable of being sold, the amount of equity incentives and/or severance benefits of an NEO in a particular year, whether an NEO has recently been promoted, an NEO’s position and role in our success and whether an NEO has made any exceptional contributions to our success.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364" w:right="239" w:bottom="1440" w:gutter="0" w:footer="0" w:header="0"/>
        </w:sectPr>
      </w:pPr>
    </w:p>
    <w:bookmarkStart w:id="20" w:name="page21"/>
    <w:bookmarkEnd w:id="20"/>
    <w:p>
      <w:pPr>
        <w:jc w:val="both"/>
        <w:spacing w:after="0" w:line="253" w:lineRule="auto"/>
        <w:rPr>
          <w:sz w:val="20"/>
          <w:szCs w:val="20"/>
          <w:color w:val="auto"/>
        </w:rPr>
      </w:pPr>
      <w:r>
        <w:rPr>
          <w:rFonts w:ascii="Arial" w:cs="Arial" w:eastAsia="Arial" w:hAnsi="Arial"/>
          <w:sz w:val="17"/>
          <w:szCs w:val="17"/>
          <w:color w:val="auto"/>
        </w:rPr>
        <w:t>The Compensation Committee, without Mr. Ergen being present or providing any recommendation, determines Mr. Ergen’s compensation. Mr. Ergen recommends, the Compensation Committee reviews and discusses and the Board of Directors ultimately approves the base salary compensation of Mr. Dugan. Messrs. Ergen and Dugan recommend, the Compensation Committee reviews and discusses and the Board of Directors ultimately approves the base salary compensation of our other NEOs. After considering these recommendations and other considerations discussed above, the Board of Directors determines the annual base salary for each NEO. The Compensation Committee also makes and approves grants of options and other equity-based compensation to our NEOs. Pursuant to our Executive Officer Bonus Incentive Plan, the Compensation Committee also determines and establishes applicable payout targets and performance metrics for the payment of short-term cash incentive awards, determines whether and to what extent such performance metrics have been met for each NEO for a particular year and approves short-term cash incentive awards. Except for compensation matters related to Mr. Ergen, the Compensation Committee and the Board of Directors place substantial weight on Mr. Ergen’s recommendations regarding all compensation matters in light of his role as Chairman and as our controlling shareholder.</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Compilation of Certain Peer Group Data</w:t>
      </w:r>
    </w:p>
    <w:p>
      <w:pPr>
        <w:spacing w:after="0" w:line="198"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In connection with the approval process for our 2017 executive officer compensation, management prepared a compilation of the compensation components for the named executive officers of certain companies similar in size and/or industry to EchoStar, as disclosed in their respective publicly-filed proxy statements (the “Peer Group Data”). The surveyed companies included: Gilat Satellite Networks Ltd., Intelsat S.A., Eutelsat S.A., Inmarsat plc and ViaSat, Inc. The Peer Group Data, along with other information obtained from media reports or other generally available sources related to executive compensation, is used solely as a subjective frame of reference, rather than for benchmarking compensation for the NEOs. We do not utilize a formulaic or standard, formalized benchmarking level or element in setting our executive compensation relative to that of other companies.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Deductibility of Compensation</w:t>
      </w:r>
    </w:p>
    <w:p>
      <w:pPr>
        <w:spacing w:after="0" w:line="19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For tax years covered by this Proxy Statement, Section 162(m) of the Internal Revenue Code of 1986 (as amended, the “Internal Revenue Code”) placed a limit on the tax deductibility of compensation in excess of $1.0 million paid to certain of our executive officers for any single taxable year. This limitation applied to compensation that was not considered performance-based under Section 162(m) of the Internal Revenue Code. The material terms of the Amended and Restated 2008 Stock Incentive Plan and the 2017 Stock Incentive Plan allowed us to grant option and other equity awards to meet the definition of performance-based compensation under Section 162(m) in order to qualify for the performance-based exception to the $1 million deduction limit. However, there is no assurance that our granted option or equity awards have met or will meet the requirements of Section 162(m) of the Internal Revenue Code to be considered deductible compensation, and nondeductible compensation in excess of the application limitation has been paid in the past and may be paid in the future.</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The Tax Cuts and Jobs Act, enacted on December 22, 2017, substantially modified Section 162(m) of the Internal Revenue Code and, among other things, eliminated the performance-based exception to the $1 million deduction limit effective as of January 1, 2018. As a result, beginning in 2018, compensation paid to certain executive officers in excess of $1 million will generally be nondeductible, whether or not it is performance-based. In addition, beginning in 2018, the executive officers subject to Section 162(m) (the “Covered Employees”) will include any individual who served as the chief executive officer (the “CEO”) or chief financial officer (“CFO”) at any time during the taxable year and the three other most highly compensated officers (other than the CEO and CFO) for the taxable year, and once an individual becomes a Covered Employee for any taxable year beginning after December 31, 2016, that individual will remain a Covered Employee for all future years, including following any termination of employment.</w:t>
      </w:r>
    </w:p>
    <w:p>
      <w:pPr>
        <w:spacing w:after="0" w:line="167"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The Tax Cuts and Jobs Act includes a transition rule under which the changes to Section 162(m) described above will not apply to compensation payable pursuant to a written binding contract that was in effect on November 2, 2017 and is not materially modified after that date. However, because of uncertainties as to the application and interpretation of the transition rule, no assurances can be given that our existing contracts and equity awards, even if in place on November 2, 2017, will meet the requirements of the transition rule.</w:t>
      </w:r>
    </w:p>
    <w:p>
      <w:pPr>
        <w:spacing w:after="0" w:line="175"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To maintain flexibility in compensating executive officers in a manner designed to promote varying corporate goals in our best interest and consistent with the goals of our executive compensation program, we retained and continue to retain discretion to approve annual, short-term, long-term or other compensation arrangements in a manner that does not permit the compensation to qualify for tax deductibility under Section 162(m) of the Internal Revenue Code.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Compensation Consultants</w:t>
      </w:r>
    </w:p>
    <w:p>
      <w:pPr>
        <w:spacing w:after="0" w:line="198"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No compensation consultants were retained by the Corporation, the Board of Directors or the Compensation Committee to evaluate or recommend the setting of executive compensation during the past fiscal year.</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368"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i w:val="1"/>
          <w:iCs w:val="1"/>
          <w:color w:val="auto"/>
        </w:rPr>
        <w:t>Implementation of Executive Compensation Program Objectives and Policies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Elements of Executive Compensation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primary components of our executive compensation program include:</w:t>
      </w:r>
    </w:p>
    <w:p>
      <w:pPr>
        <w:spacing w:after="0" w:line="212"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20"/>
          <w:szCs w:val="20"/>
          <w:color w:val="auto"/>
        </w:rPr>
      </w:pPr>
      <w:r>
        <w:rPr>
          <w:rFonts w:ascii="Arial" w:cs="Arial" w:eastAsia="Arial" w:hAnsi="Arial"/>
          <w:sz w:val="18"/>
          <w:szCs w:val="18"/>
          <w:color w:val="auto"/>
        </w:rPr>
        <w:t>base salary;</w:t>
      </w:r>
    </w:p>
    <w:p>
      <w:pPr>
        <w:spacing w:after="0" w:line="4" w:lineRule="exact"/>
        <w:rPr>
          <w:rFonts w:ascii="Arial" w:cs="Arial" w:eastAsia="Arial" w:hAnsi="Arial"/>
          <w:sz w:val="20"/>
          <w:szCs w:val="20"/>
          <w:color w:val="auto"/>
        </w:rPr>
      </w:pPr>
    </w:p>
    <w:p>
      <w:pPr>
        <w:ind w:left="660" w:right="40" w:hanging="328"/>
        <w:spacing w:after="0" w:line="250" w:lineRule="auto"/>
        <w:tabs>
          <w:tab w:leader="none" w:pos="660" w:val="left"/>
        </w:tabs>
        <w:numPr>
          <w:ilvl w:val="0"/>
          <w:numId w:val="14"/>
        </w:numPr>
        <w:rPr>
          <w:rFonts w:ascii="Arial" w:cs="Arial" w:eastAsia="Arial" w:hAnsi="Arial"/>
          <w:sz w:val="20"/>
          <w:szCs w:val="20"/>
          <w:color w:val="auto"/>
        </w:rPr>
      </w:pPr>
      <w:r>
        <w:rPr>
          <w:rFonts w:ascii="Arial" w:cs="Arial" w:eastAsia="Arial" w:hAnsi="Arial"/>
          <w:sz w:val="18"/>
          <w:szCs w:val="18"/>
          <w:color w:val="auto"/>
        </w:rPr>
        <w:t>equity incentive compensation (short-term and/or long-term) in the form of stock options and/or restricted stock units offered under EchoStar’s stock incentive plan;</w:t>
      </w:r>
    </w:p>
    <w:p>
      <w:pPr>
        <w:ind w:left="660" w:hanging="328"/>
        <w:spacing w:after="0"/>
        <w:tabs>
          <w:tab w:leader="none" w:pos="660" w:val="left"/>
        </w:tabs>
        <w:numPr>
          <w:ilvl w:val="0"/>
          <w:numId w:val="14"/>
        </w:numPr>
        <w:rPr>
          <w:rFonts w:ascii="Arial" w:cs="Arial" w:eastAsia="Arial" w:hAnsi="Arial"/>
          <w:sz w:val="20"/>
          <w:szCs w:val="20"/>
          <w:color w:val="auto"/>
        </w:rPr>
      </w:pPr>
      <w:r>
        <w:rPr>
          <w:rFonts w:ascii="Arial" w:cs="Arial" w:eastAsia="Arial" w:hAnsi="Arial"/>
          <w:sz w:val="18"/>
          <w:szCs w:val="18"/>
          <w:color w:val="auto"/>
        </w:rPr>
        <w:t>short-term cash incentive compensation;</w:t>
      </w:r>
    </w:p>
    <w:p>
      <w:pPr>
        <w:spacing w:after="0" w:line="3" w:lineRule="exact"/>
        <w:rPr>
          <w:rFonts w:ascii="Arial" w:cs="Arial" w:eastAsia="Arial" w:hAnsi="Arial"/>
          <w:sz w:val="20"/>
          <w:szCs w:val="20"/>
          <w:color w:val="auto"/>
        </w:rPr>
      </w:pPr>
    </w:p>
    <w:p>
      <w:pPr>
        <w:ind w:left="660" w:hanging="328"/>
        <w:spacing w:after="0" w:line="235" w:lineRule="auto"/>
        <w:tabs>
          <w:tab w:leader="none" w:pos="660" w:val="left"/>
        </w:tabs>
        <w:numPr>
          <w:ilvl w:val="0"/>
          <w:numId w:val="14"/>
        </w:numPr>
        <w:rPr>
          <w:rFonts w:ascii="Arial" w:cs="Arial" w:eastAsia="Arial" w:hAnsi="Arial"/>
          <w:sz w:val="20"/>
          <w:szCs w:val="20"/>
          <w:color w:val="auto"/>
        </w:rPr>
      </w:pPr>
      <w:r>
        <w:rPr>
          <w:rFonts w:ascii="Arial" w:cs="Arial" w:eastAsia="Arial" w:hAnsi="Arial"/>
          <w:sz w:val="18"/>
          <w:szCs w:val="18"/>
          <w:color w:val="auto"/>
        </w:rPr>
        <w:t>401(k) Plan; and</w:t>
      </w:r>
    </w:p>
    <w:p>
      <w:pPr>
        <w:spacing w:after="0" w:line="4" w:lineRule="exact"/>
        <w:rPr>
          <w:rFonts w:ascii="Arial" w:cs="Arial" w:eastAsia="Arial" w:hAnsi="Arial"/>
          <w:sz w:val="20"/>
          <w:szCs w:val="20"/>
          <w:color w:val="auto"/>
        </w:rPr>
      </w:pPr>
    </w:p>
    <w:p>
      <w:pPr>
        <w:ind w:left="660" w:hanging="328"/>
        <w:spacing w:after="0" w:line="235" w:lineRule="auto"/>
        <w:tabs>
          <w:tab w:leader="none" w:pos="660" w:val="left"/>
        </w:tabs>
        <w:numPr>
          <w:ilvl w:val="0"/>
          <w:numId w:val="14"/>
        </w:numPr>
        <w:rPr>
          <w:rFonts w:ascii="Arial" w:cs="Arial" w:eastAsia="Arial" w:hAnsi="Arial"/>
          <w:sz w:val="20"/>
          <w:szCs w:val="20"/>
          <w:color w:val="auto"/>
        </w:rPr>
      </w:pPr>
      <w:r>
        <w:rPr>
          <w:rFonts w:ascii="Arial" w:cs="Arial" w:eastAsia="Arial" w:hAnsi="Arial"/>
          <w:sz w:val="18"/>
          <w:szCs w:val="18"/>
          <w:color w:val="auto"/>
        </w:rPr>
        <w:t>other compensation, including perquisites, personal benefits and post-termination compensation.</w:t>
      </w:r>
    </w:p>
    <w:p>
      <w:pPr>
        <w:spacing w:after="0" w:line="18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long and short-term incentive compensation generally include conditional and/or performance-based cash or equity incentive compensation and discretionary bonuses.</w:t>
      </w:r>
    </w:p>
    <w:p>
      <w:pPr>
        <w:spacing w:after="0" w:line="156"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The components of our executive compensation program combine to promote the objectives and policies described above. Base salary, 401(k) Plan benefits and other benefits and perquisites provided generally to employees provide a minimum level of compensation for our NEOs. Long-term equity and/or performance-based incentive compensation align NEO compensation with the creation of long-term shareholder value and generally promotes retention. Short-term cash or equity incentives reward individual, group or company performance and achievement of shorter-term goals important to the Corporation.</w:t>
      </w:r>
    </w:p>
    <w:p>
      <w:pPr>
        <w:spacing w:after="0" w:line="142"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We have not required that a certain percentage of an executive’s compensation be provided in one form versus another. However, our goal is to award compensation that is reasonable in relation to our compensation program and objectives when all elements of potential compensation are considered. Each element of our executive compensation and the rationale for each element are described below.</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Base Salary</w:t>
      </w:r>
    </w:p>
    <w:p>
      <w:pPr>
        <w:spacing w:after="0" w:line="198"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We have traditionally included salary in our executive compensation package under the belief that it is appropriate that some portion of the compensation paid to our executives be provided in a form that is fixed and liquid occurring over regular intervals. The Board of Directors has traditionally been free to set base salary at any level deemed appropriate, with the Compensation Committee setting the base salary of the Chairman. The Compensation Committee and, other than for our Chairman, the Board of Directors typically review base salaries of our NEOs. Any increases or decreases in base salary on a year-over-year basis have usually been dependent on a combination of the factors outlined above in “General Compensation Levels,” with particular emphasis on:</w:t>
      </w:r>
    </w:p>
    <w:p>
      <w:pPr>
        <w:spacing w:after="0" w:line="160"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20"/>
          <w:szCs w:val="20"/>
          <w:color w:val="auto"/>
        </w:rPr>
      </w:pPr>
      <w:r>
        <w:rPr>
          <w:rFonts w:ascii="Arial" w:cs="Arial" w:eastAsia="Arial" w:hAnsi="Arial"/>
          <w:sz w:val="18"/>
          <w:szCs w:val="18"/>
          <w:color w:val="auto"/>
        </w:rPr>
        <w:t>EchoStar’s overall financial and business performance;</w:t>
      </w:r>
    </w:p>
    <w:p>
      <w:pPr>
        <w:spacing w:after="0" w:line="4" w:lineRule="exact"/>
        <w:rPr>
          <w:rFonts w:ascii="Arial" w:cs="Arial" w:eastAsia="Arial" w:hAnsi="Arial"/>
          <w:sz w:val="20"/>
          <w:szCs w:val="20"/>
          <w:color w:val="auto"/>
        </w:rPr>
      </w:pPr>
    </w:p>
    <w:p>
      <w:pPr>
        <w:ind w:left="660" w:hanging="328"/>
        <w:spacing w:after="0" w:line="235" w:lineRule="auto"/>
        <w:tabs>
          <w:tab w:leader="none" w:pos="660" w:val="left"/>
        </w:tabs>
        <w:numPr>
          <w:ilvl w:val="0"/>
          <w:numId w:val="15"/>
        </w:numPr>
        <w:rPr>
          <w:rFonts w:ascii="Arial" w:cs="Arial" w:eastAsia="Arial" w:hAnsi="Arial"/>
          <w:sz w:val="20"/>
          <w:szCs w:val="20"/>
          <w:color w:val="auto"/>
        </w:rPr>
      </w:pPr>
      <w:r>
        <w:rPr>
          <w:rFonts w:ascii="Arial" w:cs="Arial" w:eastAsia="Arial" w:hAnsi="Arial"/>
          <w:sz w:val="18"/>
          <w:szCs w:val="18"/>
          <w:color w:val="auto"/>
        </w:rPr>
        <w:t>the performance of the NEO’s business unit;</w:t>
      </w:r>
    </w:p>
    <w:p>
      <w:pPr>
        <w:spacing w:after="0" w:line="4" w:lineRule="exact"/>
        <w:rPr>
          <w:rFonts w:ascii="Arial" w:cs="Arial" w:eastAsia="Arial" w:hAnsi="Arial"/>
          <w:sz w:val="20"/>
          <w:szCs w:val="20"/>
          <w:color w:val="auto"/>
        </w:rPr>
      </w:pPr>
    </w:p>
    <w:p>
      <w:pPr>
        <w:ind w:left="660" w:hanging="328"/>
        <w:spacing w:after="0" w:line="235" w:lineRule="auto"/>
        <w:tabs>
          <w:tab w:leader="none" w:pos="660" w:val="left"/>
        </w:tabs>
        <w:numPr>
          <w:ilvl w:val="0"/>
          <w:numId w:val="15"/>
        </w:numPr>
        <w:rPr>
          <w:rFonts w:ascii="Arial" w:cs="Arial" w:eastAsia="Arial" w:hAnsi="Arial"/>
          <w:sz w:val="20"/>
          <w:szCs w:val="20"/>
          <w:color w:val="auto"/>
        </w:rPr>
      </w:pPr>
      <w:r>
        <w:rPr>
          <w:rFonts w:ascii="Arial" w:cs="Arial" w:eastAsia="Arial" w:hAnsi="Arial"/>
          <w:sz w:val="18"/>
          <w:szCs w:val="18"/>
          <w:color w:val="auto"/>
        </w:rPr>
        <w:t>the NEO’s individual contributions to EchoStar; and</w:t>
      </w:r>
    </w:p>
    <w:p>
      <w:pPr>
        <w:spacing w:after="0" w:line="4" w:lineRule="exact"/>
        <w:rPr>
          <w:rFonts w:ascii="Arial" w:cs="Arial" w:eastAsia="Arial" w:hAnsi="Arial"/>
          <w:sz w:val="20"/>
          <w:szCs w:val="20"/>
          <w:color w:val="auto"/>
        </w:rPr>
      </w:pPr>
    </w:p>
    <w:p>
      <w:pPr>
        <w:ind w:left="660" w:hanging="328"/>
        <w:spacing w:after="0" w:line="235" w:lineRule="auto"/>
        <w:tabs>
          <w:tab w:leader="none" w:pos="660" w:val="left"/>
        </w:tabs>
        <w:numPr>
          <w:ilvl w:val="0"/>
          <w:numId w:val="15"/>
        </w:numPr>
        <w:rPr>
          <w:rFonts w:ascii="Arial" w:cs="Arial" w:eastAsia="Arial" w:hAnsi="Arial"/>
          <w:sz w:val="20"/>
          <w:szCs w:val="20"/>
          <w:color w:val="auto"/>
        </w:rPr>
      </w:pPr>
      <w:r>
        <w:rPr>
          <w:rFonts w:ascii="Arial" w:cs="Arial" w:eastAsia="Arial" w:hAnsi="Arial"/>
          <w:sz w:val="18"/>
          <w:szCs w:val="18"/>
          <w:color w:val="auto"/>
        </w:rPr>
        <w:t>the rate of standard annual merit increases for employees who are performing at a satisfactory level.</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Incentive Compensation</w:t>
      </w:r>
    </w:p>
    <w:p>
      <w:pPr>
        <w:spacing w:after="0" w:line="198"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We believe that our executive officers generally will be better able to contribute to our success and help build incremental shareholder value if they have a stake in our future success and value. We believe this stake helps retain executives and focuses the executive officers’ attention on managing as owners with equity positions and aligns their interests with the interests of our shareholders. Equity awards therefore have generally represented an important component of our compensation program for most of our NEOs. We have attempted to create general incentives with standard stock option grants and conditional or performance-based incentives through awards that may include payouts in cash or equity. Grants of equity incentive compensation have usually been dependent on a combination of the factors outlined above in “General Compensation Levels.”</w:t>
      </w:r>
    </w:p>
    <w:p>
      <w:pPr>
        <w:spacing w:after="0" w:line="162"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To aid in our retention of employees, options and restricted stock unit awards granted under our stock incentive plan, including those granted to our NEOs, generally vest at the rate of 20% per year and, in the case of options, have exercise prices not less than the fair market value of our Class A Shares on the date of grant or the last trading day prior to the date of grant (if the date of grant is not a trading day). Generally, our option agreements and restricted stock unit agreements with executive officers have included acceleration of vesting upon a change in control for those executive officers who are terminated by us or the surviving entity, as applicable, for any reason other than for cause during the twenty-four month period following such change in control. However, the option award granted to Mr. Ergen on April 1, 2017 provides that any unvested portion of the option terminates upon a change in control.</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368"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i w:val="1"/>
          <w:iCs w:val="1"/>
          <w:color w:val="auto"/>
        </w:rPr>
        <w:t>Stock Incentive Plan</w:t>
      </w:r>
    </w:p>
    <w:p>
      <w:pPr>
        <w:spacing w:after="0" w:line="19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We have adopted two employee stock incentive plans, which we refer to as the Amended and Restated 2008 Stock Incentive Plan (the “2008 Stock Incentive Plan”) and the EchoStar Corporation 2017 Stock Incentive Plan (the “2017 Stock Incentive Plan,” and together with the 2008 Stock Incentive Plan, the “Stock Incentive Plans”).</w:t>
      </w:r>
    </w:p>
    <w:p>
      <w:pPr>
        <w:spacing w:after="0" w:line="169" w:lineRule="exact"/>
        <w:rPr>
          <w:sz w:val="20"/>
          <w:szCs w:val="20"/>
          <w:color w:val="auto"/>
        </w:rPr>
      </w:pPr>
    </w:p>
    <w:p>
      <w:pPr>
        <w:jc w:val="both"/>
        <w:ind w:right="20"/>
        <w:spacing w:after="0" w:line="294" w:lineRule="auto"/>
        <w:rPr>
          <w:sz w:val="20"/>
          <w:szCs w:val="20"/>
          <w:color w:val="auto"/>
        </w:rPr>
      </w:pPr>
      <w:r>
        <w:rPr>
          <w:rFonts w:ascii="Arial" w:cs="Arial" w:eastAsia="Arial" w:hAnsi="Arial"/>
          <w:sz w:val="16"/>
          <w:szCs w:val="16"/>
          <w:color w:val="auto"/>
        </w:rPr>
        <w:t>The 2008 Stock Incentive Plan expired on January 1, 2018. No new awards will be granted under the 2008 Stock Incentive Plan, but any awards previously granted under this plan remain outstanding and will vest and/or be exercised in accordance with their terms. The 2017 Stock Incentive Plan was approved by our shareholders on May 2, 2017 and we have used this plan for equity grants to our executive officers and other key employees since that date.</w:t>
      </w:r>
    </w:p>
    <w:p>
      <w:pPr>
        <w:spacing w:after="0" w:line="134"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The purpose of the Stock Incentive Plans is to provide incentives to attract, motivate and retain executive officers, employees, consultants and advisors, to offer participants incentives to put forth maximum efforts for the success of the Corporation’s business and to afford participants an opportunity to acquire a proprietary interest in the Corporation. The Stock Incentive Plans are administered by the Compensation Committee which retains the discretion, subject to plan limits, to modify the terms of outstanding awards and to re-price awards. Awards available to be granted under the 2017 Stock Incentive Plan include:</w:t>
      </w:r>
    </w:p>
    <w:p>
      <w:pPr>
        <w:spacing w:after="0" w:line="1" w:lineRule="exact"/>
        <w:rPr>
          <w:sz w:val="20"/>
          <w:szCs w:val="20"/>
          <w:color w:val="auto"/>
        </w:rPr>
      </w:pPr>
    </w:p>
    <w:p>
      <w:pPr>
        <w:ind w:left="260" w:hanging="252"/>
        <w:spacing w:after="0"/>
        <w:tabs>
          <w:tab w:leader="none" w:pos="2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stock options; (ii) stock appreciation rights; (iii) restricted stock and restricted stock units; (iv) performance awards; (v) dividend equivalents; and</w:t>
      </w:r>
    </w:p>
    <w:p>
      <w:pPr>
        <w:spacing w:after="0" w:line="7" w:lineRule="exact"/>
        <w:rPr>
          <w:rFonts w:ascii="Arial" w:cs="Arial" w:eastAsia="Arial" w:hAnsi="Arial"/>
          <w:sz w:val="17"/>
          <w:szCs w:val="17"/>
          <w:color w:val="auto"/>
        </w:rPr>
      </w:pPr>
    </w:p>
    <w:p>
      <w:pPr>
        <w:jc w:val="both"/>
        <w:ind w:firstLine="8"/>
        <w:spacing w:after="0" w:line="252" w:lineRule="auto"/>
        <w:tabs>
          <w:tab w:leader="none" w:pos="325" w:val="left"/>
        </w:tabs>
        <w:numPr>
          <w:ilvl w:val="0"/>
          <w:numId w:val="17"/>
        </w:numPr>
        <w:rPr>
          <w:rFonts w:ascii="Arial" w:cs="Arial" w:eastAsia="Arial" w:hAnsi="Arial"/>
          <w:sz w:val="17"/>
          <w:szCs w:val="17"/>
          <w:color w:val="auto"/>
        </w:rPr>
      </w:pPr>
      <w:r>
        <w:rPr>
          <w:rFonts w:ascii="Arial" w:cs="Arial" w:eastAsia="Arial" w:hAnsi="Arial"/>
          <w:sz w:val="17"/>
          <w:szCs w:val="17"/>
          <w:color w:val="auto"/>
        </w:rPr>
        <w:t>other stock-based awards. We generally grant equity awards on the first day of each calendar quarter following the quarter in which the award was approved and have set exercise prices at not less than the fair market value of our Class A Shares on the date of grant or the last trading day prior to the date of grant (if the grant date is not a trading day). As of December 31, 2017, there were (i) outstanding options to purchase approximately 4.9 million of our Class A Shares under our Stock Incentive Plans and (ii) no outstanding restricted stock units and (iii) approximately 8.0 million of our Class A Shares remaining available for issuance under the 2017 Stock Incentive Plan. Our outstanding option awards generally vest at the rate of 20% per year commencing one year from the date of grant. Prior to February 2016, we also granted to certain of our executive officers fully vested stock-based awards under our Employee Innovator Recognition Program, which is available to all of our eligible employees. After February 2016, our executive officers, including our NEOs, are no longer eligible to receive awards under our Employee Innovator Recognition Program.</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Class B Chairman Stock Option Plan</w:t>
      </w:r>
    </w:p>
    <w:p>
      <w:pPr>
        <w:spacing w:after="0" w:line="198"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We have adopted a Class B Chairman stock option plan, which we refer to as the 2008 Class B Chairman Stock Option Plan. The purpose of the 2008 Class B Chairman Stock Option Plan is to promote the interests of the Corporation by aiding in the retention of Mr. Ergen, who our Board of Directors believes is crucial to assuring our future success, to offer Mr. Ergen incentives to put forth maximum efforts for our future success and to afford Mr. Ergen an opportunity to acquire additional proprietary interests in the Corporation. Mr. Ergen abstained from our Board of Directors’ vote regarding the adoption of the 2008 Class B Chairman Stock Option Plan. Awards available to be granted under the 2008 Class B Chairman Stock Option Plan include nonqualified stock options and dividend equivalent rights with respect to our Class B Shares. Up to four million shares of our Class B Shares are available for awards under the 2008 Class B Chairman Stock Option Plan. Only Mr. Ergen is eligible to participate in the 2008 Class B Chairman Stock Option Plan. No awards have been granted under the 2008 Class B Chairman Stock Option Plan.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Stock Purchase Plan</w:t>
      </w:r>
    </w:p>
    <w:p>
      <w:pPr>
        <w:spacing w:after="0" w:line="19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have an employee stock purchase plan, which we refer to as the ESPP. The purpose of the ESPP is to provide our eligible employees with an opportunity to acquire a proprietary interest in the Corporation through the purchase of our Class A Shares. Generally, full-time employees who have been employed by the Corporation at least one calendar quarter are eligible to participate in the ESPP. Employee stock purchases are made through payroll deductions. Under the terms of the ESPP, each employee’s deductions are limited so that the maximum such employee may purchase under our ESPP is $25,000 in fair market value of Class A Shares per year. Stock purchases are made on the last business day of each calendar quarter at 85% of the closing price of the Class A Shares on that date. The ESPP is intended to qualify under Section 423 of the Internal Revenue Code and thereby provide participating employees with an opportunity to receive certain favorable income tax consequences as to stock purchase rights under the ESPP. Our NEOs participate in the ESPP on the same terms as our other employees.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Short-Term Cash Incentive Compensation</w:t>
      </w:r>
    </w:p>
    <w:p>
      <w:pPr>
        <w:spacing w:after="0" w:line="19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have adopted a short-term cash incentive program for our NEOs in May 2016, which we refer to as the Executive Officer Bonus Incentive Plan. The Executive Officer Bonus Incentive Plan is a cash incentive plan intended to promote the success of EchoStar by providing performance-oriented incentives to motivate our executive officers whose decisions and performance have a significant impact on our success and to reward them for superior managerial performance and our successful growth. Participants in the Executive Officer Bonus Incentive Plan include those executive officers of EchoStar who are subject to Section 16 of the Exchange Act whom the Compensation Committee may designate from time to time as participants in the Executive Officer Bonus Incentive Plan. Under the Executive Officer Bonus Incentive Plan, cash payments are awarded and are based on target award amounts for each year determined by</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368" w:right="239" w:bottom="1440" w:gutter="0" w:footer="0" w:header="0"/>
        </w:sectPr>
      </w:pPr>
    </w:p>
    <w:bookmarkStart w:id="23" w:name="page24"/>
    <w:bookmarkEnd w:id="23"/>
    <w:p>
      <w:pPr>
        <w:jc w:val="both"/>
        <w:spacing w:after="0" w:line="274" w:lineRule="auto"/>
        <w:rPr>
          <w:sz w:val="20"/>
          <w:szCs w:val="20"/>
          <w:color w:val="auto"/>
        </w:rPr>
      </w:pPr>
      <w:r>
        <w:rPr>
          <w:rFonts w:ascii="Arial" w:cs="Arial" w:eastAsia="Arial" w:hAnsi="Arial"/>
          <w:sz w:val="16"/>
          <w:szCs w:val="16"/>
          <w:color w:val="auto"/>
        </w:rPr>
        <w:t>the Compensation Committee for each participant and on the achievement of corporate and business segment performance metrics established by the Compensation Committee for each fiscal year from among those set forth in the Executive Officer Bonus Incentive Plan. For each participant, 25% of the payout target is based on the achievement of company-wide performance metrics and 75% of the payout target is based on the achievement of applicable business segment performance metrics. Individual awards under the Executive Officer Bonus Incentive Plan may range between zero and a maximum amount equal to or exceeding 100% of the applicable target award amount as determined by the Compensation Committee for each participant. Certain of our NEOs and other executive officers who are subject to Section 16 of the Exchange Act are eligible to receive, and have received, short-term cash incentive payments for 2017 pursuant to the Executive Officer Bonus Incentive Plan. See “Summary Compensation Table” below.</w:t>
      </w:r>
    </w:p>
    <w:p>
      <w:pPr>
        <w:spacing w:after="0" w:line="15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may provide a discretionary cash bonus to the extent that we consider an individual to have made an extraordinary contribution towards EchoStar’s performance. None of our NEOs received a discretionary cash bonus for 2017.</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401(k) Plan</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We have adopted a defined-contribution tax-qualified 401(k) Plan for eligible EchoStar employees, including our executives, to facilitate our employees’ ability to save some percentage of their cash compensation for retirement. New employees become immediately eligible for participation in the 401(k) Plan upon the commencement of their employment. Participants in the 401(k) Plan are entitled to contribute up to 75% of their eligible compensation subject to the maximum contribution limit provided by the Internal Revenue Code. Eligible employees have the option to contribute up to 75% of their compensation on a pre-tax and/or after-tax basis subject to the Internal Revenue Code limits. All employee contributions to the 401(k) Plan are immediately vested. The Corporation matches 50 cents on the dollar for the first 6% of each employee’s salary contributions to the 401(k) Plan for a total of 3% match on a pre-tax basis up to a maximum of $7,500 annually. The Corporation match is calculated each pay period there is an employee contribution. In addition, we may make an annual discretionary contribution to the 401(k) Plan in cash or our stock. All Corporation contributions under the 401(k) Plan vest at 20% per year and are 100% vested after an eligible employee has completed five years of employment. Our NEOs participate in the 401(k) Plan, including corporate contributions, on the same terms as our other employees.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Nonqualified Plan</w:t>
      </w:r>
    </w:p>
    <w:p>
      <w:pPr>
        <w:spacing w:after="0" w:line="198"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have adopted a nonqualified plan for the benefit of a select group of officers (the “Nonqualified Plan”), including our NEOs, except Mr. Ergen, whose benefits under our 401(k) Plan are limited by the Internal Revenue Code. Nonqualified Plan participants may elect to contribute up to 16% of their eligible compensation into the Nonqualified Plan on a pre-tax basis each payroll period. We do not match any employee contributions in the Nonqualified Plan. Participants are always 100% vested in the contributions they make into the Nonqualified Plan. During 2017, all of our NEOs, except Mr. Ergen, were eligible to participate in the Nonqualified Plan, and Mr. Rayner was the only NEO who contributed to the Nonqualified Plan. See “Nonqualified Deferred Compensation” below.</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Perquisites, Personal Benefits, Post-Termination Compensation and Other Compensation</w:t>
      </w:r>
    </w:p>
    <w:p>
      <w:pPr>
        <w:spacing w:after="0" w:line="19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have traditionally offered numerous plans and other benefits to our executive officers, except Mr. Ergen, on the same terms as other employees. These plans and benefits have included medical, vision, and dental insurance, life insurance, the ESPP and the 401(k) Plan as well as discounts on our and other companies’ products and services. Relocation benefits may also be provided and reimbursed, but are individually negotiated when they occur. In some years, we have permitted certain NEOs and their family members and guests to use our corporate aircraft for personal use. During 2017, Mr. Ergen was the only NEO that used our corporate aircraft for personal use. See “Summary Compensation Table” below. We have also paid on behalf of Mr. Kaul amounts relating to excess medical benefits, personal liability insurance, and financial planning services pursuant to programs put in place by Hughes prior to the Hughes Acquisition. See “Summary Compensation Table” below.</w:t>
      </w:r>
    </w:p>
    <w:p>
      <w:pPr>
        <w:spacing w:after="0" w:line="17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have not traditionally had any plans in place to provide severance benefits to employees. However, generally the equity awards that have been granted to our executive officers are subject to acceleration of vesting upon a change in control for those executive officers who are terminated by us or the surviving entity, as applicable, for any reason other than for cause during the twenty-four month period following such change in control. The option award granted to Mr. Ergen on April 1, 2017 provides that any unvested portion of the option terminates upon a change in control. Mr. Kaul’s option agreement provides for acceleration of vesting upon a change in control only if Mr. Kaul is terminated by us or the surviving entity, as applicable, for any reason other than for cause and ceases to be a member of the Board of Directors, in each case during the twenty-four month period following such change in control. In addition, Mr. Kaul has severance benefits that were approved by the board of directors of Hughes as part of his employment agreement prior to the Hughes Acquisition and which were modified by our Compensation Committee during 2016. See “Potential Payments Upon Termination or Following a Change in Control” below.</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368"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i w:val="1"/>
          <w:iCs w:val="1"/>
          <w:color w:val="auto"/>
        </w:rPr>
        <w:t>Shareholder Advisory Vote on Executive Compensation</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We provided our shareholders with the opportunity to cast a non-binding shareholder advisory vote on executive compensation at the annual meeting of shareholders held in May 2017. Over 99% of the voting power represented at the meeting and entitled to vote on that matter voted to approve, on a non-binding advisory basis, the compensation paid to our named executive officers, as described in the proxy statement for that meeting. The Compensation Committee reviewed these voting results after such meeting, and the Corporation did not change its approach to executive compensation in 2017 as a direct result of the vote. In 2017, a majority of our shareholders approved, on a non-binding advisory basis, that we should provide our shareholders with the opportunity to cast a non-binding advisory vote on executive compensation at our annual meeting of shareholders at least once every three years. After considering the preference of our shareholders and other factors, our Board of Directors determined that we will hold, and include in our proxy materials, a non-binding shareholder advisory vote on the compensation of our named executive officers every three years until the next required shareholder vote on the frequency of such non-binding shareholder advisory votes on executive compensation. The next advisory vote on executive compensation will be submitted to our stockholders in 2020.</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2017 Executive Compensation</w:t>
      </w:r>
    </w:p>
    <w:p>
      <w:pPr>
        <w:spacing w:after="0" w:line="198"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We generally make decisions with respect to executive compensation for a particular compensation year in the first or second quarter of the applicable year. With respect to the executive compensation of our NEOs, we reviewed total compensation of each NEO and the factors outlined above in “General Compensation Levels.” In light of Mr. Ergen’s role as Chairman and as our controlling shareholder, the Compensation Committee and the Board of Directors, as applicable, placed substantial weight on Mr. Ergen’s recommendations regarding all executive compensation matters, except for compensation matters related to Mr. Ergen.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of Our Chief Executive Officer and President and of our Chairman</w:t>
      </w:r>
    </w:p>
    <w:p>
      <w:pPr>
        <w:spacing w:after="0" w:line="198" w:lineRule="exact"/>
        <w:rPr>
          <w:sz w:val="20"/>
          <w:szCs w:val="20"/>
          <w:color w:val="auto"/>
        </w:rPr>
      </w:pPr>
    </w:p>
    <w:p>
      <w:pPr>
        <w:jc w:val="both"/>
        <w:spacing w:after="0" w:line="255" w:lineRule="auto"/>
        <w:rPr>
          <w:sz w:val="20"/>
          <w:szCs w:val="20"/>
          <w:color w:val="auto"/>
        </w:rPr>
      </w:pPr>
      <w:r>
        <w:rPr>
          <w:rFonts w:ascii="Arial" w:cs="Arial" w:eastAsia="Arial" w:hAnsi="Arial"/>
          <w:sz w:val="17"/>
          <w:szCs w:val="17"/>
          <w:i w:val="1"/>
          <w:iCs w:val="1"/>
          <w:color w:val="auto"/>
        </w:rPr>
        <w:t xml:space="preserve">2017 Base Salary. </w:t>
      </w:r>
      <w:r>
        <w:rPr>
          <w:rFonts w:ascii="Arial" w:cs="Arial" w:eastAsia="Arial" w:hAnsi="Arial"/>
          <w:sz w:val="17"/>
          <w:szCs w:val="17"/>
          <w:color w:val="auto"/>
        </w:rPr>
        <w:t>Base salary for our Chief Executive Officer and President is reviewed and discussed by the Compensation Committee and determined by</w:t>
      </w:r>
      <w:r>
        <w:rPr>
          <w:rFonts w:ascii="Arial" w:cs="Arial" w:eastAsia="Arial" w:hAnsi="Arial"/>
          <w:sz w:val="17"/>
          <w:szCs w:val="17"/>
          <w:i w:val="1"/>
          <w:iCs w:val="1"/>
          <w:color w:val="auto"/>
        </w:rPr>
        <w:t xml:space="preserve"> </w:t>
      </w:r>
      <w:r>
        <w:rPr>
          <w:rFonts w:ascii="Arial" w:cs="Arial" w:eastAsia="Arial" w:hAnsi="Arial"/>
          <w:sz w:val="17"/>
          <w:szCs w:val="17"/>
          <w:color w:val="auto"/>
        </w:rPr>
        <w:t>the Board of Directors primarily based on Mr. Ergen’s recommendations. Mr. Ergen made a recommendation with respect to the 2017 base salary of our Chief Executive Officer and President after considering the factors outlined above in “General Compensation Levels,” placing primary weight on (a) Mr. Dugan’s base salary in 2016, (b) Mr. Dugan’s performance in 2016, and (c) whether, in Mr. Ergen’s subjective view, an increase in base salary was warranted based on such performance or in order to retain Mr. Dugan. In determining Mr. Dugan’s 2017 base salary, Mr. Ergen recommended, the Compensation Committee reviewed, discussed and recommended and the Board of Directors determined that Mr. Dugan’s existing base compensation was lower than the range of market compensation indicated in the Peer Group Data and therefore should be increased.</w:t>
      </w:r>
    </w:p>
    <w:p>
      <w:pPr>
        <w:spacing w:after="0" w:line="16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connection with our Spin-off from DISH, effective January 1, 2008, Mr. Ergen’s base salary was set by the Compensation Committee at $1 and has remained at such level through 2017.</w:t>
      </w:r>
    </w:p>
    <w:p>
      <w:pPr>
        <w:spacing w:after="0" w:line="156" w:lineRule="exact"/>
        <w:rPr>
          <w:sz w:val="20"/>
          <w:szCs w:val="20"/>
          <w:color w:val="auto"/>
        </w:rPr>
      </w:pPr>
    </w:p>
    <w:p>
      <w:pPr>
        <w:jc w:val="both"/>
        <w:ind w:right="20"/>
        <w:spacing w:after="0" w:line="324" w:lineRule="auto"/>
        <w:rPr>
          <w:sz w:val="20"/>
          <w:szCs w:val="20"/>
          <w:color w:val="auto"/>
        </w:rPr>
      </w:pPr>
      <w:r>
        <w:rPr>
          <w:rFonts w:ascii="Arial" w:cs="Arial" w:eastAsia="Arial" w:hAnsi="Arial"/>
          <w:sz w:val="16"/>
          <w:szCs w:val="16"/>
          <w:i w:val="1"/>
          <w:iCs w:val="1"/>
          <w:color w:val="auto"/>
        </w:rPr>
        <w:t xml:space="preserve">2017 Cash Bonus. </w:t>
      </w:r>
      <w:r>
        <w:rPr>
          <w:rFonts w:ascii="Arial" w:cs="Arial" w:eastAsia="Arial" w:hAnsi="Arial"/>
          <w:sz w:val="16"/>
          <w:szCs w:val="16"/>
          <w:color w:val="auto"/>
        </w:rPr>
        <w:t>We may provide a discretionary cash bonus to the extent that we consider an individual to have made an extraordinary contribution</w:t>
      </w:r>
      <w:r>
        <w:rPr>
          <w:rFonts w:ascii="Arial" w:cs="Arial" w:eastAsia="Arial" w:hAnsi="Arial"/>
          <w:sz w:val="16"/>
          <w:szCs w:val="16"/>
          <w:i w:val="1"/>
          <w:iCs w:val="1"/>
          <w:color w:val="auto"/>
        </w:rPr>
        <w:t xml:space="preserve"> </w:t>
      </w:r>
      <w:r>
        <w:rPr>
          <w:rFonts w:ascii="Arial" w:cs="Arial" w:eastAsia="Arial" w:hAnsi="Arial"/>
          <w:sz w:val="16"/>
          <w:szCs w:val="16"/>
          <w:color w:val="auto"/>
        </w:rPr>
        <w:t>towards EchoStar’s performance. No discretionary cash bonus was paid to Mr. Dugan or Mr. Ergen in 2017. See “Summary Compensation Table” below.</w:t>
      </w:r>
    </w:p>
    <w:p>
      <w:pPr>
        <w:spacing w:after="0" w:line="111" w:lineRule="exact"/>
        <w:rPr>
          <w:sz w:val="20"/>
          <w:szCs w:val="20"/>
          <w:color w:val="auto"/>
        </w:rPr>
      </w:pPr>
    </w:p>
    <w:p>
      <w:pPr>
        <w:jc w:val="both"/>
        <w:spacing w:after="0" w:line="252" w:lineRule="auto"/>
        <w:rPr>
          <w:sz w:val="20"/>
          <w:szCs w:val="20"/>
          <w:color w:val="auto"/>
        </w:rPr>
      </w:pPr>
      <w:r>
        <w:rPr>
          <w:rFonts w:ascii="Arial" w:cs="Arial" w:eastAsia="Arial" w:hAnsi="Arial"/>
          <w:sz w:val="17"/>
          <w:szCs w:val="17"/>
          <w:i w:val="1"/>
          <w:iCs w:val="1"/>
          <w:color w:val="auto"/>
        </w:rPr>
        <w:t xml:space="preserve">2017 Short-Term Cash Incentive Compensation. </w:t>
      </w:r>
      <w:r>
        <w:rPr>
          <w:rFonts w:ascii="Arial" w:cs="Arial" w:eastAsia="Arial" w:hAnsi="Arial"/>
          <w:sz w:val="17"/>
          <w:szCs w:val="17"/>
          <w:color w:val="auto"/>
        </w:rPr>
        <w:t>The purpose of short-term cash incentives under our Executive Officer Bonus Incentive Plan is to provide</w:t>
      </w:r>
      <w:r>
        <w:rPr>
          <w:rFonts w:ascii="Arial" w:cs="Arial" w:eastAsia="Arial" w:hAnsi="Arial"/>
          <w:sz w:val="17"/>
          <w:szCs w:val="17"/>
          <w:i w:val="1"/>
          <w:iCs w:val="1"/>
          <w:color w:val="auto"/>
        </w:rPr>
        <w:t xml:space="preserve"> </w:t>
      </w:r>
      <w:r>
        <w:rPr>
          <w:rFonts w:ascii="Arial" w:cs="Arial" w:eastAsia="Arial" w:hAnsi="Arial"/>
          <w:sz w:val="17"/>
          <w:szCs w:val="17"/>
          <w:color w:val="auto"/>
        </w:rPr>
        <w:t>performance-oriented incentives to motivate the achievement of superior managerial performance and successful growth of the Corporation. This determination is made by the Compensation Committee for Mr. Dugan primarily on the basis of Mr. Ergen’s recommendations. For 2017, Mr. Ergen based his recommendation on, and the Compensation Committee took into account, among other things, the factors described in “General Compensation Levels” above, placing primary weight on Mr. Dugan’s role in driving the Corporation’s overall performance in 2017, including the EchoStar Satellite Services and Hughes business units’ financial and operational performances. Mr. Ergen recommended, and the Compensation Committee reviewed, discussed and determined, payout targets and performance metrics for 2017 for the payment of a short-term cash incentive award under our Executive Officer Bonus Incentive Plan for Mr. Dugan, and the Compensation Committee determined whether and to what extent such performance metrics were met for Mr. Dugan for 2017 and the amount of the cash incentive award for 2017 paid under the Executive Officer Bonus Incentive Plan to Mr. Dugan. Based on the recommendation of Mr. Ergen, the Compensation Committee determined that the 2017 payout target for Mr. Dugan would be $1,000,000 (100% of base salary), and the Compensation Committee approved a short-term cash incentive award of $850,000 to Mr. Dugan for 2017 under the Executive Officer Bonus Incentive Plan based on the Compensation Committee’s determination of the extent to which the performance metrics applicable to Mr. Dugan for 2017 were met.</w:t>
      </w:r>
    </w:p>
    <w:p>
      <w:pPr>
        <w:spacing w:after="0" w:line="16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Compensation Committee did not recommend or approve any short-term cash incentive award for Mr. Ergen in 2017. See “Summary Compensation Table” below.</w:t>
      </w:r>
    </w:p>
    <w:p>
      <w:pPr>
        <w:spacing w:after="0" w:line="15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i w:val="1"/>
          <w:iCs w:val="1"/>
          <w:color w:val="auto"/>
        </w:rPr>
        <w:t xml:space="preserve">2017 Equity Incentives. </w:t>
      </w:r>
      <w:r>
        <w:rPr>
          <w:rFonts w:ascii="Arial" w:cs="Arial" w:eastAsia="Arial" w:hAnsi="Arial"/>
          <w:sz w:val="18"/>
          <w:szCs w:val="18"/>
          <w:color w:val="auto"/>
        </w:rPr>
        <w:t>With respect to equity incentives, we primarily evaluate the positions of our Chief Executive Officer and President and our Chairman</w:t>
      </w:r>
      <w:r>
        <w:rPr>
          <w:rFonts w:ascii="Arial" w:cs="Arial" w:eastAsia="Arial" w:hAnsi="Arial"/>
          <w:sz w:val="18"/>
          <w:szCs w:val="18"/>
          <w:i w:val="1"/>
          <w:iCs w:val="1"/>
          <w:color w:val="auto"/>
        </w:rPr>
        <w:t xml:space="preserve"> </w:t>
      </w:r>
      <w:r>
        <w:rPr>
          <w:rFonts w:ascii="Arial" w:cs="Arial" w:eastAsia="Arial" w:hAnsi="Arial"/>
          <w:sz w:val="18"/>
          <w:szCs w:val="18"/>
          <w:color w:val="auto"/>
        </w:rPr>
        <w:t>to determine whether each of them has appropriate incentives tied to the performance of our Class A Shares. These</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368" w:right="239" w:bottom="1440" w:gutter="0" w:footer="0" w:header="0"/>
        </w:sectPr>
      </w:pPr>
    </w:p>
    <w:bookmarkStart w:id="25" w:name="page26"/>
    <w:bookmarkEnd w:id="25"/>
    <w:p>
      <w:pPr>
        <w:jc w:val="both"/>
        <w:spacing w:after="0" w:line="262" w:lineRule="auto"/>
        <w:rPr>
          <w:sz w:val="20"/>
          <w:szCs w:val="20"/>
          <w:color w:val="auto"/>
        </w:rPr>
      </w:pPr>
      <w:r>
        <w:rPr>
          <w:rFonts w:ascii="Arial" w:cs="Arial" w:eastAsia="Arial" w:hAnsi="Arial"/>
          <w:sz w:val="18"/>
          <w:szCs w:val="18"/>
          <w:color w:val="auto"/>
        </w:rPr>
        <w:t>determinations are made by the Compensation Committee, and, in the case of Mr. Dugan, are primarily made on the basis of Mr. Ergen’s subjective recommendation.</w:t>
      </w:r>
    </w:p>
    <w:p>
      <w:pPr>
        <w:spacing w:after="0" w:line="15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Taking into account, among other things, the factors described in “General Compensation Levels” above, including, among other things, the equity awards appropriate to retain, motivate and reward Mr. Dugan, the value of Mr. Dugan’s existing equity awards and whether Mr. Dugan is entitled to severance payments, Mr. Ergen did not recommend and the Compensation Committee did not make any equity incentive awards to Mr. Dugan in 2017.</w:t>
      </w:r>
    </w:p>
    <w:p>
      <w:pPr>
        <w:spacing w:after="0" w:line="15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Taking into account, among other things, the factors described in “General Compensation Levels” above, including, among other things, the equity awards appropriate to retain, motivate and reward Mr. Ergen, the value of Mr. Ergen’s existing equity awards and whether Mr. Ergen is entitled to severance payments, the Compensation Committee determined that Mr. Ergen would be awarded an option to purchase 1,100,000 Class A Shares with a grant date of April 1, 2017. On April 24, 2017, Mr. Ergen voluntarily forfeited a portion of such option covering 600,000 shares, and we canceled such forfeited portion of the option. See “Grants of Plan-Based Awards” below.</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of Other Named Executive Officers</w:t>
      </w:r>
    </w:p>
    <w:p>
      <w:pPr>
        <w:spacing w:after="0" w:line="198" w:lineRule="exact"/>
        <w:rPr>
          <w:sz w:val="20"/>
          <w:szCs w:val="20"/>
          <w:color w:val="auto"/>
        </w:rPr>
      </w:pPr>
    </w:p>
    <w:p>
      <w:pPr>
        <w:jc w:val="both"/>
        <w:spacing w:after="0" w:line="274" w:lineRule="auto"/>
        <w:rPr>
          <w:sz w:val="20"/>
          <w:szCs w:val="20"/>
          <w:color w:val="auto"/>
        </w:rPr>
      </w:pPr>
      <w:r>
        <w:rPr>
          <w:rFonts w:ascii="Arial" w:cs="Arial" w:eastAsia="Arial" w:hAnsi="Arial"/>
          <w:sz w:val="16"/>
          <w:szCs w:val="16"/>
          <w:i w:val="1"/>
          <w:iCs w:val="1"/>
          <w:color w:val="auto"/>
        </w:rPr>
        <w:t xml:space="preserve">2017 Base Salary. </w:t>
      </w:r>
      <w:r>
        <w:rPr>
          <w:rFonts w:ascii="Arial" w:cs="Arial" w:eastAsia="Arial" w:hAnsi="Arial"/>
          <w:sz w:val="16"/>
          <w:szCs w:val="16"/>
          <w:color w:val="auto"/>
        </w:rPr>
        <w:t>Base salaries for each of the NEOs, other than Mr. Dugan, are reviewed and discussed by the Compensation Committee and determined by</w:t>
      </w:r>
      <w:r>
        <w:rPr>
          <w:rFonts w:ascii="Arial" w:cs="Arial" w:eastAsia="Arial" w:hAnsi="Arial"/>
          <w:sz w:val="16"/>
          <w:szCs w:val="16"/>
          <w:i w:val="1"/>
          <w:iCs w:val="1"/>
          <w:color w:val="auto"/>
        </w:rPr>
        <w:t xml:space="preserve"> </w:t>
      </w:r>
      <w:r>
        <w:rPr>
          <w:rFonts w:ascii="Arial" w:cs="Arial" w:eastAsia="Arial" w:hAnsi="Arial"/>
          <w:sz w:val="16"/>
          <w:szCs w:val="16"/>
          <w:color w:val="auto"/>
        </w:rPr>
        <w:t>the Board of Directors primarily based on Mr. Dugan’s and Mr. Ergen’s recommendations. Messrs. Dugan and Ergen made recommendations with respect to the 2017 base salary of each of the NEOs, other than Messrs. Dugan and Ergen, after considering the factors outlined above in “General Compensation Levels.” Placing primary weight on (a) the NEO’s base salary in 2016, (b) the NEO’s performance in 2016, and (c) whether, in their subjective view, an increase in base salary was warranted based on such performance or in order to retain the NEO, Messrs. Ergen and Dugan recommended base salary increases for 2017 for each of Messrs. Johnson, Kaul and Rayner. The Compensation Committee reviewed, discussed and recommended, and the Board of Directors accepted, Messrs. Ergen’s and Dugan’s recommendations with respect to the base salaries for each of these NEOs.</w:t>
      </w:r>
    </w:p>
    <w:p>
      <w:pPr>
        <w:spacing w:after="0" w:line="150" w:lineRule="exact"/>
        <w:rPr>
          <w:sz w:val="20"/>
          <w:szCs w:val="20"/>
          <w:color w:val="auto"/>
        </w:rPr>
      </w:pPr>
    </w:p>
    <w:p>
      <w:pPr>
        <w:jc w:val="both"/>
        <w:ind w:right="20"/>
        <w:spacing w:after="0" w:line="291" w:lineRule="auto"/>
        <w:rPr>
          <w:sz w:val="20"/>
          <w:szCs w:val="20"/>
          <w:color w:val="auto"/>
        </w:rPr>
      </w:pPr>
      <w:r>
        <w:rPr>
          <w:rFonts w:ascii="Arial" w:cs="Arial" w:eastAsia="Arial" w:hAnsi="Arial"/>
          <w:sz w:val="17"/>
          <w:szCs w:val="17"/>
          <w:i w:val="1"/>
          <w:iCs w:val="1"/>
          <w:color w:val="auto"/>
        </w:rPr>
        <w:t xml:space="preserve">2017 Cash Bonus. </w:t>
      </w:r>
      <w:r>
        <w:rPr>
          <w:rFonts w:ascii="Arial" w:cs="Arial" w:eastAsia="Arial" w:hAnsi="Arial"/>
          <w:sz w:val="17"/>
          <w:szCs w:val="17"/>
          <w:color w:val="auto"/>
        </w:rPr>
        <w:t>We may provide a discretionary cash bonus to the extent that we consider an individual to have made an extraordinary contribution</w:t>
      </w:r>
      <w:r>
        <w:rPr>
          <w:rFonts w:ascii="Arial" w:cs="Arial" w:eastAsia="Arial" w:hAnsi="Arial"/>
          <w:sz w:val="17"/>
          <w:szCs w:val="17"/>
          <w:i w:val="1"/>
          <w:iCs w:val="1"/>
          <w:color w:val="auto"/>
        </w:rPr>
        <w:t xml:space="preserve"> </w:t>
      </w:r>
      <w:r>
        <w:rPr>
          <w:rFonts w:ascii="Arial" w:cs="Arial" w:eastAsia="Arial" w:hAnsi="Arial"/>
          <w:sz w:val="17"/>
          <w:szCs w:val="17"/>
          <w:color w:val="auto"/>
        </w:rPr>
        <w:t>towards EchoStar’s performance. None of our NEOs received a discretionary cash bonus in 2017. See “Summary Compensation Table” below.</w:t>
      </w:r>
    </w:p>
    <w:p>
      <w:pPr>
        <w:spacing w:after="0" w:line="134" w:lineRule="exact"/>
        <w:rPr>
          <w:sz w:val="20"/>
          <w:szCs w:val="20"/>
          <w:color w:val="auto"/>
        </w:rPr>
      </w:pPr>
    </w:p>
    <w:p>
      <w:pPr>
        <w:jc w:val="both"/>
        <w:spacing w:after="0" w:line="253" w:lineRule="auto"/>
        <w:rPr>
          <w:sz w:val="20"/>
          <w:szCs w:val="20"/>
          <w:color w:val="auto"/>
        </w:rPr>
      </w:pPr>
      <w:r>
        <w:rPr>
          <w:rFonts w:ascii="Arial" w:cs="Arial" w:eastAsia="Arial" w:hAnsi="Arial"/>
          <w:sz w:val="17"/>
          <w:szCs w:val="17"/>
          <w:i w:val="1"/>
          <w:iCs w:val="1"/>
          <w:color w:val="auto"/>
        </w:rPr>
        <w:t xml:space="preserve">2017 Short-Term Cash Incentive Compensation. </w:t>
      </w:r>
      <w:r>
        <w:rPr>
          <w:rFonts w:ascii="Arial" w:cs="Arial" w:eastAsia="Arial" w:hAnsi="Arial"/>
          <w:sz w:val="17"/>
          <w:szCs w:val="17"/>
          <w:color w:val="auto"/>
        </w:rPr>
        <w:t>The purpose of short-term cash incentives under our Executive Officer Bonus Incentive Plan is to provide</w:t>
      </w:r>
      <w:r>
        <w:rPr>
          <w:rFonts w:ascii="Arial" w:cs="Arial" w:eastAsia="Arial" w:hAnsi="Arial"/>
          <w:sz w:val="17"/>
          <w:szCs w:val="17"/>
          <w:i w:val="1"/>
          <w:iCs w:val="1"/>
          <w:color w:val="auto"/>
        </w:rPr>
        <w:t xml:space="preserve"> </w:t>
      </w:r>
      <w:r>
        <w:rPr>
          <w:rFonts w:ascii="Arial" w:cs="Arial" w:eastAsia="Arial" w:hAnsi="Arial"/>
          <w:sz w:val="17"/>
          <w:szCs w:val="17"/>
          <w:color w:val="auto"/>
        </w:rPr>
        <w:t>performance-oriented incentives to motivate the achievement of superior managerial performance and successful growth of the Corporation. This determination is made by the Compensation Committee primarily on the basis of Mr. Dugan’s and Mr. Ergen’s recommendations. For 2017, Messrs. Dugan and Ergen based their recommendations on, and the Compensation Committee took into account, among other things, the factors described in “General Compensation Levels” above, placing primary weight on each NEO’s role in driving the Corporation’s overall performance and such NEO’s applicable business unit’s financial and operational performances in 2017. Messrs. Dugan and Ergen made recommendations regarding, and the Compensation Committee reviewed, discussed and determined, payout targets and performance metrics for 2017 for the payment of short-term cash incentive awards under our Executive Officer Bonus Incentive Plan for each of our other NEOs, and the Compensation Committee determined whether and to what extent the applicable performance metrics were met for each such NEO for 2017 and the amount of the cash incentive award for 2017 paid under the Executive Officer Bonus Incentive Plan to each of our other NEOs.</w:t>
      </w:r>
    </w:p>
    <w:p>
      <w:pPr>
        <w:spacing w:after="0" w:line="16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Based on the recommendations of Messrs. Dugan and Ergen, the Compensation Committee approved the following short-term cash incentive awards under our Executive Officer Bonus Incentive Plan for 2017 for the following NEOs:</w:t>
      </w:r>
    </w:p>
    <w:p>
      <w:pPr>
        <w:spacing w:after="0" w:line="107" w:lineRule="exact"/>
        <w:rPr>
          <w:sz w:val="20"/>
          <w:szCs w:val="20"/>
          <w:color w:val="auto"/>
        </w:rPr>
      </w:pPr>
    </w:p>
    <w:p>
      <w:pPr>
        <w:ind w:left="1040"/>
        <w:spacing w:after="0"/>
        <w:tabs>
          <w:tab w:leader="none" w:pos="2740" w:val="left"/>
          <w:tab w:leader="none" w:pos="5720" w:val="left"/>
          <w:tab w:leader="none" w:pos="8980" w:val="left"/>
        </w:tabs>
        <w:rPr>
          <w:sz w:val="20"/>
          <w:szCs w:val="20"/>
          <w:color w:val="auto"/>
        </w:rPr>
      </w:pPr>
      <w:r>
        <w:rPr>
          <w:rFonts w:ascii="Arial" w:cs="Arial" w:eastAsia="Arial" w:hAnsi="Arial"/>
          <w:sz w:val="14"/>
          <w:szCs w:val="14"/>
          <w:b w:val="1"/>
          <w:bCs w:val="1"/>
          <w:color w:val="auto"/>
        </w:rPr>
        <w:t>NEO</w:t>
      </w:r>
      <w:r>
        <w:rPr>
          <w:sz w:val="20"/>
          <w:szCs w:val="20"/>
          <w:color w:val="auto"/>
        </w:rPr>
        <w:tab/>
      </w:r>
      <w:r>
        <w:rPr>
          <w:rFonts w:ascii="Arial" w:cs="Arial" w:eastAsia="Arial" w:hAnsi="Arial"/>
          <w:sz w:val="14"/>
          <w:szCs w:val="14"/>
          <w:b w:val="1"/>
          <w:bCs w:val="1"/>
          <w:color w:val="auto"/>
        </w:rPr>
        <w:t>2017 Payout Target</w:t>
      </w:r>
      <w:r>
        <w:rPr>
          <w:sz w:val="20"/>
          <w:szCs w:val="20"/>
          <w:color w:val="auto"/>
        </w:rPr>
        <w:tab/>
      </w:r>
      <w:r>
        <w:rPr>
          <w:rFonts w:ascii="Arial" w:cs="Arial" w:eastAsia="Arial" w:hAnsi="Arial"/>
          <w:sz w:val="14"/>
          <w:szCs w:val="14"/>
          <w:b w:val="1"/>
          <w:bCs w:val="1"/>
          <w:color w:val="auto"/>
        </w:rPr>
        <w:t>2017 Performance Metrics</w:t>
      </w:r>
      <w:r>
        <w:rPr>
          <w:sz w:val="20"/>
          <w:szCs w:val="20"/>
          <w:color w:val="auto"/>
        </w:rPr>
        <w:tab/>
      </w:r>
      <w:r>
        <w:rPr>
          <w:rFonts w:ascii="Arial" w:cs="Arial" w:eastAsia="Arial" w:hAnsi="Arial"/>
          <w:sz w:val="13"/>
          <w:szCs w:val="13"/>
          <w:b w:val="1"/>
          <w:bCs w:val="1"/>
          <w:color w:val="auto"/>
        </w:rPr>
        <w:t>2017 Incentive Award 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66675</wp:posOffset>
            </wp:positionV>
            <wp:extent cx="7014845" cy="4203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14845" cy="42037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p>
      <w:pPr>
        <w:spacing w:after="0" w:line="127" w:lineRule="exact"/>
        <w:rPr>
          <w:sz w:val="20"/>
          <w:szCs w:val="20"/>
          <w:color w:val="auto"/>
        </w:rPr>
      </w:pPr>
    </w:p>
    <w:p>
      <w:pPr>
        <w:ind w:left="220"/>
        <w:spacing w:after="0"/>
        <w:tabs>
          <w:tab w:leader="none" w:pos="2320" w:val="left"/>
        </w:tabs>
        <w:rPr>
          <w:sz w:val="20"/>
          <w:szCs w:val="20"/>
          <w:color w:val="auto"/>
        </w:rPr>
      </w:pPr>
      <w:r>
        <w:rPr>
          <w:rFonts w:ascii="Arial" w:cs="Arial" w:eastAsia="Arial" w:hAnsi="Arial"/>
          <w:sz w:val="14"/>
          <w:szCs w:val="14"/>
          <w:color w:val="auto"/>
        </w:rPr>
        <w:t>Mr. Johnson</w:t>
      </w:r>
      <w:r>
        <w:rPr>
          <w:sz w:val="20"/>
          <w:szCs w:val="20"/>
          <w:color w:val="auto"/>
        </w:rPr>
        <w:tab/>
      </w:r>
      <w:r>
        <w:rPr>
          <w:rFonts w:ascii="Arial" w:cs="Arial" w:eastAsia="Arial" w:hAnsi="Arial"/>
          <w:sz w:val="12"/>
          <w:szCs w:val="12"/>
          <w:color w:val="auto"/>
        </w:rPr>
        <w:t>$600,000 (100% of base salary)</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3940" w:type="dxa"/>
            <w:vAlign w:val="bottom"/>
          </w:tcPr>
          <w:p>
            <w:pPr>
              <w:spacing w:after="0"/>
              <w:rPr>
                <w:sz w:val="20"/>
                <w:szCs w:val="20"/>
                <w:color w:val="auto"/>
              </w:rPr>
            </w:pPr>
            <w:r>
              <w:rPr>
                <w:rFonts w:ascii="Arial" w:cs="Arial" w:eastAsia="Arial" w:hAnsi="Arial"/>
                <w:sz w:val="14"/>
                <w:szCs w:val="14"/>
                <w:color w:val="auto"/>
                <w:w w:val="99"/>
              </w:rPr>
              <w:t>Financial and operational performance of our EchoStar Satellite</w:t>
            </w:r>
          </w:p>
        </w:tc>
        <w:tc>
          <w:tcPr>
            <w:tcW w:w="780" w:type="dxa"/>
            <w:vAlign w:val="bottom"/>
          </w:tcPr>
          <w:p>
            <w:pPr>
              <w:jc w:val="right"/>
              <w:spacing w:after="0"/>
              <w:rPr>
                <w:sz w:val="20"/>
                <w:szCs w:val="20"/>
                <w:color w:val="auto"/>
              </w:rPr>
            </w:pPr>
            <w:r>
              <w:rPr>
                <w:rFonts w:ascii="Arial" w:cs="Arial" w:eastAsia="Arial" w:hAnsi="Arial"/>
                <w:sz w:val="14"/>
                <w:szCs w:val="14"/>
                <w:color w:val="auto"/>
              </w:rPr>
              <w:t>$480,000</w:t>
            </w:r>
          </w:p>
        </w:tc>
      </w:tr>
    </w:tbl>
    <w:p>
      <w:pPr>
        <w:ind w:right="2900"/>
        <w:spacing w:after="0" w:line="232" w:lineRule="auto"/>
        <w:rPr>
          <w:sz w:val="20"/>
          <w:szCs w:val="20"/>
          <w:color w:val="auto"/>
        </w:rPr>
      </w:pPr>
      <w:r>
        <w:rPr>
          <w:rFonts w:ascii="Arial" w:cs="Arial" w:eastAsia="Arial" w:hAnsi="Arial"/>
          <w:sz w:val="14"/>
          <w:szCs w:val="14"/>
          <w:color w:val="auto"/>
        </w:rPr>
        <w:t>Services (“ESS”) business segment, including EBITDA, revenue and satellite launches, compliance and regulatory matters, as well as subjective factors regarding ESS activities.</w:t>
      </w:r>
    </w:p>
    <w:p>
      <w:pPr>
        <w:spacing w:after="0" w:line="20" w:lineRule="exact"/>
        <w:rPr>
          <w:sz w:val="20"/>
          <w:szCs w:val="20"/>
          <w:color w:val="auto"/>
        </w:rPr>
      </w:pPr>
    </w:p>
    <w:p>
      <w:pPr>
        <w:sectPr>
          <w:pgSz w:w="11900" w:h="16838" w:orient="portrait"/>
          <w:cols w:equalWidth="0" w:num="2">
            <w:col w:w="4180" w:space="360"/>
            <w:col w:w="6880"/>
          </w:cols>
          <w:pgMar w:left="240" w:top="368" w:right="239" w:bottom="1440" w:gutter="0" w:footer="0" w:header="0"/>
          <w:type w:val="continuous"/>
        </w:sectPr>
      </w:pPr>
    </w:p>
    <w:p>
      <w:pPr>
        <w:spacing w:after="0" w:line="1" w:lineRule="exact"/>
        <w:rPr>
          <w:sz w:val="20"/>
          <w:szCs w:val="20"/>
          <w:color w:val="auto"/>
        </w:rPr>
      </w:pPr>
    </w:p>
    <w:p>
      <w:pPr>
        <w:ind w:left="220"/>
        <w:spacing w:after="0"/>
        <w:tabs>
          <w:tab w:leader="none" w:pos="2320" w:val="left"/>
        </w:tabs>
        <w:rPr>
          <w:sz w:val="20"/>
          <w:szCs w:val="20"/>
          <w:color w:val="auto"/>
        </w:rPr>
      </w:pPr>
      <w:r>
        <w:rPr>
          <w:rFonts w:ascii="Arial" w:cs="Arial" w:eastAsia="Arial" w:hAnsi="Arial"/>
          <w:sz w:val="14"/>
          <w:szCs w:val="14"/>
          <w:color w:val="auto"/>
        </w:rPr>
        <w:t>Mr. Kaul</w:t>
      </w:r>
      <w:r>
        <w:rPr>
          <w:sz w:val="20"/>
          <w:szCs w:val="20"/>
          <w:color w:val="auto"/>
        </w:rPr>
        <w:tab/>
      </w:r>
      <w:r>
        <w:rPr>
          <w:rFonts w:ascii="Arial" w:cs="Arial" w:eastAsia="Arial" w:hAnsi="Arial"/>
          <w:sz w:val="12"/>
          <w:szCs w:val="12"/>
          <w:color w:val="auto"/>
        </w:rPr>
        <w:t>$800,000 (100% of base salary)</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20"/>
                <w:szCs w:val="20"/>
                <w:color w:val="auto"/>
              </w:rPr>
            </w:pPr>
            <w:r>
              <w:rPr>
                <w:rFonts w:ascii="Arial" w:cs="Arial" w:eastAsia="Arial" w:hAnsi="Arial"/>
                <w:sz w:val="14"/>
                <w:szCs w:val="14"/>
                <w:color w:val="auto"/>
                <w:w w:val="99"/>
              </w:rPr>
              <w:t>Financial and operational performance of our Hughes business</w:t>
            </w:r>
          </w:p>
        </w:tc>
        <w:tc>
          <w:tcPr>
            <w:tcW w:w="820" w:type="dxa"/>
            <w:vAlign w:val="bottom"/>
          </w:tcPr>
          <w:p>
            <w:pPr>
              <w:jc w:val="right"/>
              <w:spacing w:after="0"/>
              <w:rPr>
                <w:sz w:val="20"/>
                <w:szCs w:val="20"/>
                <w:color w:val="auto"/>
              </w:rPr>
            </w:pPr>
            <w:r>
              <w:rPr>
                <w:rFonts w:ascii="Arial" w:cs="Arial" w:eastAsia="Arial" w:hAnsi="Arial"/>
                <w:sz w:val="14"/>
                <w:szCs w:val="14"/>
                <w:color w:val="auto"/>
              </w:rPr>
              <w:t>$696,000</w:t>
            </w:r>
          </w:p>
        </w:tc>
      </w:tr>
    </w:tbl>
    <w:p>
      <w:pPr>
        <w:ind w:right="3080"/>
        <w:spacing w:after="0" w:line="229" w:lineRule="auto"/>
        <w:rPr>
          <w:sz w:val="20"/>
          <w:szCs w:val="20"/>
          <w:color w:val="auto"/>
        </w:rPr>
      </w:pPr>
      <w:r>
        <w:rPr>
          <w:rFonts w:ascii="Arial" w:cs="Arial" w:eastAsia="Arial" w:hAnsi="Arial"/>
          <w:sz w:val="14"/>
          <w:szCs w:val="14"/>
          <w:color w:val="auto"/>
        </w:rPr>
        <w:t>segment, including EBITDA, revenue, consumer subscriber performance, employee performance and other compliance and regulatory matters, as well as subjective factors regarding Hughes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-2757170</wp:posOffset>
            </wp:positionH>
            <wp:positionV relativeFrom="paragraph">
              <wp:posOffset>8890</wp:posOffset>
            </wp:positionV>
            <wp:extent cx="7014845" cy="2228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014845" cy="222885"/>
                    </a:xfrm>
                    <a:prstGeom prst="rect">
                      <a:avLst/>
                    </a:prstGeom>
                    <a:noFill/>
                  </pic:spPr>
                </pic:pic>
              </a:graphicData>
            </a:graphic>
          </wp:anchor>
        </w:drawing>
      </w:r>
    </w:p>
    <w:p>
      <w:pPr>
        <w:spacing w:after="0" w:line="9" w:lineRule="exact"/>
        <w:rPr>
          <w:sz w:val="20"/>
          <w:szCs w:val="20"/>
          <w:color w:val="auto"/>
        </w:rPr>
      </w:pPr>
    </w:p>
    <w:p>
      <w:pPr>
        <w:sectPr>
          <w:pgSz w:w="11900" w:h="16838" w:orient="portrait"/>
          <w:cols w:equalWidth="0" w:num="2">
            <w:col w:w="4180" w:space="360"/>
            <w:col w:w="6880"/>
          </w:cols>
          <w:pgMar w:left="240" w:top="368" w:right="239" w:bottom="1440" w:gutter="0" w:footer="0" w:header="0"/>
          <w:type w:val="continuous"/>
        </w:sectPr>
      </w:pPr>
    </w:p>
    <w:p>
      <w:pPr>
        <w:spacing w:after="0" w:line="13" w:lineRule="exact"/>
        <w:rPr>
          <w:sz w:val="20"/>
          <w:szCs w:val="20"/>
          <w:color w:val="auto"/>
        </w:rPr>
      </w:pPr>
    </w:p>
    <w:p>
      <w:pPr>
        <w:ind w:left="220"/>
        <w:spacing w:after="0"/>
        <w:tabs>
          <w:tab w:leader="none" w:pos="2320" w:val="left"/>
        </w:tabs>
        <w:rPr>
          <w:sz w:val="20"/>
          <w:szCs w:val="20"/>
          <w:color w:val="auto"/>
        </w:rPr>
      </w:pPr>
      <w:r>
        <w:rPr>
          <w:rFonts w:ascii="Arial" w:cs="Arial" w:eastAsia="Arial" w:hAnsi="Arial"/>
          <w:sz w:val="14"/>
          <w:szCs w:val="14"/>
          <w:color w:val="auto"/>
        </w:rPr>
        <w:t>Mr. Rayner</w:t>
      </w:r>
      <w:r>
        <w:rPr>
          <w:sz w:val="20"/>
          <w:szCs w:val="20"/>
          <w:color w:val="auto"/>
        </w:rPr>
        <w:tab/>
      </w:r>
      <w:r>
        <w:rPr>
          <w:rFonts w:ascii="Arial" w:cs="Arial" w:eastAsia="Arial" w:hAnsi="Arial"/>
          <w:sz w:val="12"/>
          <w:szCs w:val="12"/>
          <w:color w:val="auto"/>
        </w:rPr>
        <w:t>$360,000 (60% of base salary)</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3960" w:type="dxa"/>
            <w:vAlign w:val="bottom"/>
          </w:tcPr>
          <w:p>
            <w:pPr>
              <w:spacing w:after="0"/>
              <w:rPr>
                <w:sz w:val="20"/>
                <w:szCs w:val="20"/>
                <w:color w:val="auto"/>
              </w:rPr>
            </w:pPr>
            <w:r>
              <w:rPr>
                <w:rFonts w:ascii="Arial" w:cs="Arial" w:eastAsia="Arial" w:hAnsi="Arial"/>
                <w:sz w:val="14"/>
                <w:szCs w:val="14"/>
                <w:color w:val="auto"/>
              </w:rPr>
              <w:t>Combination of financial and operational performance of the</w:t>
            </w:r>
          </w:p>
        </w:tc>
        <w:tc>
          <w:tcPr>
            <w:tcW w:w="760" w:type="dxa"/>
            <w:vAlign w:val="bottom"/>
          </w:tcPr>
          <w:p>
            <w:pPr>
              <w:jc w:val="right"/>
              <w:spacing w:after="0"/>
              <w:rPr>
                <w:sz w:val="20"/>
                <w:szCs w:val="20"/>
                <w:color w:val="auto"/>
              </w:rPr>
            </w:pPr>
            <w:r>
              <w:rPr>
                <w:rFonts w:ascii="Arial" w:cs="Arial" w:eastAsia="Arial" w:hAnsi="Arial"/>
                <w:sz w:val="14"/>
                <w:szCs w:val="14"/>
                <w:color w:val="auto"/>
              </w:rPr>
              <w:t>$306,000</w:t>
            </w:r>
          </w:p>
        </w:tc>
      </w:tr>
      <w:tr>
        <w:trPr>
          <w:trHeight w:val="182"/>
        </w:trPr>
        <w:tc>
          <w:tcPr>
            <w:tcW w:w="3960" w:type="dxa"/>
            <w:vAlign w:val="bottom"/>
          </w:tcPr>
          <w:p>
            <w:pPr>
              <w:spacing w:after="0"/>
              <w:rPr>
                <w:sz w:val="20"/>
                <w:szCs w:val="20"/>
                <w:color w:val="auto"/>
              </w:rPr>
            </w:pPr>
            <w:r>
              <w:rPr>
                <w:rFonts w:ascii="Arial" w:cs="Arial" w:eastAsia="Arial" w:hAnsi="Arial"/>
                <w:sz w:val="14"/>
                <w:szCs w:val="14"/>
                <w:color w:val="auto"/>
                <w:w w:val="96"/>
              </w:rPr>
              <w:t>Corporation overall and our Hughes and ESS business segments.</w:t>
            </w:r>
          </w:p>
        </w:tc>
        <w:tc>
          <w:tcPr>
            <w:tcW w:w="760" w:type="dxa"/>
            <w:vAlign w:val="bottom"/>
          </w:tcPr>
          <w:p>
            <w:pPr>
              <w:spacing w:after="0"/>
              <w:rPr>
                <w:sz w:val="15"/>
                <w:szCs w:val="15"/>
                <w:color w:val="auto"/>
              </w:rPr>
            </w:pPr>
          </w:p>
        </w:tc>
      </w:tr>
    </w:tbl>
    <w:p>
      <w:pPr>
        <w:spacing w:after="0" w:line="200" w:lineRule="exact"/>
        <w:rPr>
          <w:sz w:val="20"/>
          <w:szCs w:val="20"/>
          <w:color w:val="auto"/>
        </w:rPr>
      </w:pPr>
    </w:p>
    <w:p>
      <w:pPr>
        <w:sectPr>
          <w:pgSz w:w="11900" w:h="16838" w:orient="portrait"/>
          <w:cols w:equalWidth="0" w:num="2">
            <w:col w:w="4100" w:space="440"/>
            <w:col w:w="6880"/>
          </w:cols>
          <w:pgMar w:left="240" w:top="368" w:right="239" w:bottom="1440" w:gutter="0" w:footer="0" w:header="0"/>
          <w:type w:val="continuous"/>
        </w:sectPr>
      </w:pPr>
    </w:p>
    <w:p>
      <w:pPr>
        <w:spacing w:after="0"/>
        <w:rPr>
          <w:sz w:val="20"/>
          <w:szCs w:val="20"/>
          <w:color w:val="auto"/>
        </w:rPr>
      </w:pPr>
      <w:r>
        <w:rPr>
          <w:rFonts w:ascii="Arial" w:cs="Arial" w:eastAsia="Arial" w:hAnsi="Arial"/>
          <w:sz w:val="18"/>
          <w:szCs w:val="18"/>
          <w:color w:val="auto"/>
        </w:rPr>
        <w:t>See “Summary Compensation Table” below.</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368" w:right="239" w:bottom="1440" w:gutter="0" w:footer="0" w:header="0"/>
          <w:type w:val="continuous"/>
        </w:sectPr>
      </w:pPr>
    </w:p>
    <w:bookmarkStart w:id="26" w:name="page27"/>
    <w:bookmarkEnd w:id="26"/>
    <w:p>
      <w:pPr>
        <w:jc w:val="both"/>
        <w:spacing w:after="0" w:line="276" w:lineRule="auto"/>
        <w:rPr>
          <w:sz w:val="20"/>
          <w:szCs w:val="20"/>
          <w:color w:val="auto"/>
        </w:rPr>
      </w:pPr>
      <w:r>
        <w:rPr>
          <w:rFonts w:ascii="Arial" w:cs="Arial" w:eastAsia="Arial" w:hAnsi="Arial"/>
          <w:sz w:val="16"/>
          <w:szCs w:val="16"/>
          <w:i w:val="1"/>
          <w:iCs w:val="1"/>
          <w:color w:val="auto"/>
        </w:rPr>
        <w:t xml:space="preserve">2017 Equity Incentives. </w:t>
      </w:r>
      <w:r>
        <w:rPr>
          <w:rFonts w:ascii="Arial" w:cs="Arial" w:eastAsia="Arial" w:hAnsi="Arial"/>
          <w:sz w:val="16"/>
          <w:szCs w:val="16"/>
          <w:color w:val="auto"/>
        </w:rPr>
        <w:t>With respect to equity incentives, we primarily evaluate the position of each of our other NEOs to determine whether each NEO has</w:t>
      </w:r>
      <w:r>
        <w:rPr>
          <w:rFonts w:ascii="Arial" w:cs="Arial" w:eastAsia="Arial" w:hAnsi="Arial"/>
          <w:sz w:val="16"/>
          <w:szCs w:val="16"/>
          <w:i w:val="1"/>
          <w:iCs w:val="1"/>
          <w:color w:val="auto"/>
        </w:rPr>
        <w:t xml:space="preserve"> </w:t>
      </w:r>
      <w:r>
        <w:rPr>
          <w:rFonts w:ascii="Arial" w:cs="Arial" w:eastAsia="Arial" w:hAnsi="Arial"/>
          <w:sz w:val="16"/>
          <w:szCs w:val="16"/>
          <w:color w:val="auto"/>
        </w:rPr>
        <w:t>appropriate incentives tied to the performance of our Class A Shares. These determinations are made by the Compensation Committee primarily on the basis of Messrs. Ergen’s and Dugan’s subjective recommendations. Taking into account, among other things, the factors described in “General Compensation Levels” above, including, among other things, the equity awards appropriate to retain, motivate and reward each of our other NEOs, the value of each of their existing equity awards and whether any of them is entitled to severance payments, Messrs. Dugan and Ergen did not recommend and the Compensation Committee did not make any equity incentive awards to any of our other NEOs in 2017. See “Grants of Plan-Based Awards” below.</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Assessment</w:t>
      </w:r>
    </w:p>
    <w:p>
      <w:pPr>
        <w:spacing w:after="0" w:line="20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believe that our compensation programs and practices, which consist primarily of fixed cash salary and cash and equity incentive awards, assist in our efforts to mitigate excessive risk-taking by our employees. We annually review the cash and equity incentive programs for the Corporation’s senior officers, including our executive officers, who are the employees whose actions could expose the Corporation to the most significant business risks. We concluded that certain features of these programs tend to reduce the likelihood of excessive risk-taking. These features include a balance of compensation that is designed to promote the Corporation’s goals and create shareholder value by aligning the interests of management and shareholders through equity and cash incentives, thus reducing the incentive to take risks that are not consistent with the Corporation’s goals, and the Compensation Committee and Board of Directors’ ongoing oversight to ensure the Corporation’s compensation programs and practices appropriately balance the interests of employees and shareholders.</w:t>
      </w:r>
    </w:p>
    <w:p>
      <w:pPr>
        <w:spacing w:after="0" w:line="18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For the foregoing reasons, the Board of Directors believes that the Corporation’s compensation policies and practices do not create risks that are reasonably likely to have a material adverse effect on the Corporation.</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Report</w:t>
      </w:r>
    </w:p>
    <w:p>
      <w:pPr>
        <w:spacing w:after="0" w:line="20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Compensation Committee is appointed by the Board of Directors to discharge certain of the Board of Directors’ responsibilities relating to compensation of EchoStar’s executive officers.</w:t>
      </w:r>
    </w:p>
    <w:p>
      <w:pPr>
        <w:spacing w:after="0" w:line="15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Based on the review of the Compensation Discussion and Analysis and discussions with management, the Compensation Committee recommended to the Board of Directors that the Compensation Discussion and Analysis be included in this Proxy Statement.</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Compensation Committee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Tom A. Ortolf (Chairman)</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C. Michael Schroeder</w:t>
      </w:r>
    </w:p>
    <w:p>
      <w:pPr>
        <w:spacing w:after="0"/>
        <w:rPr>
          <w:sz w:val="20"/>
          <w:szCs w:val="20"/>
          <w:color w:val="auto"/>
        </w:rPr>
      </w:pPr>
      <w:r>
        <w:rPr>
          <w:rFonts w:ascii="Arial" w:cs="Arial" w:eastAsia="Arial" w:hAnsi="Arial"/>
          <w:sz w:val="18"/>
          <w:szCs w:val="18"/>
          <w:color w:val="auto"/>
        </w:rPr>
        <w:t>Anthony M. Federico</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368"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Executive Compensation Tables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Compensation Table</w:t>
      </w:r>
    </w:p>
    <w:p>
      <w:pPr>
        <w:spacing w:after="0" w:line="198"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Our executive officers are compensated by certain of our subsidiaries. The following table sets forth the cash and noncash compensation earned by each NEO for the fiscal years ended December 31, 2017, 2016 and 2015.</w:t>
      </w:r>
    </w:p>
    <w:p>
      <w:pPr>
        <w:sectPr>
          <w:pgSz w:w="11900" w:h="16838" w:orient="portrait"/>
          <w:cols w:equalWidth="0" w:num="1">
            <w:col w:w="11420"/>
          </w:cols>
          <w:pgMar w:left="240" w:top="567" w:right="239" w:bottom="1440" w:gutter="0" w:footer="0" w:header="0"/>
        </w:sectPr>
      </w:pPr>
    </w:p>
    <w:p>
      <w:pPr>
        <w:spacing w:after="0" w:line="200" w:lineRule="exact"/>
        <w:rPr>
          <w:sz w:val="20"/>
          <w:szCs w:val="20"/>
          <w:color w:val="auto"/>
        </w:rPr>
      </w:pPr>
    </w:p>
    <w:p>
      <w:pPr>
        <w:spacing w:after="0" w:line="272" w:lineRule="exact"/>
        <w:rPr>
          <w:sz w:val="20"/>
          <w:szCs w:val="20"/>
          <w:color w:val="auto"/>
        </w:rPr>
      </w:pPr>
    </w:p>
    <w:p>
      <w:pPr>
        <w:jc w:val="center"/>
        <w:ind w:left="60"/>
        <w:spacing w:after="0"/>
        <w:rPr>
          <w:sz w:val="20"/>
          <w:szCs w:val="20"/>
          <w:color w:val="auto"/>
        </w:rPr>
      </w:pPr>
      <w:r>
        <w:rPr>
          <w:rFonts w:ascii="Arial" w:cs="Arial" w:eastAsia="Arial" w:hAnsi="Arial"/>
          <w:sz w:val="14"/>
          <w:szCs w:val="14"/>
          <w:b w:val="1"/>
          <w:bCs w:val="1"/>
          <w:color w:val="auto"/>
        </w:rPr>
        <w:t>Name and Principal</w:t>
      </w:r>
    </w:p>
    <w:p>
      <w:pPr>
        <w:spacing w:after="0" w:line="4" w:lineRule="exact"/>
        <w:rPr>
          <w:sz w:val="20"/>
          <w:szCs w:val="20"/>
          <w:color w:val="auto"/>
        </w:rPr>
      </w:pPr>
    </w:p>
    <w:p>
      <w:pPr>
        <w:jc w:val="center"/>
        <w:ind w:left="60"/>
        <w:spacing w:after="0"/>
        <w:rPr>
          <w:sz w:val="20"/>
          <w:szCs w:val="20"/>
          <w:color w:val="auto"/>
        </w:rPr>
      </w:pPr>
      <w:r>
        <w:rPr>
          <w:rFonts w:ascii="Arial" w:cs="Arial" w:eastAsia="Arial" w:hAnsi="Arial"/>
          <w:sz w:val="14"/>
          <w:szCs w:val="14"/>
          <w:b w:val="1"/>
          <w:bCs w:val="1"/>
          <w:color w:val="auto"/>
        </w:rPr>
        <w:t>Position</w:t>
      </w: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Arial" w:cs="Arial" w:eastAsia="Arial" w:hAnsi="Arial"/>
          <w:sz w:val="14"/>
          <w:szCs w:val="14"/>
          <w:color w:val="auto"/>
        </w:rPr>
        <w:t>Michael T. Dugan (6)</w:t>
      </w:r>
    </w:p>
    <w:p>
      <w:pPr>
        <w:spacing w:after="0" w:line="42" w:lineRule="exact"/>
        <w:rPr>
          <w:sz w:val="20"/>
          <w:szCs w:val="20"/>
          <w:color w:val="auto"/>
        </w:rPr>
      </w:pPr>
    </w:p>
    <w:p>
      <w:pPr>
        <w:ind w:left="40" w:right="120"/>
        <w:spacing w:after="0" w:line="253" w:lineRule="auto"/>
        <w:rPr>
          <w:sz w:val="20"/>
          <w:szCs w:val="20"/>
          <w:color w:val="auto"/>
        </w:rPr>
      </w:pPr>
      <w:r>
        <w:rPr>
          <w:rFonts w:ascii="Arial" w:cs="Arial" w:eastAsia="Arial" w:hAnsi="Arial"/>
          <w:sz w:val="14"/>
          <w:szCs w:val="14"/>
          <w:i w:val="1"/>
          <w:iCs w:val="1"/>
          <w:color w:val="auto"/>
        </w:rPr>
        <w:t>Chief Executive Officer and President</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40"/>
        <w:spacing w:after="0"/>
        <w:rPr>
          <w:sz w:val="20"/>
          <w:szCs w:val="20"/>
          <w:color w:val="auto"/>
        </w:rPr>
      </w:pPr>
      <w:r>
        <w:rPr>
          <w:rFonts w:ascii="Arial" w:cs="Arial" w:eastAsia="Arial" w:hAnsi="Arial"/>
          <w:sz w:val="14"/>
          <w:szCs w:val="14"/>
          <w:color w:val="auto"/>
        </w:rPr>
        <w:t>Charles W. Ergen (7)</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i w:val="1"/>
          <w:iCs w:val="1"/>
          <w:color w:val="auto"/>
        </w:rPr>
        <w:t>Chairman</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Arial" w:cs="Arial" w:eastAsia="Arial" w:hAnsi="Arial"/>
          <w:sz w:val="14"/>
          <w:szCs w:val="14"/>
          <w:color w:val="auto"/>
        </w:rPr>
        <w:t>Anders N. Johnson (8)</w:t>
      </w:r>
    </w:p>
    <w:p>
      <w:pPr>
        <w:spacing w:after="0" w:line="42" w:lineRule="exact"/>
        <w:rPr>
          <w:sz w:val="20"/>
          <w:szCs w:val="20"/>
          <w:color w:val="auto"/>
        </w:rPr>
      </w:pPr>
    </w:p>
    <w:p>
      <w:pPr>
        <w:ind w:left="40" w:right="60"/>
        <w:spacing w:after="0" w:line="296" w:lineRule="auto"/>
        <w:rPr>
          <w:sz w:val="20"/>
          <w:szCs w:val="20"/>
          <w:color w:val="auto"/>
        </w:rPr>
      </w:pPr>
      <w:r>
        <w:rPr>
          <w:rFonts w:ascii="Arial" w:cs="Arial" w:eastAsia="Arial" w:hAnsi="Arial"/>
          <w:sz w:val="12"/>
          <w:szCs w:val="12"/>
          <w:i w:val="1"/>
          <w:iCs w:val="1"/>
          <w:color w:val="auto"/>
        </w:rPr>
        <w:t>Chief Strategy Officer and President, EchoStar Satellite Services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40"/>
        <w:spacing w:after="0"/>
        <w:rPr>
          <w:sz w:val="20"/>
          <w:szCs w:val="20"/>
          <w:color w:val="auto"/>
        </w:rPr>
      </w:pPr>
      <w:r>
        <w:rPr>
          <w:rFonts w:ascii="Arial" w:cs="Arial" w:eastAsia="Arial" w:hAnsi="Arial"/>
          <w:sz w:val="14"/>
          <w:szCs w:val="14"/>
          <w:color w:val="auto"/>
        </w:rPr>
        <w:t>Pradman P. Kaul (9)</w:t>
      </w:r>
    </w:p>
    <w:p>
      <w:pPr>
        <w:spacing w:after="0" w:line="42" w:lineRule="exact"/>
        <w:rPr>
          <w:sz w:val="20"/>
          <w:szCs w:val="20"/>
          <w:color w:val="auto"/>
        </w:rPr>
      </w:pPr>
    </w:p>
    <w:p>
      <w:pPr>
        <w:ind w:left="40" w:right="200"/>
        <w:spacing w:after="0" w:line="291" w:lineRule="auto"/>
        <w:rPr>
          <w:sz w:val="20"/>
          <w:szCs w:val="20"/>
          <w:color w:val="auto"/>
        </w:rPr>
      </w:pPr>
      <w:r>
        <w:rPr>
          <w:rFonts w:ascii="Arial" w:cs="Arial" w:eastAsia="Arial" w:hAnsi="Arial"/>
          <w:sz w:val="13"/>
          <w:szCs w:val="13"/>
          <w:i w:val="1"/>
          <w:iCs w:val="1"/>
          <w:color w:val="auto"/>
        </w:rPr>
        <w:t>President, Hughes Communications, Inc.</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40"/>
        <w:spacing w:after="0"/>
        <w:rPr>
          <w:sz w:val="20"/>
          <w:szCs w:val="20"/>
          <w:color w:val="auto"/>
        </w:rPr>
      </w:pPr>
      <w:r>
        <w:rPr>
          <w:rFonts w:ascii="Arial" w:cs="Arial" w:eastAsia="Arial" w:hAnsi="Arial"/>
          <w:sz w:val="14"/>
          <w:szCs w:val="14"/>
          <w:color w:val="auto"/>
        </w:rPr>
        <w:t>David J. Rayner (10)</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2"/>
          <w:szCs w:val="12"/>
          <w:i w:val="1"/>
          <w:iCs w:val="1"/>
          <w:color w:val="auto"/>
        </w:rPr>
        <w:t>Executive Vice President,</w:t>
      </w:r>
    </w:p>
    <w:p>
      <w:pPr>
        <w:spacing w:after="0" w:line="23" w:lineRule="exact"/>
        <w:rPr>
          <w:sz w:val="20"/>
          <w:szCs w:val="20"/>
          <w:color w:val="auto"/>
        </w:rPr>
      </w:pPr>
    </w:p>
    <w:p>
      <w:pPr>
        <w:ind w:left="40" w:right="540"/>
        <w:spacing w:after="0" w:line="237" w:lineRule="auto"/>
        <w:rPr>
          <w:sz w:val="20"/>
          <w:szCs w:val="20"/>
          <w:color w:val="auto"/>
        </w:rPr>
      </w:pPr>
      <w:r>
        <w:rPr>
          <w:rFonts w:ascii="Arial" w:cs="Arial" w:eastAsia="Arial" w:hAnsi="Arial"/>
          <w:sz w:val="14"/>
          <w:szCs w:val="14"/>
          <w:i w:val="1"/>
          <w:iCs w:val="1"/>
          <w:color w:val="auto"/>
        </w:rPr>
        <w:t>CFO, COO and Treasurer</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Change in</w:t>
            </w: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6"/>
              </w:rPr>
              <w:t>Non-Equity</w:t>
            </w:r>
          </w:p>
        </w:tc>
        <w:tc>
          <w:tcPr>
            <w:tcW w:w="12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Pension Value</w:t>
            </w: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9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40" w:type="dxa"/>
            <w:vAlign w:val="bottom"/>
            <w:gridSpan w:val="2"/>
            <w:vMerge w:val="continue"/>
          </w:tcPr>
          <w:p>
            <w:pPr>
              <w:spacing w:after="0"/>
              <w:rPr>
                <w:sz w:val="5"/>
                <w:szCs w:val="5"/>
                <w:color w:val="auto"/>
              </w:rPr>
            </w:pPr>
          </w:p>
        </w:tc>
        <w:tc>
          <w:tcPr>
            <w:tcW w:w="1240" w:type="dxa"/>
            <w:vAlign w:val="bottom"/>
            <w:gridSpan w:val="2"/>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and Nonqualified</w:t>
            </w:r>
          </w:p>
        </w:tc>
        <w:tc>
          <w:tcPr>
            <w:tcW w:w="1240" w:type="dxa"/>
            <w:vAlign w:val="bottom"/>
            <w:gridSpan w:val="2"/>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rPr>
              <w:t>All Other</w:t>
            </w:r>
          </w:p>
        </w:tc>
        <w:tc>
          <w:tcPr>
            <w:tcW w:w="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980" w:type="dxa"/>
            <w:vAlign w:val="bottom"/>
            <w:gridSpan w:val="2"/>
            <w:vMerge w:val="restart"/>
          </w:tcPr>
          <w:p>
            <w:pPr>
              <w:ind w:left="240"/>
              <w:spacing w:after="0" w:line="149" w:lineRule="exact"/>
              <w:rPr>
                <w:sz w:val="20"/>
                <w:szCs w:val="20"/>
                <w:color w:val="auto"/>
              </w:rPr>
            </w:pPr>
            <w:r>
              <w:rPr>
                <w:rFonts w:ascii="Arial" w:cs="Arial" w:eastAsia="Arial" w:hAnsi="Arial"/>
                <w:sz w:val="14"/>
                <w:szCs w:val="14"/>
                <w:b w:val="1"/>
                <w:bCs w:val="1"/>
                <w:color w:val="auto"/>
              </w:rPr>
              <w:t>Salary</w:t>
            </w:r>
          </w:p>
        </w:tc>
        <w:tc>
          <w:tcPr>
            <w:tcW w:w="1020" w:type="dxa"/>
            <w:vAlign w:val="bottom"/>
            <w:gridSpan w:val="2"/>
            <w:vMerge w:val="restart"/>
          </w:tcPr>
          <w:p>
            <w:pPr>
              <w:ind w:left="260"/>
              <w:spacing w:after="0" w:line="149" w:lineRule="exact"/>
              <w:rPr>
                <w:sz w:val="20"/>
                <w:szCs w:val="20"/>
                <w:color w:val="auto"/>
              </w:rPr>
            </w:pPr>
            <w:r>
              <w:rPr>
                <w:rFonts w:ascii="Arial" w:cs="Arial" w:eastAsia="Arial" w:hAnsi="Arial"/>
                <w:sz w:val="14"/>
                <w:szCs w:val="14"/>
                <w:b w:val="1"/>
                <w:bCs w:val="1"/>
                <w:color w:val="auto"/>
              </w:rPr>
              <w:t>Bonus</w:t>
            </w:r>
          </w:p>
        </w:tc>
        <w:tc>
          <w:tcPr>
            <w:tcW w:w="1020" w:type="dxa"/>
            <w:vAlign w:val="bottom"/>
            <w:gridSpan w:val="2"/>
            <w:vMerge w:val="restart"/>
          </w:tcPr>
          <w:p>
            <w:pPr>
              <w:ind w:left="20"/>
              <w:spacing w:after="0" w:line="149" w:lineRule="exact"/>
              <w:rPr>
                <w:sz w:val="20"/>
                <w:szCs w:val="20"/>
                <w:color w:val="auto"/>
              </w:rPr>
            </w:pPr>
            <w:r>
              <w:rPr>
                <w:rFonts w:ascii="Arial" w:cs="Arial" w:eastAsia="Arial" w:hAnsi="Arial"/>
                <w:sz w:val="14"/>
                <w:szCs w:val="14"/>
                <w:b w:val="1"/>
                <w:bCs w:val="1"/>
                <w:color w:val="auto"/>
              </w:rPr>
              <w:t>Stock Awards</w:t>
            </w:r>
          </w:p>
        </w:tc>
        <w:tc>
          <w:tcPr>
            <w:tcW w:w="1160" w:type="dxa"/>
            <w:vAlign w:val="bottom"/>
            <w:gridSpan w:val="2"/>
            <w:vMerge w:val="restart"/>
          </w:tcPr>
          <w:p>
            <w:pPr>
              <w:ind w:left="60"/>
              <w:spacing w:after="0" w:line="149" w:lineRule="exact"/>
              <w:rPr>
                <w:sz w:val="20"/>
                <w:szCs w:val="20"/>
                <w:color w:val="auto"/>
              </w:rPr>
            </w:pPr>
            <w:r>
              <w:rPr>
                <w:rFonts w:ascii="Arial" w:cs="Arial" w:eastAsia="Arial" w:hAnsi="Arial"/>
                <w:sz w:val="14"/>
                <w:szCs w:val="14"/>
                <w:b w:val="1"/>
                <w:bCs w:val="1"/>
                <w:color w:val="auto"/>
              </w:rPr>
              <w:t>Option Awards</w:t>
            </w:r>
          </w:p>
        </w:tc>
        <w:tc>
          <w:tcPr>
            <w:tcW w:w="1340" w:type="dxa"/>
            <w:vAlign w:val="bottom"/>
            <w:gridSpan w:val="2"/>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Incentive Plan</w:t>
            </w:r>
          </w:p>
        </w:tc>
        <w:tc>
          <w:tcPr>
            <w:tcW w:w="1240" w:type="dxa"/>
            <w:vAlign w:val="bottom"/>
            <w:gridSpan w:val="2"/>
            <w:vMerge w:val="continue"/>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900" w:type="dxa"/>
            <w:vAlign w:val="bottom"/>
            <w:vMerge w:val="restart"/>
          </w:tcPr>
          <w:p>
            <w:pPr>
              <w:jc w:val="right"/>
              <w:ind w:right="228"/>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68"/>
        </w:trPr>
        <w:tc>
          <w:tcPr>
            <w:tcW w:w="860" w:type="dxa"/>
            <w:vAlign w:val="bottom"/>
            <w:gridSpan w:val="2"/>
            <w:vMerge w:val="restart"/>
          </w:tcPr>
          <w:p>
            <w:pPr>
              <w:ind w:left="240"/>
              <w:spacing w:after="0" w:line="149" w:lineRule="exact"/>
              <w:rPr>
                <w:sz w:val="20"/>
                <w:szCs w:val="20"/>
                <w:color w:val="auto"/>
              </w:rPr>
            </w:pPr>
            <w:r>
              <w:rPr>
                <w:rFonts w:ascii="Arial" w:cs="Arial" w:eastAsia="Arial" w:hAnsi="Arial"/>
                <w:sz w:val="14"/>
                <w:szCs w:val="14"/>
                <w:b w:val="1"/>
                <w:bCs w:val="1"/>
                <w:color w:val="auto"/>
              </w:rPr>
              <w:t>Year</w:t>
            </w:r>
          </w:p>
        </w:tc>
        <w:tc>
          <w:tcPr>
            <w:tcW w:w="980" w:type="dxa"/>
            <w:vAlign w:val="bottom"/>
            <w:gridSpan w:val="2"/>
            <w:vMerge w:val="continue"/>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1340" w:type="dxa"/>
            <w:vAlign w:val="bottom"/>
            <w:gridSpan w:val="2"/>
            <w:vMerge w:val="continue"/>
          </w:tcPr>
          <w:p>
            <w:pPr>
              <w:spacing w:after="0"/>
              <w:rPr>
                <w:sz w:val="5"/>
                <w:szCs w:val="5"/>
                <w:color w:val="auto"/>
              </w:rPr>
            </w:pPr>
          </w:p>
        </w:tc>
        <w:tc>
          <w:tcPr>
            <w:tcW w:w="1240" w:type="dxa"/>
            <w:vAlign w:val="bottom"/>
            <w:gridSpan w:val="2"/>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97"/>
              </w:rPr>
              <w:t>Deferred</w:t>
            </w:r>
          </w:p>
        </w:tc>
        <w:tc>
          <w:tcPr>
            <w:tcW w:w="1240" w:type="dxa"/>
            <w:vAlign w:val="bottom"/>
            <w:gridSpan w:val="2"/>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9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860" w:type="dxa"/>
            <w:vAlign w:val="bottom"/>
            <w:gridSpan w:val="2"/>
            <w:vMerge w:val="continue"/>
          </w:tcPr>
          <w:p>
            <w:pPr>
              <w:spacing w:after="0"/>
              <w:rPr>
                <w:sz w:val="7"/>
                <w:szCs w:val="7"/>
                <w:color w:val="auto"/>
              </w:rPr>
            </w:pPr>
          </w:p>
        </w:tc>
        <w:tc>
          <w:tcPr>
            <w:tcW w:w="880" w:type="dxa"/>
            <w:vAlign w:val="bottom"/>
            <w:vMerge w:val="restart"/>
          </w:tcPr>
          <w:p>
            <w:pPr>
              <w:jc w:val="right"/>
              <w:ind w:right="288"/>
              <w:spacing w:after="0" w:line="149"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7"/>
                <w:szCs w:val="7"/>
                <w:color w:val="auto"/>
              </w:rPr>
            </w:pPr>
          </w:p>
        </w:tc>
        <w:tc>
          <w:tcPr>
            <w:tcW w:w="920" w:type="dxa"/>
            <w:vAlign w:val="bottom"/>
            <w:vMerge w:val="restart"/>
          </w:tcPr>
          <w:p>
            <w:pPr>
              <w:ind w:left="280"/>
              <w:spacing w:after="0" w:line="149" w:lineRule="exact"/>
              <w:rPr>
                <w:sz w:val="20"/>
                <w:szCs w:val="20"/>
                <w:color w:val="auto"/>
              </w:rPr>
            </w:pPr>
            <w:r>
              <w:rPr>
                <w:rFonts w:ascii="Arial" w:cs="Arial" w:eastAsia="Arial" w:hAnsi="Arial"/>
                <w:sz w:val="14"/>
                <w:szCs w:val="14"/>
                <w:b w:val="1"/>
                <w:bCs w:val="1"/>
                <w:color w:val="auto"/>
              </w:rPr>
              <w:t>($) (1)</w:t>
            </w:r>
          </w:p>
        </w:tc>
        <w:tc>
          <w:tcPr>
            <w:tcW w:w="100" w:type="dxa"/>
            <w:vAlign w:val="bottom"/>
          </w:tcPr>
          <w:p>
            <w:pPr>
              <w:spacing w:after="0"/>
              <w:rPr>
                <w:sz w:val="7"/>
                <w:szCs w:val="7"/>
                <w:color w:val="auto"/>
              </w:rPr>
            </w:pPr>
          </w:p>
        </w:tc>
        <w:tc>
          <w:tcPr>
            <w:tcW w:w="900" w:type="dxa"/>
            <w:vAlign w:val="bottom"/>
            <w:vMerge w:val="restart"/>
          </w:tcPr>
          <w:p>
            <w:pPr>
              <w:jc w:val="right"/>
              <w:ind w:right="188"/>
              <w:spacing w:after="0" w:line="149" w:lineRule="exact"/>
              <w:rPr>
                <w:sz w:val="20"/>
                <w:szCs w:val="20"/>
                <w:color w:val="auto"/>
              </w:rPr>
            </w:pPr>
            <w:r>
              <w:rPr>
                <w:rFonts w:ascii="Arial" w:cs="Arial" w:eastAsia="Arial" w:hAnsi="Arial"/>
                <w:sz w:val="14"/>
                <w:szCs w:val="14"/>
                <w:b w:val="1"/>
                <w:bCs w:val="1"/>
                <w:color w:val="auto"/>
              </w:rPr>
              <w:t>($) (2)</w:t>
            </w:r>
          </w:p>
        </w:tc>
        <w:tc>
          <w:tcPr>
            <w:tcW w:w="120" w:type="dxa"/>
            <w:vAlign w:val="bottom"/>
          </w:tcPr>
          <w:p>
            <w:pPr>
              <w:spacing w:after="0"/>
              <w:rPr>
                <w:sz w:val="7"/>
                <w:szCs w:val="7"/>
                <w:color w:val="auto"/>
              </w:rPr>
            </w:pPr>
          </w:p>
        </w:tc>
        <w:tc>
          <w:tcPr>
            <w:tcW w:w="1060" w:type="dxa"/>
            <w:vAlign w:val="bottom"/>
            <w:vMerge w:val="restart"/>
          </w:tcPr>
          <w:p>
            <w:pPr>
              <w:jc w:val="right"/>
              <w:ind w:right="268"/>
              <w:spacing w:after="0" w:line="149" w:lineRule="exact"/>
              <w:rPr>
                <w:sz w:val="20"/>
                <w:szCs w:val="20"/>
                <w:color w:val="auto"/>
              </w:rPr>
            </w:pPr>
            <w:r>
              <w:rPr>
                <w:rFonts w:ascii="Arial" w:cs="Arial" w:eastAsia="Arial" w:hAnsi="Arial"/>
                <w:sz w:val="14"/>
                <w:szCs w:val="14"/>
                <w:b w:val="1"/>
                <w:bCs w:val="1"/>
                <w:color w:val="auto"/>
              </w:rPr>
              <w:t>($) (2)</w:t>
            </w:r>
          </w:p>
        </w:tc>
        <w:tc>
          <w:tcPr>
            <w:tcW w:w="100" w:type="dxa"/>
            <w:vAlign w:val="bottom"/>
          </w:tcPr>
          <w:p>
            <w:pPr>
              <w:spacing w:after="0"/>
              <w:rPr>
                <w:sz w:val="7"/>
                <w:szCs w:val="7"/>
                <w:color w:val="auto"/>
              </w:rPr>
            </w:pPr>
          </w:p>
        </w:tc>
        <w:tc>
          <w:tcPr>
            <w:tcW w:w="1340" w:type="dxa"/>
            <w:vAlign w:val="bottom"/>
            <w:gridSpan w:val="2"/>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1240" w:type="dxa"/>
            <w:vAlign w:val="bottom"/>
            <w:gridSpan w:val="2"/>
            <w:vMerge w:val="continue"/>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900" w:type="dxa"/>
            <w:vAlign w:val="bottom"/>
            <w:vMerge w:val="restart"/>
          </w:tcPr>
          <w:p>
            <w:pPr>
              <w:jc w:val="right"/>
              <w:ind w:right="288"/>
              <w:spacing w:after="0" w:line="149"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68"/>
        </w:trPr>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340" w:type="dxa"/>
            <w:vAlign w:val="bottom"/>
            <w:gridSpan w:val="2"/>
            <w:vMerge w:val="continue"/>
          </w:tcPr>
          <w:p>
            <w:pPr>
              <w:spacing w:after="0"/>
              <w:rPr>
                <w:sz w:val="5"/>
                <w:szCs w:val="5"/>
                <w:color w:val="auto"/>
              </w:rPr>
            </w:pPr>
          </w:p>
        </w:tc>
        <w:tc>
          <w:tcPr>
            <w:tcW w:w="1240" w:type="dxa"/>
            <w:vAlign w:val="bottom"/>
            <w:gridSpan w:val="2"/>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112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4"/>
              </w:rPr>
              <w:t>($) (5)</w:t>
            </w:r>
          </w:p>
        </w:tc>
        <w:tc>
          <w:tcPr>
            <w:tcW w:w="12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9"/>
              </w:rPr>
              <w:t>($) (3)</w:t>
            </w:r>
          </w:p>
        </w:tc>
        <w:tc>
          <w:tcPr>
            <w:tcW w:w="12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11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2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240" w:type="dxa"/>
            <w:vAlign w:val="bottom"/>
            <w:gridSpan w:val="2"/>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Earnings</w:t>
            </w:r>
          </w:p>
        </w:tc>
        <w:tc>
          <w:tcPr>
            <w:tcW w:w="1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3"/>
        </w:trPr>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2"/>
        </w:trPr>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 (4)</w:t>
            </w:r>
          </w:p>
        </w:tc>
        <w:tc>
          <w:tcPr>
            <w:tcW w:w="12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760" w:type="dxa"/>
            <w:vAlign w:val="bottom"/>
          </w:tcPr>
          <w:p>
            <w:pPr>
              <w:ind w:left="240"/>
              <w:spacing w:after="0"/>
              <w:rPr>
                <w:sz w:val="20"/>
                <w:szCs w:val="20"/>
                <w:color w:val="auto"/>
              </w:rPr>
            </w:pPr>
            <w:r>
              <w:rPr>
                <w:rFonts w:ascii="Arial" w:cs="Arial" w:eastAsia="Arial" w:hAnsi="Arial"/>
                <w:sz w:val="14"/>
                <w:szCs w:val="14"/>
                <w:color w:val="auto"/>
              </w:rPr>
              <w:t>2017</w:t>
            </w:r>
          </w:p>
        </w:tc>
        <w:tc>
          <w:tcPr>
            <w:tcW w:w="100" w:type="dxa"/>
            <w:vAlign w:val="bottom"/>
          </w:tcPr>
          <w:p>
            <w:pPr>
              <w:spacing w:after="0"/>
              <w:rPr>
                <w:sz w:val="21"/>
                <w:szCs w:val="21"/>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936,545</w:t>
            </w:r>
          </w:p>
        </w:tc>
        <w:tc>
          <w:tcPr>
            <w:tcW w:w="10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850,000</w:t>
            </w:r>
          </w:p>
        </w:tc>
        <w:tc>
          <w:tcPr>
            <w:tcW w:w="120" w:type="dxa"/>
            <w:vAlign w:val="bottom"/>
          </w:tcPr>
          <w:p>
            <w:pPr>
              <w:spacing w:after="0"/>
              <w:rPr>
                <w:sz w:val="21"/>
                <w:szCs w:val="21"/>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14,571</w:t>
            </w:r>
          </w:p>
        </w:tc>
        <w:tc>
          <w:tcPr>
            <w:tcW w:w="120" w:type="dxa"/>
            <w:vAlign w:val="bottom"/>
          </w:tcPr>
          <w:p>
            <w:pPr>
              <w:spacing w:after="0"/>
              <w:rPr>
                <w:sz w:val="21"/>
                <w:szCs w:val="21"/>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56,137</w:t>
            </w:r>
          </w:p>
        </w:tc>
        <w:tc>
          <w:tcPr>
            <w:tcW w:w="120" w:type="dxa"/>
            <w:vAlign w:val="bottom"/>
          </w:tcPr>
          <w:p>
            <w:pPr>
              <w:spacing w:after="0"/>
              <w:rPr>
                <w:sz w:val="21"/>
                <w:szCs w:val="21"/>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1,857,253</w:t>
            </w:r>
          </w:p>
        </w:tc>
        <w:tc>
          <w:tcPr>
            <w:tcW w:w="0" w:type="dxa"/>
            <w:vAlign w:val="bottom"/>
          </w:tcPr>
          <w:p>
            <w:pPr>
              <w:spacing w:after="0"/>
              <w:rPr>
                <w:sz w:val="1"/>
                <w:szCs w:val="1"/>
                <w:color w:val="auto"/>
              </w:rPr>
            </w:pPr>
          </w:p>
        </w:tc>
      </w:tr>
      <w:tr>
        <w:trPr>
          <w:trHeight w:val="270"/>
        </w:trPr>
        <w:tc>
          <w:tcPr>
            <w:tcW w:w="760" w:type="dxa"/>
            <w:vAlign w:val="bottom"/>
          </w:tcPr>
          <w:p>
            <w:pPr>
              <w:ind w:left="240"/>
              <w:spacing w:after="0"/>
              <w:rPr>
                <w:sz w:val="20"/>
                <w:szCs w:val="20"/>
                <w:color w:val="auto"/>
              </w:rPr>
            </w:pPr>
            <w:r>
              <w:rPr>
                <w:rFonts w:ascii="Arial" w:cs="Arial" w:eastAsia="Arial" w:hAnsi="Arial"/>
                <w:sz w:val="14"/>
                <w:szCs w:val="14"/>
                <w:color w:val="auto"/>
              </w:rPr>
              <w:t>2016</w:t>
            </w:r>
          </w:p>
        </w:tc>
        <w:tc>
          <w:tcPr>
            <w:tcW w:w="100" w:type="dxa"/>
            <w:vAlign w:val="bottom"/>
          </w:tcPr>
          <w:p>
            <w:pPr>
              <w:spacing w:after="0"/>
              <w:rPr>
                <w:sz w:val="23"/>
                <w:szCs w:val="23"/>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850,013</w:t>
            </w:r>
          </w:p>
        </w:tc>
        <w:tc>
          <w:tcPr>
            <w:tcW w:w="10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391</w:t>
            </w:r>
          </w:p>
        </w:tc>
        <w:tc>
          <w:tcPr>
            <w:tcW w:w="120" w:type="dxa"/>
            <w:vAlign w:val="bottom"/>
          </w:tcPr>
          <w:p>
            <w:pPr>
              <w:spacing w:after="0"/>
              <w:rPr>
                <w:sz w:val="23"/>
                <w:szCs w:val="23"/>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4,943</w:t>
            </w:r>
          </w:p>
        </w:tc>
        <w:tc>
          <w:tcPr>
            <w:tcW w:w="12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17,976</w:t>
            </w:r>
          </w:p>
        </w:tc>
        <w:tc>
          <w:tcPr>
            <w:tcW w:w="12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873,323</w:t>
            </w:r>
          </w:p>
        </w:tc>
        <w:tc>
          <w:tcPr>
            <w:tcW w:w="0" w:type="dxa"/>
            <w:vAlign w:val="bottom"/>
          </w:tcPr>
          <w:p>
            <w:pPr>
              <w:spacing w:after="0"/>
              <w:rPr>
                <w:sz w:val="1"/>
                <w:szCs w:val="1"/>
                <w:color w:val="auto"/>
              </w:rPr>
            </w:pPr>
          </w:p>
        </w:tc>
      </w:tr>
      <w:tr>
        <w:trPr>
          <w:trHeight w:val="351"/>
        </w:trPr>
        <w:tc>
          <w:tcPr>
            <w:tcW w:w="760" w:type="dxa"/>
            <w:vAlign w:val="bottom"/>
          </w:tcPr>
          <w:p>
            <w:pPr>
              <w:ind w:left="240"/>
              <w:spacing w:after="0"/>
              <w:rPr>
                <w:sz w:val="20"/>
                <w:szCs w:val="20"/>
                <w:color w:val="auto"/>
              </w:rPr>
            </w:pPr>
            <w:r>
              <w:rPr>
                <w:rFonts w:ascii="Arial" w:cs="Arial" w:eastAsia="Arial" w:hAnsi="Arial"/>
                <w:sz w:val="14"/>
                <w:szCs w:val="14"/>
                <w:color w:val="auto"/>
              </w:rPr>
              <w:t>2015</w:t>
            </w:r>
          </w:p>
        </w:tc>
        <w:tc>
          <w:tcPr>
            <w:tcW w:w="100" w:type="dxa"/>
            <w:vAlign w:val="bottom"/>
          </w:tcPr>
          <w:p>
            <w:pPr>
              <w:spacing w:after="0"/>
              <w:rPr>
                <w:sz w:val="24"/>
                <w:szCs w:val="24"/>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850,013</w:t>
            </w:r>
          </w:p>
        </w:tc>
        <w:tc>
          <w:tcPr>
            <w:tcW w:w="10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5,001,927</w:t>
            </w:r>
          </w:p>
        </w:tc>
        <w:tc>
          <w:tcPr>
            <w:tcW w:w="120" w:type="dxa"/>
            <w:vAlign w:val="bottom"/>
          </w:tcPr>
          <w:p>
            <w:pPr>
              <w:spacing w:after="0"/>
              <w:rPr>
                <w:sz w:val="24"/>
                <w:szCs w:val="24"/>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1,951</w:t>
            </w:r>
          </w:p>
        </w:tc>
        <w:tc>
          <w:tcPr>
            <w:tcW w:w="120" w:type="dxa"/>
            <w:vAlign w:val="bottom"/>
          </w:tcPr>
          <w:p>
            <w:pPr>
              <w:spacing w:after="0"/>
              <w:rPr>
                <w:sz w:val="24"/>
                <w:szCs w:val="24"/>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29,042</w:t>
            </w:r>
          </w:p>
        </w:tc>
        <w:tc>
          <w:tcPr>
            <w:tcW w:w="120" w:type="dxa"/>
            <w:vAlign w:val="bottom"/>
          </w:tcPr>
          <w:p>
            <w:pPr>
              <w:spacing w:after="0"/>
              <w:rPr>
                <w:sz w:val="24"/>
                <w:szCs w:val="24"/>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5,882,933</w:t>
            </w:r>
          </w:p>
        </w:tc>
        <w:tc>
          <w:tcPr>
            <w:tcW w:w="0" w:type="dxa"/>
            <w:vAlign w:val="bottom"/>
          </w:tcPr>
          <w:p>
            <w:pPr>
              <w:spacing w:after="0"/>
              <w:rPr>
                <w:sz w:val="1"/>
                <w:szCs w:val="1"/>
                <w:color w:val="auto"/>
              </w:rPr>
            </w:pPr>
          </w:p>
        </w:tc>
      </w:tr>
      <w:tr>
        <w:trPr>
          <w:trHeight w:val="594"/>
        </w:trPr>
        <w:tc>
          <w:tcPr>
            <w:tcW w:w="760" w:type="dxa"/>
            <w:vAlign w:val="bottom"/>
          </w:tcPr>
          <w:p>
            <w:pPr>
              <w:ind w:left="240"/>
              <w:spacing w:after="0"/>
              <w:rPr>
                <w:sz w:val="20"/>
                <w:szCs w:val="20"/>
                <w:color w:val="auto"/>
              </w:rPr>
            </w:pPr>
            <w:r>
              <w:rPr>
                <w:rFonts w:ascii="Arial" w:cs="Arial" w:eastAsia="Arial" w:hAnsi="Arial"/>
                <w:sz w:val="14"/>
                <w:szCs w:val="14"/>
                <w:color w:val="auto"/>
              </w:rPr>
              <w:t>2017</w:t>
            </w:r>
          </w:p>
        </w:tc>
        <w:tc>
          <w:tcPr>
            <w:tcW w:w="100" w:type="dxa"/>
            <w:vAlign w:val="bottom"/>
          </w:tcPr>
          <w:p>
            <w:pPr>
              <w:spacing w:after="0"/>
              <w:rPr>
                <w:sz w:val="24"/>
                <w:szCs w:val="24"/>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8,226,550</w:t>
            </w:r>
          </w:p>
        </w:tc>
        <w:tc>
          <w:tcPr>
            <w:tcW w:w="100" w:type="dxa"/>
            <w:vAlign w:val="bottom"/>
          </w:tcPr>
          <w:p>
            <w:pPr>
              <w:spacing w:after="0"/>
              <w:rPr>
                <w:sz w:val="24"/>
                <w:szCs w:val="24"/>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16,892</w:t>
            </w:r>
          </w:p>
        </w:tc>
        <w:tc>
          <w:tcPr>
            <w:tcW w:w="120" w:type="dxa"/>
            <w:vAlign w:val="bottom"/>
          </w:tcPr>
          <w:p>
            <w:pPr>
              <w:spacing w:after="0"/>
              <w:rPr>
                <w:sz w:val="24"/>
                <w:szCs w:val="24"/>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8,243,443</w:t>
            </w:r>
          </w:p>
        </w:tc>
        <w:tc>
          <w:tcPr>
            <w:tcW w:w="0" w:type="dxa"/>
            <w:vAlign w:val="bottom"/>
          </w:tcPr>
          <w:p>
            <w:pPr>
              <w:spacing w:after="0"/>
              <w:rPr>
                <w:sz w:val="1"/>
                <w:szCs w:val="1"/>
                <w:color w:val="auto"/>
              </w:rPr>
            </w:pPr>
          </w:p>
        </w:tc>
      </w:tr>
      <w:tr>
        <w:trPr>
          <w:trHeight w:val="230"/>
        </w:trPr>
        <w:tc>
          <w:tcPr>
            <w:tcW w:w="760" w:type="dxa"/>
            <w:vAlign w:val="bottom"/>
          </w:tcPr>
          <w:p>
            <w:pPr>
              <w:ind w:left="240"/>
              <w:spacing w:after="0"/>
              <w:rPr>
                <w:sz w:val="20"/>
                <w:szCs w:val="20"/>
                <w:color w:val="auto"/>
              </w:rPr>
            </w:pPr>
            <w:r>
              <w:rPr>
                <w:rFonts w:ascii="Arial" w:cs="Arial" w:eastAsia="Arial" w:hAnsi="Arial"/>
                <w:sz w:val="14"/>
                <w:szCs w:val="14"/>
                <w:color w:val="auto"/>
              </w:rPr>
              <w:t>2016</w:t>
            </w:r>
          </w:p>
        </w:tc>
        <w:tc>
          <w:tcPr>
            <w:tcW w:w="100" w:type="dxa"/>
            <w:vAlign w:val="bottom"/>
          </w:tcPr>
          <w:p>
            <w:pPr>
              <w:spacing w:after="0"/>
              <w:rPr>
                <w:sz w:val="19"/>
                <w:szCs w:val="19"/>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782</w:t>
            </w:r>
          </w:p>
        </w:tc>
        <w:tc>
          <w:tcPr>
            <w:tcW w:w="12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87,662</w:t>
            </w:r>
          </w:p>
        </w:tc>
        <w:tc>
          <w:tcPr>
            <w:tcW w:w="120" w:type="dxa"/>
            <w:vAlign w:val="bottom"/>
          </w:tcPr>
          <w:p>
            <w:pPr>
              <w:spacing w:after="0"/>
              <w:rPr>
                <w:sz w:val="19"/>
                <w:szCs w:val="19"/>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88,445</w:t>
            </w:r>
          </w:p>
        </w:tc>
        <w:tc>
          <w:tcPr>
            <w:tcW w:w="0" w:type="dxa"/>
            <w:vAlign w:val="bottom"/>
          </w:tcPr>
          <w:p>
            <w:pPr>
              <w:spacing w:after="0"/>
              <w:rPr>
                <w:sz w:val="1"/>
                <w:szCs w:val="1"/>
                <w:color w:val="auto"/>
              </w:rPr>
            </w:pPr>
          </w:p>
        </w:tc>
      </w:tr>
      <w:tr>
        <w:trPr>
          <w:trHeight w:val="311"/>
        </w:trPr>
        <w:tc>
          <w:tcPr>
            <w:tcW w:w="760" w:type="dxa"/>
            <w:vAlign w:val="bottom"/>
          </w:tcPr>
          <w:p>
            <w:pPr>
              <w:ind w:left="240"/>
              <w:spacing w:after="0"/>
              <w:rPr>
                <w:sz w:val="20"/>
                <w:szCs w:val="20"/>
                <w:color w:val="auto"/>
              </w:rPr>
            </w:pPr>
            <w:r>
              <w:rPr>
                <w:rFonts w:ascii="Arial" w:cs="Arial" w:eastAsia="Arial" w:hAnsi="Arial"/>
                <w:sz w:val="14"/>
                <w:szCs w:val="14"/>
                <w:color w:val="auto"/>
              </w:rPr>
              <w:t>2015</w:t>
            </w:r>
          </w:p>
        </w:tc>
        <w:tc>
          <w:tcPr>
            <w:tcW w:w="100" w:type="dxa"/>
            <w:vAlign w:val="bottom"/>
          </w:tcPr>
          <w:p>
            <w:pPr>
              <w:spacing w:after="0"/>
              <w:rPr>
                <w:sz w:val="24"/>
                <w:szCs w:val="24"/>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83,532</w:t>
            </w:r>
          </w:p>
        </w:tc>
        <w:tc>
          <w:tcPr>
            <w:tcW w:w="120" w:type="dxa"/>
            <w:vAlign w:val="bottom"/>
          </w:tcPr>
          <w:p>
            <w:pPr>
              <w:spacing w:after="0"/>
              <w:rPr>
                <w:sz w:val="24"/>
                <w:szCs w:val="24"/>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83,533</w:t>
            </w:r>
          </w:p>
        </w:tc>
        <w:tc>
          <w:tcPr>
            <w:tcW w:w="0" w:type="dxa"/>
            <w:vAlign w:val="bottom"/>
          </w:tcPr>
          <w:p>
            <w:pPr>
              <w:spacing w:after="0"/>
              <w:rPr>
                <w:sz w:val="1"/>
                <w:szCs w:val="1"/>
                <w:color w:val="auto"/>
              </w:rPr>
            </w:pPr>
          </w:p>
        </w:tc>
      </w:tr>
      <w:tr>
        <w:trPr>
          <w:trHeight w:val="594"/>
        </w:trPr>
        <w:tc>
          <w:tcPr>
            <w:tcW w:w="760" w:type="dxa"/>
            <w:vAlign w:val="bottom"/>
          </w:tcPr>
          <w:p>
            <w:pPr>
              <w:ind w:left="240"/>
              <w:spacing w:after="0"/>
              <w:rPr>
                <w:sz w:val="20"/>
                <w:szCs w:val="20"/>
                <w:color w:val="auto"/>
              </w:rPr>
            </w:pPr>
            <w:r>
              <w:rPr>
                <w:rFonts w:ascii="Arial" w:cs="Arial" w:eastAsia="Arial" w:hAnsi="Arial"/>
                <w:sz w:val="14"/>
                <w:szCs w:val="14"/>
                <w:color w:val="auto"/>
              </w:rPr>
              <w:t>2017</w:t>
            </w:r>
          </w:p>
        </w:tc>
        <w:tc>
          <w:tcPr>
            <w:tcW w:w="100" w:type="dxa"/>
            <w:vAlign w:val="bottom"/>
          </w:tcPr>
          <w:p>
            <w:pPr>
              <w:spacing w:after="0"/>
              <w:rPr>
                <w:sz w:val="24"/>
                <w:szCs w:val="24"/>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578,862</w:t>
            </w:r>
          </w:p>
        </w:tc>
        <w:tc>
          <w:tcPr>
            <w:tcW w:w="10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480,000</w:t>
            </w:r>
          </w:p>
        </w:tc>
        <w:tc>
          <w:tcPr>
            <w:tcW w:w="120" w:type="dxa"/>
            <w:vAlign w:val="bottom"/>
          </w:tcPr>
          <w:p>
            <w:pPr>
              <w:spacing w:after="0"/>
              <w:rPr>
                <w:sz w:val="24"/>
                <w:szCs w:val="24"/>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2,203</w:t>
            </w:r>
          </w:p>
        </w:tc>
        <w:tc>
          <w:tcPr>
            <w:tcW w:w="120" w:type="dxa"/>
            <w:vAlign w:val="bottom"/>
          </w:tcPr>
          <w:p>
            <w:pPr>
              <w:spacing w:after="0"/>
              <w:rPr>
                <w:sz w:val="24"/>
                <w:szCs w:val="24"/>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30,680</w:t>
            </w:r>
          </w:p>
        </w:tc>
        <w:tc>
          <w:tcPr>
            <w:tcW w:w="120" w:type="dxa"/>
            <w:vAlign w:val="bottom"/>
          </w:tcPr>
          <w:p>
            <w:pPr>
              <w:spacing w:after="0"/>
              <w:rPr>
                <w:sz w:val="24"/>
                <w:szCs w:val="24"/>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1,091,745</w:t>
            </w:r>
          </w:p>
        </w:tc>
        <w:tc>
          <w:tcPr>
            <w:tcW w:w="0" w:type="dxa"/>
            <w:vAlign w:val="bottom"/>
          </w:tcPr>
          <w:p>
            <w:pPr>
              <w:spacing w:after="0"/>
              <w:rPr>
                <w:sz w:val="1"/>
                <w:szCs w:val="1"/>
                <w:color w:val="auto"/>
              </w:rPr>
            </w:pPr>
          </w:p>
        </w:tc>
      </w:tr>
      <w:tr>
        <w:trPr>
          <w:trHeight w:val="351"/>
        </w:trPr>
        <w:tc>
          <w:tcPr>
            <w:tcW w:w="760" w:type="dxa"/>
            <w:vAlign w:val="bottom"/>
          </w:tcPr>
          <w:p>
            <w:pPr>
              <w:ind w:left="240"/>
              <w:spacing w:after="0"/>
              <w:rPr>
                <w:sz w:val="20"/>
                <w:szCs w:val="20"/>
                <w:color w:val="auto"/>
              </w:rPr>
            </w:pPr>
            <w:r>
              <w:rPr>
                <w:rFonts w:ascii="Arial" w:cs="Arial" w:eastAsia="Arial" w:hAnsi="Arial"/>
                <w:sz w:val="14"/>
                <w:szCs w:val="14"/>
                <w:color w:val="auto"/>
              </w:rPr>
              <w:t>2016</w:t>
            </w:r>
          </w:p>
        </w:tc>
        <w:tc>
          <w:tcPr>
            <w:tcW w:w="100" w:type="dxa"/>
            <w:vAlign w:val="bottom"/>
          </w:tcPr>
          <w:p>
            <w:pPr>
              <w:spacing w:after="0"/>
              <w:rPr>
                <w:sz w:val="24"/>
                <w:szCs w:val="24"/>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534,629</w:t>
            </w:r>
          </w:p>
        </w:tc>
        <w:tc>
          <w:tcPr>
            <w:tcW w:w="10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624,510</w:t>
            </w:r>
          </w:p>
        </w:tc>
        <w:tc>
          <w:tcPr>
            <w:tcW w:w="100" w:type="dxa"/>
            <w:vAlign w:val="bottom"/>
          </w:tcPr>
          <w:p>
            <w:pPr>
              <w:spacing w:after="0"/>
              <w:rPr>
                <w:sz w:val="24"/>
                <w:szCs w:val="24"/>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353,650</w:t>
            </w:r>
          </w:p>
        </w:tc>
        <w:tc>
          <w:tcPr>
            <w:tcW w:w="120" w:type="dxa"/>
            <w:vAlign w:val="bottom"/>
          </w:tcPr>
          <w:p>
            <w:pPr>
              <w:spacing w:after="0"/>
              <w:rPr>
                <w:sz w:val="24"/>
                <w:szCs w:val="24"/>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966</w:t>
            </w:r>
          </w:p>
        </w:tc>
        <w:tc>
          <w:tcPr>
            <w:tcW w:w="120" w:type="dxa"/>
            <w:vAlign w:val="bottom"/>
          </w:tcPr>
          <w:p>
            <w:pPr>
              <w:spacing w:after="0"/>
              <w:rPr>
                <w:sz w:val="24"/>
                <w:szCs w:val="24"/>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13,790</w:t>
            </w:r>
          </w:p>
        </w:tc>
        <w:tc>
          <w:tcPr>
            <w:tcW w:w="120" w:type="dxa"/>
            <w:vAlign w:val="bottom"/>
          </w:tcPr>
          <w:p>
            <w:pPr>
              <w:spacing w:after="0"/>
              <w:rPr>
                <w:sz w:val="24"/>
                <w:szCs w:val="24"/>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1,527,545</w:t>
            </w:r>
          </w:p>
        </w:tc>
        <w:tc>
          <w:tcPr>
            <w:tcW w:w="0" w:type="dxa"/>
            <w:vAlign w:val="bottom"/>
          </w:tcPr>
          <w:p>
            <w:pPr>
              <w:spacing w:after="0"/>
              <w:rPr>
                <w:sz w:val="1"/>
                <w:szCs w:val="1"/>
                <w:color w:val="auto"/>
              </w:rPr>
            </w:pPr>
          </w:p>
        </w:tc>
      </w:tr>
      <w:tr>
        <w:trPr>
          <w:trHeight w:val="419"/>
        </w:trPr>
        <w:tc>
          <w:tcPr>
            <w:tcW w:w="760" w:type="dxa"/>
            <w:vAlign w:val="bottom"/>
          </w:tcPr>
          <w:p>
            <w:pPr>
              <w:ind w:left="240"/>
              <w:spacing w:after="0"/>
              <w:rPr>
                <w:sz w:val="20"/>
                <w:szCs w:val="20"/>
                <w:color w:val="auto"/>
              </w:rPr>
            </w:pPr>
            <w:r>
              <w:rPr>
                <w:rFonts w:ascii="Arial" w:cs="Arial" w:eastAsia="Arial" w:hAnsi="Arial"/>
                <w:sz w:val="14"/>
                <w:szCs w:val="14"/>
                <w:color w:val="auto"/>
              </w:rPr>
              <w:t>2015</w:t>
            </w:r>
          </w:p>
        </w:tc>
        <w:tc>
          <w:tcPr>
            <w:tcW w:w="100" w:type="dxa"/>
            <w:vAlign w:val="bottom"/>
          </w:tcPr>
          <w:p>
            <w:pPr>
              <w:spacing w:after="0"/>
              <w:rPr>
                <w:sz w:val="24"/>
                <w:szCs w:val="24"/>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483,855</w:t>
            </w:r>
          </w:p>
        </w:tc>
        <w:tc>
          <w:tcPr>
            <w:tcW w:w="100" w:type="dxa"/>
            <w:vAlign w:val="bottom"/>
          </w:tcPr>
          <w:p>
            <w:pPr>
              <w:spacing w:after="0"/>
              <w:rPr>
                <w:sz w:val="24"/>
                <w:szCs w:val="24"/>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50,000</w:t>
            </w:r>
          </w:p>
        </w:tc>
        <w:tc>
          <w:tcPr>
            <w:tcW w:w="10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570,160</w:t>
            </w:r>
          </w:p>
        </w:tc>
        <w:tc>
          <w:tcPr>
            <w:tcW w:w="100" w:type="dxa"/>
            <w:vAlign w:val="bottom"/>
          </w:tcPr>
          <w:p>
            <w:pPr>
              <w:spacing w:after="0"/>
              <w:rPr>
                <w:sz w:val="24"/>
                <w:szCs w:val="24"/>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(41)</w:t>
            </w:r>
          </w:p>
        </w:tc>
        <w:tc>
          <w:tcPr>
            <w:tcW w:w="120" w:type="dxa"/>
            <w:vAlign w:val="bottom"/>
          </w:tcPr>
          <w:p>
            <w:pPr>
              <w:spacing w:after="0"/>
              <w:rPr>
                <w:sz w:val="24"/>
                <w:szCs w:val="24"/>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14,203</w:t>
            </w:r>
          </w:p>
        </w:tc>
        <w:tc>
          <w:tcPr>
            <w:tcW w:w="120" w:type="dxa"/>
            <w:vAlign w:val="bottom"/>
          </w:tcPr>
          <w:p>
            <w:pPr>
              <w:spacing w:after="0"/>
              <w:rPr>
                <w:sz w:val="24"/>
                <w:szCs w:val="24"/>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1,118,177</w:t>
            </w:r>
          </w:p>
        </w:tc>
        <w:tc>
          <w:tcPr>
            <w:tcW w:w="0" w:type="dxa"/>
            <w:vAlign w:val="bottom"/>
          </w:tcPr>
          <w:p>
            <w:pPr>
              <w:spacing w:after="0"/>
              <w:rPr>
                <w:sz w:val="1"/>
                <w:szCs w:val="1"/>
                <w:color w:val="auto"/>
              </w:rPr>
            </w:pPr>
          </w:p>
        </w:tc>
      </w:tr>
      <w:tr>
        <w:trPr>
          <w:trHeight w:val="594"/>
        </w:trPr>
        <w:tc>
          <w:tcPr>
            <w:tcW w:w="760" w:type="dxa"/>
            <w:vAlign w:val="bottom"/>
          </w:tcPr>
          <w:p>
            <w:pPr>
              <w:ind w:left="240"/>
              <w:spacing w:after="0"/>
              <w:rPr>
                <w:sz w:val="20"/>
                <w:szCs w:val="20"/>
                <w:color w:val="auto"/>
              </w:rPr>
            </w:pPr>
            <w:r>
              <w:rPr>
                <w:rFonts w:ascii="Arial" w:cs="Arial" w:eastAsia="Arial" w:hAnsi="Arial"/>
                <w:sz w:val="14"/>
                <w:szCs w:val="14"/>
                <w:color w:val="auto"/>
              </w:rPr>
              <w:t>2017</w:t>
            </w:r>
          </w:p>
        </w:tc>
        <w:tc>
          <w:tcPr>
            <w:tcW w:w="100" w:type="dxa"/>
            <w:vAlign w:val="bottom"/>
          </w:tcPr>
          <w:p>
            <w:pPr>
              <w:spacing w:after="0"/>
              <w:rPr>
                <w:sz w:val="24"/>
                <w:szCs w:val="24"/>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787,153</w:t>
            </w:r>
          </w:p>
        </w:tc>
        <w:tc>
          <w:tcPr>
            <w:tcW w:w="10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696,000</w:t>
            </w:r>
          </w:p>
        </w:tc>
        <w:tc>
          <w:tcPr>
            <w:tcW w:w="120" w:type="dxa"/>
            <w:vAlign w:val="bottom"/>
          </w:tcPr>
          <w:p>
            <w:pPr>
              <w:spacing w:after="0"/>
              <w:rPr>
                <w:sz w:val="24"/>
                <w:szCs w:val="24"/>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173,846</w:t>
            </w:r>
          </w:p>
        </w:tc>
        <w:tc>
          <w:tcPr>
            <w:tcW w:w="120" w:type="dxa"/>
            <w:vAlign w:val="bottom"/>
          </w:tcPr>
          <w:p>
            <w:pPr>
              <w:spacing w:after="0"/>
              <w:rPr>
                <w:sz w:val="24"/>
                <w:szCs w:val="24"/>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48,170</w:t>
            </w:r>
          </w:p>
        </w:tc>
        <w:tc>
          <w:tcPr>
            <w:tcW w:w="120" w:type="dxa"/>
            <w:vAlign w:val="bottom"/>
          </w:tcPr>
          <w:p>
            <w:pPr>
              <w:spacing w:after="0"/>
              <w:rPr>
                <w:sz w:val="24"/>
                <w:szCs w:val="24"/>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1,705,169</w:t>
            </w:r>
          </w:p>
        </w:tc>
        <w:tc>
          <w:tcPr>
            <w:tcW w:w="0" w:type="dxa"/>
            <w:vAlign w:val="bottom"/>
          </w:tcPr>
          <w:p>
            <w:pPr>
              <w:spacing w:after="0"/>
              <w:rPr>
                <w:sz w:val="1"/>
                <w:szCs w:val="1"/>
                <w:color w:val="auto"/>
              </w:rPr>
            </w:pPr>
          </w:p>
        </w:tc>
      </w:tr>
      <w:tr>
        <w:trPr>
          <w:trHeight w:val="270"/>
        </w:trPr>
        <w:tc>
          <w:tcPr>
            <w:tcW w:w="760" w:type="dxa"/>
            <w:vAlign w:val="bottom"/>
          </w:tcPr>
          <w:p>
            <w:pPr>
              <w:ind w:left="240"/>
              <w:spacing w:after="0"/>
              <w:rPr>
                <w:sz w:val="20"/>
                <w:szCs w:val="20"/>
                <w:color w:val="auto"/>
              </w:rPr>
            </w:pPr>
            <w:r>
              <w:rPr>
                <w:rFonts w:ascii="Arial" w:cs="Arial" w:eastAsia="Arial" w:hAnsi="Arial"/>
                <w:sz w:val="14"/>
                <w:szCs w:val="14"/>
                <w:color w:val="auto"/>
              </w:rPr>
              <w:t>2016</w:t>
            </w:r>
          </w:p>
        </w:tc>
        <w:tc>
          <w:tcPr>
            <w:tcW w:w="100" w:type="dxa"/>
            <w:vAlign w:val="bottom"/>
          </w:tcPr>
          <w:p>
            <w:pPr>
              <w:spacing w:after="0"/>
              <w:rPr>
                <w:sz w:val="23"/>
                <w:szCs w:val="23"/>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769,621</w:t>
            </w:r>
          </w:p>
        </w:tc>
        <w:tc>
          <w:tcPr>
            <w:tcW w:w="10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1,249,020</w:t>
            </w:r>
          </w:p>
        </w:tc>
        <w:tc>
          <w:tcPr>
            <w:tcW w:w="100" w:type="dxa"/>
            <w:vAlign w:val="bottom"/>
          </w:tcPr>
          <w:p>
            <w:pPr>
              <w:spacing w:after="0"/>
              <w:rPr>
                <w:sz w:val="23"/>
                <w:szCs w:val="23"/>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615,680</w:t>
            </w:r>
          </w:p>
        </w:tc>
        <w:tc>
          <w:tcPr>
            <w:tcW w:w="12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47,620</w:t>
            </w:r>
          </w:p>
        </w:tc>
        <w:tc>
          <w:tcPr>
            <w:tcW w:w="12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49,731</w:t>
            </w:r>
          </w:p>
        </w:tc>
        <w:tc>
          <w:tcPr>
            <w:tcW w:w="12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2,731,672</w:t>
            </w:r>
          </w:p>
        </w:tc>
        <w:tc>
          <w:tcPr>
            <w:tcW w:w="0" w:type="dxa"/>
            <w:vAlign w:val="bottom"/>
          </w:tcPr>
          <w:p>
            <w:pPr>
              <w:spacing w:after="0"/>
              <w:rPr>
                <w:sz w:val="1"/>
                <w:szCs w:val="1"/>
                <w:color w:val="auto"/>
              </w:rPr>
            </w:pPr>
          </w:p>
        </w:tc>
      </w:tr>
      <w:tr>
        <w:trPr>
          <w:trHeight w:val="351"/>
        </w:trPr>
        <w:tc>
          <w:tcPr>
            <w:tcW w:w="760" w:type="dxa"/>
            <w:vAlign w:val="bottom"/>
          </w:tcPr>
          <w:p>
            <w:pPr>
              <w:ind w:left="240"/>
              <w:spacing w:after="0"/>
              <w:rPr>
                <w:sz w:val="20"/>
                <w:szCs w:val="20"/>
                <w:color w:val="auto"/>
              </w:rPr>
            </w:pPr>
            <w:r>
              <w:rPr>
                <w:rFonts w:ascii="Arial" w:cs="Arial" w:eastAsia="Arial" w:hAnsi="Arial"/>
                <w:sz w:val="14"/>
                <w:szCs w:val="14"/>
                <w:color w:val="auto"/>
              </w:rPr>
              <w:t>2015</w:t>
            </w:r>
          </w:p>
        </w:tc>
        <w:tc>
          <w:tcPr>
            <w:tcW w:w="100" w:type="dxa"/>
            <w:vAlign w:val="bottom"/>
          </w:tcPr>
          <w:p>
            <w:pPr>
              <w:spacing w:after="0"/>
              <w:rPr>
                <w:sz w:val="24"/>
                <w:szCs w:val="24"/>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761,646</w:t>
            </w:r>
          </w:p>
        </w:tc>
        <w:tc>
          <w:tcPr>
            <w:tcW w:w="10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718,000</w:t>
            </w:r>
          </w:p>
        </w:tc>
        <w:tc>
          <w:tcPr>
            <w:tcW w:w="120" w:type="dxa"/>
            <w:vAlign w:val="bottom"/>
          </w:tcPr>
          <w:p>
            <w:pPr>
              <w:spacing w:after="0"/>
              <w:rPr>
                <w:sz w:val="24"/>
                <w:szCs w:val="24"/>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26,994</w:t>
            </w:r>
          </w:p>
        </w:tc>
        <w:tc>
          <w:tcPr>
            <w:tcW w:w="120" w:type="dxa"/>
            <w:vAlign w:val="bottom"/>
          </w:tcPr>
          <w:p>
            <w:pPr>
              <w:spacing w:after="0"/>
              <w:rPr>
                <w:sz w:val="24"/>
                <w:szCs w:val="24"/>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48,236</w:t>
            </w:r>
          </w:p>
        </w:tc>
        <w:tc>
          <w:tcPr>
            <w:tcW w:w="120" w:type="dxa"/>
            <w:vAlign w:val="bottom"/>
          </w:tcPr>
          <w:p>
            <w:pPr>
              <w:spacing w:after="0"/>
              <w:rPr>
                <w:sz w:val="24"/>
                <w:szCs w:val="24"/>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1,554,876</w:t>
            </w:r>
          </w:p>
        </w:tc>
        <w:tc>
          <w:tcPr>
            <w:tcW w:w="0" w:type="dxa"/>
            <w:vAlign w:val="bottom"/>
          </w:tcPr>
          <w:p>
            <w:pPr>
              <w:spacing w:after="0"/>
              <w:rPr>
                <w:sz w:val="1"/>
                <w:szCs w:val="1"/>
                <w:color w:val="auto"/>
              </w:rPr>
            </w:pPr>
          </w:p>
        </w:tc>
      </w:tr>
      <w:tr>
        <w:trPr>
          <w:trHeight w:val="594"/>
        </w:trPr>
        <w:tc>
          <w:tcPr>
            <w:tcW w:w="760" w:type="dxa"/>
            <w:vAlign w:val="bottom"/>
          </w:tcPr>
          <w:p>
            <w:pPr>
              <w:ind w:left="240"/>
              <w:spacing w:after="0"/>
              <w:rPr>
                <w:sz w:val="20"/>
                <w:szCs w:val="20"/>
                <w:color w:val="auto"/>
              </w:rPr>
            </w:pPr>
            <w:r>
              <w:rPr>
                <w:rFonts w:ascii="Arial" w:cs="Arial" w:eastAsia="Arial" w:hAnsi="Arial"/>
                <w:sz w:val="14"/>
                <w:szCs w:val="14"/>
                <w:color w:val="auto"/>
              </w:rPr>
              <w:t>2017</w:t>
            </w:r>
          </w:p>
        </w:tc>
        <w:tc>
          <w:tcPr>
            <w:tcW w:w="100" w:type="dxa"/>
            <w:vAlign w:val="bottom"/>
          </w:tcPr>
          <w:p>
            <w:pPr>
              <w:spacing w:after="0"/>
              <w:rPr>
                <w:sz w:val="24"/>
                <w:szCs w:val="24"/>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578,942</w:t>
            </w:r>
          </w:p>
        </w:tc>
        <w:tc>
          <w:tcPr>
            <w:tcW w:w="10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306,000</w:t>
            </w:r>
          </w:p>
        </w:tc>
        <w:tc>
          <w:tcPr>
            <w:tcW w:w="120" w:type="dxa"/>
            <w:vAlign w:val="bottom"/>
          </w:tcPr>
          <w:p>
            <w:pPr>
              <w:spacing w:after="0"/>
              <w:rPr>
                <w:sz w:val="24"/>
                <w:szCs w:val="24"/>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25,095</w:t>
            </w:r>
          </w:p>
        </w:tc>
        <w:tc>
          <w:tcPr>
            <w:tcW w:w="120" w:type="dxa"/>
            <w:vAlign w:val="bottom"/>
          </w:tcPr>
          <w:p>
            <w:pPr>
              <w:spacing w:after="0"/>
              <w:rPr>
                <w:sz w:val="24"/>
                <w:szCs w:val="24"/>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21,541</w:t>
            </w:r>
          </w:p>
        </w:tc>
        <w:tc>
          <w:tcPr>
            <w:tcW w:w="120" w:type="dxa"/>
            <w:vAlign w:val="bottom"/>
          </w:tcPr>
          <w:p>
            <w:pPr>
              <w:spacing w:after="0"/>
              <w:rPr>
                <w:sz w:val="24"/>
                <w:szCs w:val="24"/>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931,578</w:t>
            </w:r>
          </w:p>
        </w:tc>
        <w:tc>
          <w:tcPr>
            <w:tcW w:w="0" w:type="dxa"/>
            <w:vAlign w:val="bottom"/>
          </w:tcPr>
          <w:p>
            <w:pPr>
              <w:spacing w:after="0"/>
              <w:rPr>
                <w:sz w:val="1"/>
                <w:szCs w:val="1"/>
                <w:color w:val="auto"/>
              </w:rPr>
            </w:pPr>
          </w:p>
        </w:tc>
      </w:tr>
      <w:tr>
        <w:trPr>
          <w:trHeight w:val="351"/>
        </w:trPr>
        <w:tc>
          <w:tcPr>
            <w:tcW w:w="760" w:type="dxa"/>
            <w:vAlign w:val="bottom"/>
          </w:tcPr>
          <w:p>
            <w:pPr>
              <w:ind w:left="240"/>
              <w:spacing w:after="0"/>
              <w:rPr>
                <w:sz w:val="20"/>
                <w:szCs w:val="20"/>
                <w:color w:val="auto"/>
              </w:rPr>
            </w:pPr>
            <w:r>
              <w:rPr>
                <w:rFonts w:ascii="Arial" w:cs="Arial" w:eastAsia="Arial" w:hAnsi="Arial"/>
                <w:sz w:val="14"/>
                <w:szCs w:val="14"/>
                <w:color w:val="auto"/>
              </w:rPr>
              <w:t>2016</w:t>
            </w:r>
          </w:p>
        </w:tc>
        <w:tc>
          <w:tcPr>
            <w:tcW w:w="100" w:type="dxa"/>
            <w:vAlign w:val="bottom"/>
          </w:tcPr>
          <w:p>
            <w:pPr>
              <w:spacing w:after="0"/>
              <w:rPr>
                <w:sz w:val="24"/>
                <w:szCs w:val="24"/>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542,451</w:t>
            </w:r>
          </w:p>
        </w:tc>
        <w:tc>
          <w:tcPr>
            <w:tcW w:w="10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230,239</w:t>
            </w:r>
          </w:p>
        </w:tc>
        <w:tc>
          <w:tcPr>
            <w:tcW w:w="120" w:type="dxa"/>
            <w:vAlign w:val="bottom"/>
          </w:tcPr>
          <w:p>
            <w:pPr>
              <w:spacing w:after="0"/>
              <w:rPr>
                <w:sz w:val="24"/>
                <w:szCs w:val="24"/>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5,150</w:t>
            </w:r>
          </w:p>
        </w:tc>
        <w:tc>
          <w:tcPr>
            <w:tcW w:w="120" w:type="dxa"/>
            <w:vAlign w:val="bottom"/>
          </w:tcPr>
          <w:p>
            <w:pPr>
              <w:spacing w:after="0"/>
              <w:rPr>
                <w:sz w:val="24"/>
                <w:szCs w:val="24"/>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17,351</w:t>
            </w:r>
          </w:p>
        </w:tc>
        <w:tc>
          <w:tcPr>
            <w:tcW w:w="120" w:type="dxa"/>
            <w:vAlign w:val="bottom"/>
          </w:tcPr>
          <w:p>
            <w:pPr>
              <w:spacing w:after="0"/>
              <w:rPr>
                <w:sz w:val="24"/>
                <w:szCs w:val="24"/>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795,191</w:t>
            </w:r>
          </w:p>
        </w:tc>
        <w:tc>
          <w:tcPr>
            <w:tcW w:w="0" w:type="dxa"/>
            <w:vAlign w:val="bottom"/>
          </w:tcPr>
          <w:p>
            <w:pPr>
              <w:spacing w:after="0"/>
              <w:rPr>
                <w:sz w:val="1"/>
                <w:szCs w:val="1"/>
                <w:color w:val="auto"/>
              </w:rPr>
            </w:pPr>
          </w:p>
        </w:tc>
      </w:tr>
      <w:tr>
        <w:trPr>
          <w:trHeight w:val="419"/>
        </w:trPr>
        <w:tc>
          <w:tcPr>
            <w:tcW w:w="760" w:type="dxa"/>
            <w:vAlign w:val="bottom"/>
          </w:tcPr>
          <w:p>
            <w:pPr>
              <w:ind w:left="240"/>
              <w:spacing w:after="0"/>
              <w:rPr>
                <w:sz w:val="20"/>
                <w:szCs w:val="20"/>
                <w:color w:val="auto"/>
              </w:rPr>
            </w:pPr>
            <w:r>
              <w:rPr>
                <w:rFonts w:ascii="Arial" w:cs="Arial" w:eastAsia="Arial" w:hAnsi="Arial"/>
                <w:sz w:val="14"/>
                <w:szCs w:val="14"/>
                <w:color w:val="auto"/>
              </w:rPr>
              <w:t>2015</w:t>
            </w:r>
          </w:p>
        </w:tc>
        <w:tc>
          <w:tcPr>
            <w:tcW w:w="100" w:type="dxa"/>
            <w:vAlign w:val="bottom"/>
          </w:tcPr>
          <w:p>
            <w:pPr>
              <w:spacing w:after="0"/>
              <w:rPr>
                <w:sz w:val="24"/>
                <w:szCs w:val="24"/>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518,119</w:t>
            </w:r>
          </w:p>
        </w:tc>
        <w:tc>
          <w:tcPr>
            <w:tcW w:w="10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926,510</w:t>
            </w:r>
          </w:p>
        </w:tc>
        <w:tc>
          <w:tcPr>
            <w:tcW w:w="100" w:type="dxa"/>
            <w:vAlign w:val="bottom"/>
          </w:tcPr>
          <w:p>
            <w:pPr>
              <w:spacing w:after="0"/>
              <w:rPr>
                <w:sz w:val="24"/>
                <w:szCs w:val="24"/>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(262)</w:t>
            </w:r>
          </w:p>
        </w:tc>
        <w:tc>
          <w:tcPr>
            <w:tcW w:w="120" w:type="dxa"/>
            <w:vAlign w:val="bottom"/>
          </w:tcPr>
          <w:p>
            <w:pPr>
              <w:spacing w:after="0"/>
              <w:rPr>
                <w:sz w:val="24"/>
                <w:szCs w:val="24"/>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13,790</w:t>
            </w:r>
          </w:p>
        </w:tc>
        <w:tc>
          <w:tcPr>
            <w:tcW w:w="120" w:type="dxa"/>
            <w:vAlign w:val="bottom"/>
          </w:tcPr>
          <w:p>
            <w:pPr>
              <w:spacing w:after="0"/>
              <w:rPr>
                <w:sz w:val="24"/>
                <w:szCs w:val="24"/>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1,458,157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-1048385</wp:posOffset>
            </wp:positionH>
            <wp:positionV relativeFrom="paragraph">
              <wp:posOffset>-3387725</wp:posOffset>
            </wp:positionV>
            <wp:extent cx="72466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-1048385</wp:posOffset>
            </wp:positionH>
            <wp:positionV relativeFrom="paragraph">
              <wp:posOffset>-3010535</wp:posOffset>
            </wp:positionV>
            <wp:extent cx="72466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-1048385</wp:posOffset>
            </wp:positionH>
            <wp:positionV relativeFrom="paragraph">
              <wp:posOffset>-2667635</wp:posOffset>
            </wp:positionV>
            <wp:extent cx="72466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-1048385</wp:posOffset>
            </wp:positionH>
            <wp:positionV relativeFrom="paragraph">
              <wp:posOffset>-2289810</wp:posOffset>
            </wp:positionV>
            <wp:extent cx="72466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-1048385</wp:posOffset>
            </wp:positionH>
            <wp:positionV relativeFrom="paragraph">
              <wp:posOffset>-1801495</wp:posOffset>
            </wp:positionV>
            <wp:extent cx="72466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-1048385</wp:posOffset>
            </wp:positionH>
            <wp:positionV relativeFrom="paragraph">
              <wp:posOffset>-1423670</wp:posOffset>
            </wp:positionV>
            <wp:extent cx="724662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-1048385</wp:posOffset>
            </wp:positionH>
            <wp:positionV relativeFrom="paragraph">
              <wp:posOffset>-1029335</wp:posOffset>
            </wp:positionV>
            <wp:extent cx="724662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-1048385</wp:posOffset>
            </wp:positionH>
            <wp:positionV relativeFrom="paragraph">
              <wp:posOffset>-652145</wp:posOffset>
            </wp:positionV>
            <wp:extent cx="724662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-1048385</wp:posOffset>
            </wp:positionH>
            <wp:positionV relativeFrom="paragraph">
              <wp:posOffset>-163195</wp:posOffset>
            </wp:positionV>
            <wp:extent cx="724662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-1048385</wp:posOffset>
            </wp:positionH>
            <wp:positionV relativeFrom="paragraph">
              <wp:posOffset>-3782060</wp:posOffset>
            </wp:positionV>
            <wp:extent cx="724662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-1061085</wp:posOffset>
            </wp:positionH>
            <wp:positionV relativeFrom="paragraph">
              <wp:posOffset>55245</wp:posOffset>
            </wp:positionV>
            <wp:extent cx="72720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500" w:space="160"/>
            <w:col w:w="9760"/>
          </w:cols>
          <w:pgMar w:left="240" w:top="567" w:right="239" w:bottom="1440" w:gutter="0" w:footer="0" w:header="0"/>
          <w:type w:val="continuous"/>
        </w:sectPr>
      </w:pPr>
    </w:p>
    <w:p>
      <w:pPr>
        <w:spacing w:after="0" w:line="50"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Mr. Johnson’s subjective cash bonus for 2015 is reported in the “Bonus” column. None of our other NEOs received subjective cash bonuses for 2017, 2016 or 2015.</w:t>
      </w:r>
    </w:p>
    <w:p>
      <w:pPr>
        <w:spacing w:after="0" w:line="13" w:lineRule="exact"/>
        <w:rPr>
          <w:rFonts w:ascii="Arial" w:cs="Arial" w:eastAsia="Arial" w:hAnsi="Arial"/>
          <w:sz w:val="14"/>
          <w:szCs w:val="14"/>
          <w:color w:val="auto"/>
        </w:rPr>
      </w:pPr>
    </w:p>
    <w:p>
      <w:pPr>
        <w:jc w:val="both"/>
        <w:ind w:left="340" w:hanging="332"/>
        <w:spacing w:after="0" w:line="241" w:lineRule="auto"/>
        <w:tabs>
          <w:tab w:leader="none" w:pos="3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amounts reported in the “Stock Awards” column and the “Option Awards” column reflect the aggregate grant date fair values in accordance with FASB ASC Topic 718. Assumptions used in the calculation of these amounts are included in Note 15 in the Notes to the Corporation’s audited financial statements for the fiscal years ended December 31, 2017, 2016 and 2015, respectively, included in the Corporation’s Annual Reports on Form 10-K filed with the SEC on February 22, 2018, February 24, 2017 and February 24, 2016, respectively. These amounts include both performance and non-performance based awards and vested and unvested awards, as applicable.</w:t>
      </w:r>
    </w:p>
    <w:p>
      <w:pPr>
        <w:spacing w:after="0" w:line="1" w:lineRule="exact"/>
        <w:rPr>
          <w:rFonts w:ascii="Arial" w:cs="Arial" w:eastAsia="Arial" w:hAnsi="Arial"/>
          <w:sz w:val="14"/>
          <w:szCs w:val="14"/>
          <w:color w:val="auto"/>
        </w:rPr>
      </w:pPr>
    </w:p>
    <w:p>
      <w:pPr>
        <w:jc w:val="both"/>
        <w:ind w:left="340" w:hanging="332"/>
        <w:spacing w:after="0" w:line="242" w:lineRule="auto"/>
        <w:tabs>
          <w:tab w:leader="none" w:pos="3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Under our Executive Officer Bonus Incentive Plan adopted in May 2016, (i) for 2017, each of our NEOs, other than Mr. Ergen, were eligible to receive, and did receive, short-term cash incentive payments, and (ii) for 2016, Messrs. Johnson, Kaul and Rayner were eligible to receive, and did receive, short-term cash incentive payments. These 2017 and 2016 short-term cash incentive payments are reported in the “Non-Equity Incentive Plan Compensation” column. For 2017, these cash incentive payments equaled approximately 85%, 80%, 87% and 85% of the respective payout targets under our Executive Officer Bonus Incentive Plan for Messrs. Dugan, Johnson, Kaul and Rayner, respectively, as a result of the achievement of certain financial and operational metrics as well as, for Messrs. Johnson and Kaul, subjective factors regarding business segment activities, in all cases as determined by the Compensation Committee pursuant to the Executive Officer Bonus Incentive Plan. For 2016, these cash incentive payments equaled approximately 64%, 80% and 70% of the respective payout targets under our Executive Officer Bonus Incentive Plan for Messrs. Johnson, Kaul and Rayner, respectively, as a result of the achievement of certain financial and operational metrics as well as, for Messrs. Johnson and Kaul, subjective factors regarding business segment activities, in all cases as determined by the Compensation Committee pursuant to the Executive Officer Bonus Incentive Plan. Pursuant to an annual incentive plan that was established prior to the Hughes Acquisition (the “Hughes Annual Incentive Plan”), Mr. Kaul was eligible to receive, and did receive, a short-term cash incentive payment for 2015 which had metrics that were weighted 100% associated with the financial performance of Hughes and 0% associated with a subjective factor. Mr. Kaul’s short-term cash incentive payment for 2015 is reported in the “Non-Equity Incentive Plan Compensation” column. None of our NEOs other than Mr. Kaul received compensation under the Hughes Annual Incentive Plan.</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567" w:right="239" w:bottom="1440" w:gutter="0" w:footer="0" w:header="0"/>
          <w:type w:val="continuous"/>
        </w:sectPr>
      </w:pPr>
    </w:p>
    <w:bookmarkStart w:id="28" w:name="page29"/>
    <w:bookmarkEnd w:id="28"/>
    <w:p>
      <w:pPr>
        <w:ind w:left="340" w:hanging="332"/>
        <w:spacing w:after="0"/>
        <w:tabs>
          <w:tab w:leader="none" w:pos="3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Aggregate earnings are dependent on the investment decisions made by the executive. All earnings are market earnings, and none are preferential or set by the Corporation.</w:t>
      </w:r>
    </w:p>
    <w:p>
      <w:pPr>
        <w:spacing w:after="0" w:line="13" w:lineRule="exact"/>
        <w:rPr>
          <w:rFonts w:ascii="Arial" w:cs="Arial" w:eastAsia="Arial" w:hAnsi="Arial"/>
          <w:sz w:val="14"/>
          <w:szCs w:val="14"/>
          <w:color w:val="auto"/>
        </w:rPr>
      </w:pPr>
    </w:p>
    <w:p>
      <w:pPr>
        <w:ind w:left="340" w:hanging="332"/>
        <w:spacing w:after="0" w:line="260" w:lineRule="auto"/>
        <w:tabs>
          <w:tab w:leader="none" w:pos="340" w:val="left"/>
        </w:tabs>
        <w:numPr>
          <w:ilvl w:val="0"/>
          <w:numId w:val="19"/>
        </w:numPr>
        <w:rPr>
          <w:rFonts w:ascii="Arial" w:cs="Arial" w:eastAsia="Arial" w:hAnsi="Arial"/>
          <w:sz w:val="13"/>
          <w:szCs w:val="13"/>
          <w:color w:val="auto"/>
        </w:rPr>
      </w:pPr>
      <w:r>
        <w:rPr>
          <w:rFonts w:ascii="Arial" w:cs="Arial" w:eastAsia="Arial" w:hAnsi="Arial"/>
          <w:sz w:val="13"/>
          <w:szCs w:val="13"/>
          <w:color w:val="auto"/>
        </w:rPr>
        <w:t>“All Other Compensation” for all of our NEOs, other than Mr. Ergen, includes amounts contributed by the Corporation pursuant to our 401(k) Plan, $5,000 of Class A Shares granted to each NEO pursuant to our annual discretionary contribution to the 401(k) Plan and, except for Mr. Kaul in 2017, amounts related to accrued but unused paid time off for the applicable year.</w:t>
      </w:r>
    </w:p>
    <w:p>
      <w:pPr>
        <w:jc w:val="both"/>
        <w:ind w:left="340" w:hanging="332"/>
        <w:spacing w:after="0" w:line="241" w:lineRule="auto"/>
        <w:tabs>
          <w:tab w:leader="none" w:pos="3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Mr. Dugan’s annual base salary was increased effective May 2017. Mr. Dugan’s “All Other Compensation” includes (i) $39,904 in paid time off carryover for the year ended December 31, 2017, and (ii) amounts associated with Mr. Dugan’s personal use (and on certain occasions the personal use by members of his family and other guests) of the corporate aircraft during the year ended December 31, 2016. We calculate the value of personal use of the corporate aircraft based upon the incremental cost of such usage to us.</w:t>
      </w:r>
    </w:p>
    <w:p>
      <w:pPr>
        <w:spacing w:after="0" w:line="1" w:lineRule="exact"/>
        <w:rPr>
          <w:rFonts w:ascii="Arial" w:cs="Arial" w:eastAsia="Arial" w:hAnsi="Arial"/>
          <w:sz w:val="14"/>
          <w:szCs w:val="14"/>
          <w:color w:val="auto"/>
        </w:rPr>
      </w:pPr>
    </w:p>
    <w:p>
      <w:pPr>
        <w:jc w:val="both"/>
        <w:ind w:left="340" w:hanging="332"/>
        <w:spacing w:after="0" w:line="241" w:lineRule="auto"/>
        <w:tabs>
          <w:tab w:leader="none" w:pos="3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Mr. Ergen received a base salary of $1 for each of 2017, 2016 and 2015. On April 1, 2017, Mr. Ergen was awarded an option to purchase 1,100,000 Class A Shares. On April 24, 2017, Mr. Ergen voluntarily forfeited a portion of the option covering 600,000 shares and we canceled such forfeited portion of the option. Mr. Ergen’s “Stock Awards” for 2016 is comprised of shares awarded pursuant to our Employee Innovator Recognition Program. After February 2016, our NEOs were no longer eligible to receive awards under our Employee Innovator Recognition Program. Mr. Ergen’s “All Other Compensation” is comprised solely of his personal use (and on certain occasions the personal use by members of his family and other guests) of the corporate aircraft during the years ended December 31, 2017, 2016 and 2015. We calculate the value of personal use of the corporate aircraft based upon the incremental cost of such usage to us. Since both EchoStar and DISH use the corporate aircraft and Mr. Ergen is an employee of EchoStar and DISH, certain incremental costs related to personal use of the corporate aircraft by Mr. Ergen and his family members and guests are allocated between EchoStar and DISH.</w:t>
      </w:r>
    </w:p>
    <w:p>
      <w:pPr>
        <w:spacing w:after="0" w:line="2" w:lineRule="exact"/>
        <w:rPr>
          <w:rFonts w:ascii="Arial" w:cs="Arial" w:eastAsia="Arial" w:hAnsi="Arial"/>
          <w:sz w:val="14"/>
          <w:szCs w:val="14"/>
          <w:color w:val="auto"/>
        </w:rPr>
      </w:pPr>
    </w:p>
    <w:p>
      <w:pPr>
        <w:ind w:left="340" w:hanging="332"/>
        <w:spacing w:after="0"/>
        <w:tabs>
          <w:tab w:leader="none" w:pos="3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Mr. Johnson’s base salary was increased effective May 2017, April 2016 and April 2015.</w:t>
      </w:r>
    </w:p>
    <w:p>
      <w:pPr>
        <w:spacing w:after="0" w:line="1" w:lineRule="exact"/>
        <w:rPr>
          <w:rFonts w:ascii="Arial" w:cs="Arial" w:eastAsia="Arial" w:hAnsi="Arial"/>
          <w:sz w:val="14"/>
          <w:szCs w:val="14"/>
          <w:color w:val="auto"/>
        </w:rPr>
      </w:pPr>
    </w:p>
    <w:p>
      <w:pPr>
        <w:ind w:left="340" w:hanging="332"/>
        <w:spacing w:after="0" w:line="260" w:lineRule="auto"/>
        <w:tabs>
          <w:tab w:leader="none" w:pos="340" w:val="left"/>
        </w:tabs>
        <w:numPr>
          <w:ilvl w:val="0"/>
          <w:numId w:val="19"/>
        </w:numPr>
        <w:rPr>
          <w:rFonts w:ascii="Arial" w:cs="Arial" w:eastAsia="Arial" w:hAnsi="Arial"/>
          <w:sz w:val="13"/>
          <w:szCs w:val="13"/>
          <w:color w:val="auto"/>
        </w:rPr>
      </w:pPr>
      <w:r>
        <w:rPr>
          <w:rFonts w:ascii="Arial" w:cs="Arial" w:eastAsia="Arial" w:hAnsi="Arial"/>
          <w:sz w:val="13"/>
          <w:szCs w:val="13"/>
          <w:color w:val="auto"/>
        </w:rPr>
        <w:t>Mr. Kaul’s base salary was increased effective May 2017 and April 2015. Mr. Kaul’s “All Other Compensation” includes amounts related to programs put in place by Hughes prior to the Hughes Acquisition and is comprised of (i) executive medical benefits, (ii) financial planning services, (iii) personal liability insurance, and (iv) imputed income for group term life insurance.</w:t>
      </w:r>
    </w:p>
    <w:p>
      <w:pPr>
        <w:ind w:left="340" w:hanging="332"/>
        <w:spacing w:after="0"/>
        <w:tabs>
          <w:tab w:leader="none" w:pos="3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Mr. Rayner’s base salary was increased effective May 2017, April 2016 and April 2015.</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364"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i w:val="1"/>
          <w:iCs w:val="1"/>
          <w:color w:val="auto"/>
        </w:rPr>
        <w:t>Grants of Plan-Based Awards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on awards granted to our NEOs in 2017.</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960" w:type="dxa"/>
            <w:vAlign w:val="bottom"/>
            <w:gridSpan w:val="6"/>
          </w:tcPr>
          <w:p>
            <w:pPr>
              <w:ind w:left="60"/>
              <w:spacing w:after="0"/>
              <w:rPr>
                <w:sz w:val="20"/>
                <w:szCs w:val="20"/>
                <w:color w:val="auto"/>
              </w:rPr>
            </w:pPr>
            <w:r>
              <w:rPr>
                <w:rFonts w:ascii="Arial" w:cs="Arial" w:eastAsia="Arial" w:hAnsi="Arial"/>
                <w:sz w:val="11"/>
                <w:szCs w:val="11"/>
                <w:b w:val="1"/>
                <w:bCs w:val="1"/>
                <w:color w:val="auto"/>
                <w:w w:val="93"/>
              </w:rPr>
              <w:t>Estimated Future Payouts Under Non-Equity Incentive Plan</w:t>
            </w:r>
          </w:p>
        </w:tc>
        <w:tc>
          <w:tcPr>
            <w:tcW w:w="2680" w:type="dxa"/>
            <w:vAlign w:val="bottom"/>
            <w:gridSpan w:val="6"/>
          </w:tcPr>
          <w:p>
            <w:pPr>
              <w:jc w:val="center"/>
              <w:ind w:right="80"/>
              <w:spacing w:after="0"/>
              <w:rPr>
                <w:sz w:val="20"/>
                <w:szCs w:val="20"/>
                <w:color w:val="auto"/>
              </w:rPr>
            </w:pPr>
            <w:r>
              <w:rPr>
                <w:rFonts w:ascii="Arial" w:cs="Arial" w:eastAsia="Arial" w:hAnsi="Arial"/>
                <w:sz w:val="11"/>
                <w:szCs w:val="11"/>
                <w:b w:val="1"/>
                <w:bCs w:val="1"/>
                <w:color w:val="auto"/>
                <w:w w:val="89"/>
              </w:rPr>
              <w:t>Estimated Future Payouts Under Equity Incentive</w:t>
            </w:r>
          </w:p>
        </w:tc>
        <w:tc>
          <w:tcPr>
            <w:tcW w:w="88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3"/>
              </w:rPr>
              <w:t>All Other Stock</w:t>
            </w:r>
          </w:p>
        </w:tc>
        <w:tc>
          <w:tcPr>
            <w:tcW w:w="96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1"/>
              </w:rPr>
              <w:t>All Other Option</w:t>
            </w: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460"/>
              <w:spacing w:after="0"/>
              <w:rPr>
                <w:sz w:val="20"/>
                <w:szCs w:val="20"/>
                <w:color w:val="auto"/>
              </w:rPr>
            </w:pPr>
            <w:r>
              <w:rPr>
                <w:rFonts w:ascii="Arial" w:cs="Arial" w:eastAsia="Arial" w:hAnsi="Arial"/>
                <w:sz w:val="11"/>
                <w:szCs w:val="11"/>
                <w:b w:val="1"/>
                <w:bCs w:val="1"/>
                <w:color w:val="auto"/>
              </w:rPr>
              <w:t>Awards</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90"/>
              </w:rPr>
              <w:t>Plan Awards</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7"/>
              </w:rPr>
              <w:t>Awards:</w:t>
            </w:r>
          </w:p>
        </w:tc>
        <w:tc>
          <w:tcPr>
            <w:tcW w:w="96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7"/>
              </w:rPr>
              <w:t>Awards:</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gridSpan w:val="2"/>
            <w:vMerge w:val="restart"/>
          </w:tcPr>
          <w:p>
            <w:pPr>
              <w:jc w:val="center"/>
              <w:ind w:right="100"/>
              <w:spacing w:after="0"/>
              <w:rPr>
                <w:sz w:val="20"/>
                <w:szCs w:val="20"/>
                <w:color w:val="auto"/>
              </w:rPr>
            </w:pPr>
            <w:r>
              <w:rPr>
                <w:rFonts w:ascii="Arial" w:cs="Arial" w:eastAsia="Arial" w:hAnsi="Arial"/>
                <w:sz w:val="11"/>
                <w:szCs w:val="11"/>
                <w:b w:val="1"/>
                <w:bCs w:val="1"/>
                <w:color w:val="auto"/>
                <w:w w:val="90"/>
              </w:rPr>
              <w:t>Number of</w:t>
            </w: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gridSpan w:val="2"/>
            <w:vMerge w:val="restart"/>
          </w:tcPr>
          <w:p>
            <w:pPr>
              <w:jc w:val="center"/>
              <w:spacing w:after="0"/>
              <w:rPr>
                <w:sz w:val="20"/>
                <w:szCs w:val="20"/>
                <w:color w:val="auto"/>
              </w:rPr>
            </w:pPr>
            <w:r>
              <w:rPr>
                <w:rFonts w:ascii="Arial" w:cs="Arial" w:eastAsia="Arial" w:hAnsi="Arial"/>
                <w:sz w:val="11"/>
                <w:szCs w:val="11"/>
                <w:b w:val="1"/>
                <w:bCs w:val="1"/>
                <w:color w:val="auto"/>
                <w:w w:val="95"/>
              </w:rPr>
              <w:t>Grant Date</w:t>
            </w:r>
          </w:p>
        </w:tc>
        <w:tc>
          <w:tcPr>
            <w:tcW w:w="0" w:type="dxa"/>
            <w:vAlign w:val="bottom"/>
          </w:tcPr>
          <w:p>
            <w:pPr>
              <w:spacing w:after="0"/>
              <w:rPr>
                <w:sz w:val="1"/>
                <w:szCs w:val="1"/>
                <w:color w:val="auto"/>
              </w:rPr>
            </w:pPr>
          </w:p>
        </w:tc>
      </w:tr>
      <w:tr>
        <w:trPr>
          <w:trHeight w:val="115"/>
        </w:trPr>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91"/>
              </w:rPr>
              <w:t>Date of</w:t>
            </w: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7"/>
              </w:rPr>
              <w:t>Securities</w:t>
            </w:r>
          </w:p>
        </w:tc>
        <w:tc>
          <w:tcPr>
            <w:tcW w:w="90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7"/>
              </w:rPr>
              <w:t>Exercise or</w:t>
            </w:r>
          </w:p>
        </w:tc>
        <w:tc>
          <w:tcPr>
            <w:tcW w:w="78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93"/>
              </w:rPr>
              <w:t>Fair Value of</w:t>
            </w:r>
          </w:p>
        </w:tc>
        <w:tc>
          <w:tcPr>
            <w:tcW w:w="0" w:type="dxa"/>
            <w:vAlign w:val="bottom"/>
          </w:tcPr>
          <w:p>
            <w:pPr>
              <w:spacing w:after="0"/>
              <w:rPr>
                <w:sz w:val="1"/>
                <w:szCs w:val="1"/>
                <w:color w:val="auto"/>
              </w:rPr>
            </w:pPr>
          </w:p>
        </w:tc>
      </w:tr>
      <w:tr>
        <w:trPr>
          <w:trHeight w:val="122"/>
        </w:trPr>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6"/>
              </w:rPr>
              <w:t>Compensation</w:t>
            </w: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90"/>
              </w:rPr>
              <w:t>Number of</w:t>
            </w:r>
          </w:p>
        </w:tc>
        <w:tc>
          <w:tcPr>
            <w:tcW w:w="960" w:type="dxa"/>
            <w:vAlign w:val="bottom"/>
            <w:gridSpan w:val="2"/>
          </w:tcPr>
          <w:p>
            <w:pPr>
              <w:jc w:val="center"/>
              <w:ind w:right="80"/>
              <w:spacing w:after="0" w:line="122" w:lineRule="exact"/>
              <w:rPr>
                <w:sz w:val="20"/>
                <w:szCs w:val="20"/>
                <w:color w:val="auto"/>
              </w:rPr>
            </w:pPr>
            <w:r>
              <w:rPr>
                <w:rFonts w:ascii="Arial" w:cs="Arial" w:eastAsia="Arial" w:hAnsi="Arial"/>
                <w:sz w:val="11"/>
                <w:szCs w:val="11"/>
                <w:b w:val="1"/>
                <w:bCs w:val="1"/>
                <w:color w:val="auto"/>
                <w:w w:val="90"/>
              </w:rPr>
              <w:t>Underlying</w:t>
            </w:r>
          </w:p>
        </w:tc>
        <w:tc>
          <w:tcPr>
            <w:tcW w:w="90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6"/>
              </w:rPr>
              <w:t>Base Price of</w:t>
            </w:r>
          </w:p>
        </w:tc>
        <w:tc>
          <w:tcPr>
            <w:tcW w:w="78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87"/>
              </w:rPr>
              <w:t>Stock and</w:t>
            </w:r>
          </w:p>
        </w:tc>
        <w:tc>
          <w:tcPr>
            <w:tcW w:w="0" w:type="dxa"/>
            <w:vAlign w:val="bottom"/>
          </w:tcPr>
          <w:p>
            <w:pPr>
              <w:spacing w:after="0"/>
              <w:rPr>
                <w:sz w:val="1"/>
                <w:szCs w:val="1"/>
                <w:color w:val="auto"/>
              </w:rPr>
            </w:pPr>
          </w:p>
        </w:tc>
      </w:tr>
      <w:tr>
        <w:trPr>
          <w:trHeight w:val="122"/>
        </w:trPr>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1"/>
              </w:rPr>
              <w:t>Committee</w:t>
            </w:r>
          </w:p>
        </w:tc>
        <w:tc>
          <w:tcPr>
            <w:tcW w:w="1180" w:type="dxa"/>
            <w:vAlign w:val="bottom"/>
            <w:gridSpan w:val="2"/>
          </w:tcPr>
          <w:p>
            <w:pPr>
              <w:ind w:left="300"/>
              <w:spacing w:after="0" w:line="122" w:lineRule="exact"/>
              <w:rPr>
                <w:sz w:val="20"/>
                <w:szCs w:val="20"/>
                <w:color w:val="auto"/>
              </w:rPr>
            </w:pPr>
            <w:r>
              <w:rPr>
                <w:rFonts w:ascii="Arial" w:cs="Arial" w:eastAsia="Arial" w:hAnsi="Arial"/>
                <w:sz w:val="11"/>
                <w:szCs w:val="11"/>
                <w:b w:val="1"/>
                <w:bCs w:val="1"/>
                <w:color w:val="auto"/>
              </w:rPr>
              <w:t>Threshold</w:t>
            </w:r>
          </w:p>
        </w:tc>
        <w:tc>
          <w:tcPr>
            <w:tcW w:w="900" w:type="dxa"/>
            <w:vAlign w:val="bottom"/>
            <w:gridSpan w:val="2"/>
          </w:tcPr>
          <w:p>
            <w:pPr>
              <w:jc w:val="right"/>
              <w:ind w:right="360"/>
              <w:spacing w:after="0" w:line="122" w:lineRule="exact"/>
              <w:rPr>
                <w:sz w:val="20"/>
                <w:szCs w:val="20"/>
                <w:color w:val="auto"/>
              </w:rPr>
            </w:pPr>
            <w:r>
              <w:rPr>
                <w:rFonts w:ascii="Arial" w:cs="Arial" w:eastAsia="Arial" w:hAnsi="Arial"/>
                <w:sz w:val="11"/>
                <w:szCs w:val="11"/>
                <w:b w:val="1"/>
                <w:bCs w:val="1"/>
                <w:color w:val="auto"/>
              </w:rPr>
              <w:t>Target</w:t>
            </w:r>
          </w:p>
        </w:tc>
        <w:tc>
          <w:tcPr>
            <w:tcW w:w="880" w:type="dxa"/>
            <w:vAlign w:val="bottom"/>
            <w:gridSpan w:val="2"/>
          </w:tcPr>
          <w:p>
            <w:pPr>
              <w:ind w:left="140"/>
              <w:spacing w:after="0" w:line="122" w:lineRule="exact"/>
              <w:rPr>
                <w:sz w:val="20"/>
                <w:szCs w:val="20"/>
                <w:color w:val="auto"/>
              </w:rPr>
            </w:pPr>
            <w:r>
              <w:rPr>
                <w:rFonts w:ascii="Arial" w:cs="Arial" w:eastAsia="Arial" w:hAnsi="Arial"/>
                <w:sz w:val="11"/>
                <w:szCs w:val="11"/>
                <w:b w:val="1"/>
                <w:bCs w:val="1"/>
                <w:color w:val="auto"/>
              </w:rPr>
              <w:t>Maximum</w:t>
            </w:r>
          </w:p>
        </w:tc>
        <w:tc>
          <w:tcPr>
            <w:tcW w:w="900" w:type="dxa"/>
            <w:vAlign w:val="bottom"/>
            <w:gridSpan w:val="2"/>
          </w:tcPr>
          <w:p>
            <w:pPr>
              <w:ind w:left="160"/>
              <w:spacing w:after="0" w:line="122" w:lineRule="exact"/>
              <w:rPr>
                <w:sz w:val="20"/>
                <w:szCs w:val="20"/>
                <w:color w:val="auto"/>
              </w:rPr>
            </w:pPr>
            <w:r>
              <w:rPr>
                <w:rFonts w:ascii="Arial" w:cs="Arial" w:eastAsia="Arial" w:hAnsi="Arial"/>
                <w:sz w:val="11"/>
                <w:szCs w:val="11"/>
                <w:b w:val="1"/>
                <w:bCs w:val="1"/>
                <w:color w:val="auto"/>
              </w:rPr>
              <w:t>Threshold</w:t>
            </w:r>
          </w:p>
        </w:tc>
        <w:tc>
          <w:tcPr>
            <w:tcW w:w="88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9"/>
              </w:rPr>
              <w:t>Target</w:t>
            </w:r>
          </w:p>
        </w:tc>
        <w:tc>
          <w:tcPr>
            <w:tcW w:w="900" w:type="dxa"/>
            <w:vAlign w:val="bottom"/>
            <w:gridSpan w:val="2"/>
          </w:tcPr>
          <w:p>
            <w:pPr>
              <w:ind w:left="160"/>
              <w:spacing w:after="0" w:line="122" w:lineRule="exact"/>
              <w:rPr>
                <w:sz w:val="20"/>
                <w:szCs w:val="20"/>
                <w:color w:val="auto"/>
              </w:rPr>
            </w:pPr>
            <w:r>
              <w:rPr>
                <w:rFonts w:ascii="Arial" w:cs="Arial" w:eastAsia="Arial" w:hAnsi="Arial"/>
                <w:sz w:val="11"/>
                <w:szCs w:val="11"/>
                <w:b w:val="1"/>
                <w:bCs w:val="1"/>
                <w:color w:val="auto"/>
              </w:rPr>
              <w:t>Maximum</w:t>
            </w:r>
          </w:p>
        </w:tc>
        <w:tc>
          <w:tcPr>
            <w:tcW w:w="88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4"/>
              </w:rPr>
              <w:t>Shares of Stock</w:t>
            </w:r>
          </w:p>
        </w:tc>
        <w:tc>
          <w:tcPr>
            <w:tcW w:w="96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91"/>
              </w:rPr>
              <w:t>Options</w:t>
            </w:r>
          </w:p>
        </w:tc>
        <w:tc>
          <w:tcPr>
            <w:tcW w:w="90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9"/>
              </w:rPr>
              <w:t>Option Awards</w:t>
            </w:r>
          </w:p>
        </w:tc>
        <w:tc>
          <w:tcPr>
            <w:tcW w:w="78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89"/>
              </w:rPr>
              <w:t>Option Awards</w:t>
            </w:r>
          </w:p>
        </w:tc>
        <w:tc>
          <w:tcPr>
            <w:tcW w:w="0" w:type="dxa"/>
            <w:vAlign w:val="bottom"/>
          </w:tcPr>
          <w:p>
            <w:pPr>
              <w:spacing w:after="0"/>
              <w:rPr>
                <w:sz w:val="1"/>
                <w:szCs w:val="1"/>
                <w:color w:val="auto"/>
              </w:rPr>
            </w:pPr>
          </w:p>
        </w:tc>
      </w:tr>
      <w:tr>
        <w:trPr>
          <w:trHeight w:val="140"/>
        </w:trPr>
        <w:tc>
          <w:tcPr>
            <w:tcW w:w="560" w:type="dxa"/>
            <w:vAlign w:val="bottom"/>
            <w:gridSpan w:val="2"/>
          </w:tcPr>
          <w:p>
            <w:pPr>
              <w:ind w:left="100"/>
              <w:spacing w:after="0"/>
              <w:rPr>
                <w:sz w:val="20"/>
                <w:szCs w:val="20"/>
                <w:color w:val="auto"/>
              </w:rPr>
            </w:pPr>
            <w:r>
              <w:rPr>
                <w:rFonts w:ascii="Arial" w:cs="Arial" w:eastAsia="Arial" w:hAnsi="Arial"/>
                <w:sz w:val="11"/>
                <w:szCs w:val="11"/>
                <w:b w:val="1"/>
                <w:bCs w:val="1"/>
                <w:color w:val="auto"/>
              </w:rPr>
              <w:t>Name</w:t>
            </w:r>
          </w:p>
        </w:tc>
        <w:tc>
          <w:tcPr>
            <w:tcW w:w="900" w:type="dxa"/>
            <w:vAlign w:val="bottom"/>
            <w:gridSpan w:val="2"/>
          </w:tcPr>
          <w:p>
            <w:pPr>
              <w:jc w:val="right"/>
              <w:ind w:right="240"/>
              <w:spacing w:after="0"/>
              <w:rPr>
                <w:sz w:val="20"/>
                <w:szCs w:val="20"/>
                <w:color w:val="auto"/>
              </w:rPr>
            </w:pPr>
            <w:r>
              <w:rPr>
                <w:rFonts w:ascii="Arial" w:cs="Arial" w:eastAsia="Arial" w:hAnsi="Arial"/>
                <w:sz w:val="11"/>
                <w:szCs w:val="11"/>
                <w:b w:val="1"/>
                <w:bCs w:val="1"/>
                <w:color w:val="auto"/>
              </w:rPr>
              <w:t>Grant Date</w:t>
            </w:r>
          </w:p>
        </w:tc>
        <w:tc>
          <w:tcPr>
            <w:tcW w:w="88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2"/>
              </w:rPr>
              <w:t>Approval</w:t>
            </w:r>
          </w:p>
        </w:tc>
        <w:tc>
          <w:tcPr>
            <w:tcW w:w="1080" w:type="dxa"/>
            <w:vAlign w:val="bottom"/>
          </w:tcPr>
          <w:p>
            <w:pPr>
              <w:ind w:left="420"/>
              <w:spacing w:after="0"/>
              <w:rPr>
                <w:sz w:val="20"/>
                <w:szCs w:val="20"/>
                <w:color w:val="auto"/>
              </w:rPr>
            </w:pPr>
            <w:r>
              <w:rPr>
                <w:rFonts w:ascii="Arial" w:cs="Arial" w:eastAsia="Arial" w:hAnsi="Arial"/>
                <w:sz w:val="11"/>
                <w:szCs w:val="11"/>
                <w:b w:val="1"/>
                <w:bCs w:val="1"/>
                <w:color w:val="auto"/>
              </w:rPr>
              <w:t>($)(1)</w:t>
            </w:r>
          </w:p>
        </w:tc>
        <w:tc>
          <w:tcPr>
            <w:tcW w:w="100" w:type="dxa"/>
            <w:vAlign w:val="bottom"/>
          </w:tcPr>
          <w:p>
            <w:pPr>
              <w:spacing w:after="0"/>
              <w:rPr>
                <w:sz w:val="12"/>
                <w:szCs w:val="12"/>
                <w:color w:val="auto"/>
              </w:rPr>
            </w:pPr>
          </w:p>
        </w:tc>
        <w:tc>
          <w:tcPr>
            <w:tcW w:w="780" w:type="dxa"/>
            <w:vAlign w:val="bottom"/>
          </w:tcPr>
          <w:p>
            <w:pPr>
              <w:jc w:val="right"/>
              <w:ind w:right="206"/>
              <w:spacing w:after="0"/>
              <w:rPr>
                <w:sz w:val="20"/>
                <w:szCs w:val="20"/>
                <w:color w:val="auto"/>
              </w:rPr>
            </w:pPr>
            <w:r>
              <w:rPr>
                <w:rFonts w:ascii="Arial" w:cs="Arial" w:eastAsia="Arial" w:hAnsi="Arial"/>
                <w:sz w:val="11"/>
                <w:szCs w:val="11"/>
                <w:b w:val="1"/>
                <w:bCs w:val="1"/>
                <w:color w:val="auto"/>
              </w:rPr>
              <w:t>($)(1)</w:t>
            </w:r>
          </w:p>
        </w:tc>
        <w:tc>
          <w:tcPr>
            <w:tcW w:w="120" w:type="dxa"/>
            <w:vAlign w:val="bottom"/>
          </w:tcPr>
          <w:p>
            <w:pPr>
              <w:spacing w:after="0"/>
              <w:rPr>
                <w:sz w:val="12"/>
                <w:szCs w:val="12"/>
                <w:color w:val="auto"/>
              </w:rPr>
            </w:pPr>
          </w:p>
        </w:tc>
        <w:tc>
          <w:tcPr>
            <w:tcW w:w="780" w:type="dxa"/>
            <w:vAlign w:val="bottom"/>
          </w:tcPr>
          <w:p>
            <w:pPr>
              <w:jc w:val="right"/>
              <w:ind w:right="226"/>
              <w:spacing w:after="0"/>
              <w:rPr>
                <w:sz w:val="20"/>
                <w:szCs w:val="20"/>
                <w:color w:val="auto"/>
              </w:rPr>
            </w:pPr>
            <w:r>
              <w:rPr>
                <w:rFonts w:ascii="Arial" w:cs="Arial" w:eastAsia="Arial" w:hAnsi="Arial"/>
                <w:sz w:val="11"/>
                <w:szCs w:val="11"/>
                <w:b w:val="1"/>
                <w:bCs w:val="1"/>
                <w:color w:val="auto"/>
              </w:rPr>
              <w:t>($)(1)</w:t>
            </w:r>
          </w:p>
        </w:tc>
        <w:tc>
          <w:tcPr>
            <w:tcW w:w="100" w:type="dxa"/>
            <w:vAlign w:val="bottom"/>
          </w:tcPr>
          <w:p>
            <w:pPr>
              <w:spacing w:after="0"/>
              <w:rPr>
                <w:sz w:val="12"/>
                <w:szCs w:val="12"/>
                <w:color w:val="auto"/>
              </w:rPr>
            </w:pPr>
          </w:p>
        </w:tc>
        <w:tc>
          <w:tcPr>
            <w:tcW w:w="780" w:type="dxa"/>
            <w:vAlign w:val="bottom"/>
          </w:tcPr>
          <w:p>
            <w:pPr>
              <w:ind w:left="340"/>
              <w:spacing w:after="0"/>
              <w:rPr>
                <w:sz w:val="20"/>
                <w:szCs w:val="20"/>
                <w:color w:val="auto"/>
              </w:rPr>
            </w:pPr>
            <w:r>
              <w:rPr>
                <w:rFonts w:ascii="Arial" w:cs="Arial" w:eastAsia="Arial" w:hAnsi="Arial"/>
                <w:sz w:val="11"/>
                <w:szCs w:val="11"/>
                <w:b w:val="1"/>
                <w:bCs w:val="1"/>
                <w:color w:val="auto"/>
              </w:rPr>
              <w:t>(#)</w:t>
            </w:r>
          </w:p>
        </w:tc>
        <w:tc>
          <w:tcPr>
            <w:tcW w:w="120" w:type="dxa"/>
            <w:vAlign w:val="bottom"/>
          </w:tcPr>
          <w:p>
            <w:pPr>
              <w:spacing w:after="0"/>
              <w:rPr>
                <w:sz w:val="12"/>
                <w:szCs w:val="12"/>
                <w:color w:val="auto"/>
              </w:rPr>
            </w:pPr>
          </w:p>
        </w:tc>
        <w:tc>
          <w:tcPr>
            <w:tcW w:w="780" w:type="dxa"/>
            <w:vAlign w:val="bottom"/>
          </w:tcPr>
          <w:p>
            <w:pPr>
              <w:jc w:val="center"/>
              <w:spacing w:after="0"/>
              <w:rPr>
                <w:sz w:val="20"/>
                <w:szCs w:val="20"/>
                <w:color w:val="auto"/>
              </w:rPr>
            </w:pPr>
            <w:r>
              <w:rPr>
                <w:rFonts w:ascii="Arial" w:cs="Arial" w:eastAsia="Arial" w:hAnsi="Arial"/>
                <w:sz w:val="11"/>
                <w:szCs w:val="11"/>
                <w:b w:val="1"/>
                <w:bCs w:val="1"/>
                <w:color w:val="auto"/>
                <w:w w:val="88"/>
              </w:rPr>
              <w:t>(#)</w:t>
            </w:r>
          </w:p>
        </w:tc>
        <w:tc>
          <w:tcPr>
            <w:tcW w:w="100" w:type="dxa"/>
            <w:vAlign w:val="bottom"/>
          </w:tcPr>
          <w:p>
            <w:pPr>
              <w:spacing w:after="0"/>
              <w:rPr>
                <w:sz w:val="12"/>
                <w:szCs w:val="12"/>
                <w:color w:val="auto"/>
              </w:rPr>
            </w:pPr>
          </w:p>
        </w:tc>
        <w:tc>
          <w:tcPr>
            <w:tcW w:w="780" w:type="dxa"/>
            <w:vAlign w:val="bottom"/>
          </w:tcPr>
          <w:p>
            <w:pPr>
              <w:ind w:left="340"/>
              <w:spacing w:after="0"/>
              <w:rPr>
                <w:sz w:val="20"/>
                <w:szCs w:val="20"/>
                <w:color w:val="auto"/>
              </w:rPr>
            </w:pPr>
            <w:r>
              <w:rPr>
                <w:rFonts w:ascii="Arial" w:cs="Arial" w:eastAsia="Arial" w:hAnsi="Arial"/>
                <w:sz w:val="11"/>
                <w:szCs w:val="11"/>
                <w:b w:val="1"/>
                <w:bCs w:val="1"/>
                <w:color w:val="auto"/>
              </w:rPr>
              <w:t>(#)</w:t>
            </w:r>
          </w:p>
        </w:tc>
        <w:tc>
          <w:tcPr>
            <w:tcW w:w="120" w:type="dxa"/>
            <w:vAlign w:val="bottom"/>
          </w:tcPr>
          <w:p>
            <w:pPr>
              <w:spacing w:after="0"/>
              <w:rPr>
                <w:sz w:val="12"/>
                <w:szCs w:val="12"/>
                <w:color w:val="auto"/>
              </w:rPr>
            </w:pPr>
          </w:p>
        </w:tc>
        <w:tc>
          <w:tcPr>
            <w:tcW w:w="88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2"/>
              </w:rPr>
              <w:t>or Units (#)</w:t>
            </w:r>
          </w:p>
        </w:tc>
        <w:tc>
          <w:tcPr>
            <w:tcW w:w="860" w:type="dxa"/>
            <w:vAlign w:val="bottom"/>
          </w:tcPr>
          <w:p>
            <w:pPr>
              <w:jc w:val="center"/>
              <w:spacing w:after="0"/>
              <w:rPr>
                <w:sz w:val="20"/>
                <w:szCs w:val="20"/>
                <w:color w:val="auto"/>
              </w:rPr>
            </w:pPr>
            <w:r>
              <w:rPr>
                <w:rFonts w:ascii="Arial" w:cs="Arial" w:eastAsia="Arial" w:hAnsi="Arial"/>
                <w:sz w:val="11"/>
                <w:szCs w:val="11"/>
                <w:b w:val="1"/>
                <w:bCs w:val="1"/>
                <w:color w:val="auto"/>
              </w:rPr>
              <w:t>(#)</w:t>
            </w:r>
          </w:p>
        </w:tc>
        <w:tc>
          <w:tcPr>
            <w:tcW w:w="100" w:type="dxa"/>
            <w:vAlign w:val="bottom"/>
          </w:tcPr>
          <w:p>
            <w:pPr>
              <w:spacing w:after="0"/>
              <w:rPr>
                <w:sz w:val="12"/>
                <w:szCs w:val="12"/>
                <w:color w:val="auto"/>
              </w:rPr>
            </w:pPr>
          </w:p>
        </w:tc>
        <w:tc>
          <w:tcPr>
            <w:tcW w:w="9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8"/>
              </w:rPr>
              <w:t>($/sh)</w:t>
            </w:r>
          </w:p>
        </w:tc>
        <w:tc>
          <w:tcPr>
            <w:tcW w:w="700" w:type="dxa"/>
            <w:vAlign w:val="bottom"/>
          </w:tcPr>
          <w:p>
            <w:pPr>
              <w:jc w:val="center"/>
              <w:ind w:left="6"/>
              <w:spacing w:after="0"/>
              <w:rPr>
                <w:sz w:val="20"/>
                <w:szCs w:val="20"/>
                <w:color w:val="auto"/>
              </w:rPr>
            </w:pPr>
            <w:r>
              <w:rPr>
                <w:rFonts w:ascii="Arial" w:cs="Arial" w:eastAsia="Arial" w:hAnsi="Arial"/>
                <w:sz w:val="11"/>
                <w:szCs w:val="11"/>
                <w:b w:val="1"/>
                <w:bCs w:val="1"/>
                <w:color w:val="auto"/>
                <w:w w:val="93"/>
              </w:rPr>
              <w:t>($) (2)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2"/>
        </w:trPr>
        <w:tc>
          <w:tcPr>
            <w:tcW w:w="560" w:type="dxa"/>
            <w:vAlign w:val="bottom"/>
            <w:gridSpan w:val="2"/>
            <w:shd w:val="clear" w:color="auto" w:fill="CCEEFF"/>
          </w:tcPr>
          <w:p>
            <w:pPr>
              <w:ind w:left="40"/>
              <w:spacing w:after="0"/>
              <w:rPr>
                <w:sz w:val="20"/>
                <w:szCs w:val="20"/>
                <w:color w:val="auto"/>
              </w:rPr>
            </w:pPr>
            <w:r>
              <w:rPr>
                <w:rFonts w:ascii="Arial" w:cs="Arial" w:eastAsia="Arial" w:hAnsi="Arial"/>
                <w:sz w:val="11"/>
                <w:szCs w:val="11"/>
                <w:color w:val="auto"/>
              </w:rPr>
              <w:t>Michael</w:t>
            </w: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560" w:type="dxa"/>
            <w:vAlign w:val="bottom"/>
            <w:gridSpan w:val="2"/>
            <w:shd w:val="clear" w:color="auto" w:fill="CCEEFF"/>
          </w:tcPr>
          <w:p>
            <w:pPr>
              <w:ind w:left="40"/>
              <w:spacing w:after="0" w:line="122" w:lineRule="exact"/>
              <w:rPr>
                <w:sz w:val="20"/>
                <w:szCs w:val="20"/>
                <w:color w:val="auto"/>
              </w:rPr>
            </w:pPr>
            <w:r>
              <w:rPr>
                <w:rFonts w:ascii="Arial" w:cs="Arial" w:eastAsia="Arial" w:hAnsi="Arial"/>
                <w:sz w:val="11"/>
                <w:szCs w:val="11"/>
                <w:color w:val="auto"/>
              </w:rPr>
              <w:t>T.</w:t>
            </w:r>
          </w:p>
        </w:tc>
        <w:tc>
          <w:tcPr>
            <w:tcW w:w="7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1"/>
                <w:szCs w:val="11"/>
                <w:color w:val="auto"/>
              </w:rPr>
              <w:t>Dugan</w:t>
            </w:r>
          </w:p>
        </w:tc>
        <w:tc>
          <w:tcPr>
            <w:tcW w:w="9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118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1"/>
                <w:szCs w:val="11"/>
                <w:color w:val="auto"/>
              </w:rPr>
              <w:t>—</w:t>
            </w:r>
          </w:p>
        </w:tc>
        <w:tc>
          <w:tcPr>
            <w:tcW w:w="9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1,000,000</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1,200,000</w:t>
            </w:r>
          </w:p>
        </w:tc>
        <w:tc>
          <w:tcPr>
            <w:tcW w:w="10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1"/>
                <w:szCs w:val="11"/>
                <w:color w:val="auto"/>
              </w:rPr>
              <w:t>—</w:t>
            </w:r>
          </w:p>
        </w:tc>
        <w:tc>
          <w:tcPr>
            <w:tcW w:w="88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1"/>
                <w:szCs w:val="11"/>
                <w:color w:val="auto"/>
              </w:rPr>
              <w:t>—</w:t>
            </w:r>
          </w:p>
        </w:tc>
        <w:tc>
          <w:tcPr>
            <w:tcW w:w="90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1"/>
                <w:szCs w:val="11"/>
                <w:color w:val="auto"/>
              </w:rPr>
              <w:t>—</w:t>
            </w:r>
          </w:p>
        </w:tc>
        <w:tc>
          <w:tcPr>
            <w:tcW w:w="88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1"/>
                <w:szCs w:val="11"/>
                <w:color w:val="auto"/>
              </w:rPr>
              <w:t>—</w:t>
            </w:r>
          </w:p>
        </w:tc>
        <w:tc>
          <w:tcPr>
            <w:tcW w:w="9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90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1"/>
                <w:szCs w:val="11"/>
                <w:color w:val="auto"/>
              </w:rPr>
              <w:t>—</w:t>
            </w: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9"/>
        </w:trPr>
        <w:tc>
          <w:tcPr>
            <w:tcW w:w="560" w:type="dxa"/>
            <w:vAlign w:val="bottom"/>
            <w:gridSpan w:val="2"/>
          </w:tcPr>
          <w:p>
            <w:pPr>
              <w:ind w:left="40"/>
              <w:spacing w:after="0"/>
              <w:rPr>
                <w:sz w:val="20"/>
                <w:szCs w:val="20"/>
                <w:color w:val="auto"/>
              </w:rPr>
            </w:pPr>
            <w:r>
              <w:rPr>
                <w:rFonts w:ascii="Arial" w:cs="Arial" w:eastAsia="Arial" w:hAnsi="Arial"/>
                <w:sz w:val="11"/>
                <w:szCs w:val="11"/>
                <w:color w:val="auto"/>
              </w:rPr>
              <w:t>Charles</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560" w:type="dxa"/>
            <w:vAlign w:val="bottom"/>
            <w:gridSpan w:val="2"/>
          </w:tcPr>
          <w:p>
            <w:pPr>
              <w:ind w:left="40"/>
              <w:spacing w:after="0" w:line="122" w:lineRule="exact"/>
              <w:rPr>
                <w:sz w:val="20"/>
                <w:szCs w:val="20"/>
                <w:color w:val="auto"/>
              </w:rPr>
            </w:pPr>
            <w:r>
              <w:rPr>
                <w:rFonts w:ascii="Arial" w:cs="Arial" w:eastAsia="Arial" w:hAnsi="Arial"/>
                <w:sz w:val="11"/>
                <w:szCs w:val="11"/>
                <w:color w:val="auto"/>
              </w:rPr>
              <w:t>W.</w:t>
            </w: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560" w:type="dxa"/>
            <w:vAlign w:val="bottom"/>
            <w:gridSpan w:val="2"/>
          </w:tcPr>
          <w:p>
            <w:pPr>
              <w:ind w:left="40"/>
              <w:spacing w:after="0" w:line="122" w:lineRule="exact"/>
              <w:rPr>
                <w:sz w:val="20"/>
                <w:szCs w:val="20"/>
                <w:color w:val="auto"/>
              </w:rPr>
            </w:pPr>
            <w:r>
              <w:rPr>
                <w:rFonts w:ascii="Arial" w:cs="Arial" w:eastAsia="Arial" w:hAnsi="Arial"/>
                <w:sz w:val="11"/>
                <w:szCs w:val="11"/>
                <w:color w:val="auto"/>
              </w:rPr>
              <w:t>Ergen</w:t>
            </w: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460" w:type="dxa"/>
            <w:vAlign w:val="bottom"/>
          </w:tcPr>
          <w:p>
            <w:pPr>
              <w:ind w:left="40"/>
              <w:spacing w:after="0"/>
              <w:rPr>
                <w:sz w:val="20"/>
                <w:szCs w:val="20"/>
                <w:color w:val="auto"/>
              </w:rPr>
            </w:pPr>
            <w:r>
              <w:rPr>
                <w:rFonts w:ascii="Arial" w:cs="Arial" w:eastAsia="Arial" w:hAnsi="Arial"/>
                <w:sz w:val="11"/>
                <w:szCs w:val="11"/>
                <w:color w:val="auto"/>
              </w:rPr>
              <w:t>(3)</w:t>
            </w:r>
          </w:p>
        </w:tc>
        <w:tc>
          <w:tcPr>
            <w:tcW w:w="100" w:type="dxa"/>
            <w:vAlign w:val="bottom"/>
          </w:tcPr>
          <w:p>
            <w:pPr>
              <w:spacing w:after="0"/>
              <w:rPr>
                <w:sz w:val="11"/>
                <w:szCs w:val="11"/>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1"/>
                <w:szCs w:val="11"/>
                <w:color w:val="auto"/>
              </w:rPr>
              <w:t>4/1/17</w:t>
            </w:r>
          </w:p>
        </w:tc>
        <w:tc>
          <w:tcPr>
            <w:tcW w:w="880" w:type="dxa"/>
            <w:vAlign w:val="bottom"/>
            <w:gridSpan w:val="2"/>
          </w:tcPr>
          <w:p>
            <w:pPr>
              <w:jc w:val="right"/>
              <w:ind w:right="100"/>
              <w:spacing w:after="0"/>
              <w:rPr>
                <w:sz w:val="20"/>
                <w:szCs w:val="20"/>
                <w:color w:val="auto"/>
              </w:rPr>
            </w:pPr>
            <w:r>
              <w:rPr>
                <w:rFonts w:ascii="Arial" w:cs="Arial" w:eastAsia="Arial" w:hAnsi="Arial"/>
                <w:sz w:val="11"/>
                <w:szCs w:val="11"/>
                <w:color w:val="auto"/>
              </w:rPr>
              <w:t>3/28/17</w:t>
            </w:r>
          </w:p>
        </w:tc>
        <w:tc>
          <w:tcPr>
            <w:tcW w:w="1180" w:type="dxa"/>
            <w:vAlign w:val="bottom"/>
            <w:gridSpan w:val="2"/>
          </w:tcPr>
          <w:p>
            <w:pPr>
              <w:ind w:left="960"/>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900" w:type="dxa"/>
            <w:vAlign w:val="bottom"/>
            <w:gridSpan w:val="2"/>
          </w:tcPr>
          <w:p>
            <w:pPr>
              <w:ind w:left="680"/>
              <w:spacing w:after="0"/>
              <w:rPr>
                <w:sz w:val="20"/>
                <w:szCs w:val="20"/>
                <w:color w:val="auto"/>
              </w:rPr>
            </w:pPr>
            <w:r>
              <w:rPr>
                <w:rFonts w:ascii="Arial" w:cs="Arial" w:eastAsia="Arial" w:hAnsi="Arial"/>
                <w:sz w:val="11"/>
                <w:szCs w:val="11"/>
                <w:color w:val="auto"/>
              </w:rPr>
              <w:t>—</w:t>
            </w:r>
          </w:p>
        </w:tc>
        <w:tc>
          <w:tcPr>
            <w:tcW w:w="880" w:type="dxa"/>
            <w:vAlign w:val="bottom"/>
            <w:gridSpan w:val="2"/>
          </w:tcPr>
          <w:p>
            <w:pPr>
              <w:ind w:left="660"/>
              <w:spacing w:after="0"/>
              <w:rPr>
                <w:sz w:val="20"/>
                <w:szCs w:val="20"/>
                <w:color w:val="auto"/>
              </w:rPr>
            </w:pPr>
            <w:r>
              <w:rPr>
                <w:rFonts w:ascii="Arial" w:cs="Arial" w:eastAsia="Arial" w:hAnsi="Arial"/>
                <w:sz w:val="11"/>
                <w:szCs w:val="11"/>
                <w:color w:val="auto"/>
              </w:rPr>
              <w:t>—</w:t>
            </w:r>
          </w:p>
        </w:tc>
        <w:tc>
          <w:tcPr>
            <w:tcW w:w="900" w:type="dxa"/>
            <w:vAlign w:val="bottom"/>
            <w:gridSpan w:val="2"/>
          </w:tcPr>
          <w:p>
            <w:pPr>
              <w:ind w:left="680"/>
              <w:spacing w:after="0"/>
              <w:rPr>
                <w:sz w:val="20"/>
                <w:szCs w:val="20"/>
                <w:color w:val="auto"/>
              </w:rPr>
            </w:pPr>
            <w:r>
              <w:rPr>
                <w:rFonts w:ascii="Arial" w:cs="Arial" w:eastAsia="Arial" w:hAnsi="Arial"/>
                <w:sz w:val="11"/>
                <w:szCs w:val="11"/>
                <w:color w:val="auto"/>
              </w:rPr>
              <w:t>—</w:t>
            </w:r>
          </w:p>
        </w:tc>
        <w:tc>
          <w:tcPr>
            <w:tcW w:w="880" w:type="dxa"/>
            <w:vAlign w:val="bottom"/>
            <w:gridSpan w:val="2"/>
          </w:tcPr>
          <w:p>
            <w:pPr>
              <w:ind w:left="680"/>
              <w:spacing w:after="0"/>
              <w:rPr>
                <w:sz w:val="20"/>
                <w:szCs w:val="20"/>
                <w:color w:val="auto"/>
              </w:rPr>
            </w:pPr>
            <w:r>
              <w:rPr>
                <w:rFonts w:ascii="Arial" w:cs="Arial" w:eastAsia="Arial" w:hAnsi="Arial"/>
                <w:sz w:val="11"/>
                <w:szCs w:val="11"/>
                <w:color w:val="auto"/>
              </w:rPr>
              <w:t>—</w:t>
            </w:r>
          </w:p>
        </w:tc>
        <w:tc>
          <w:tcPr>
            <w:tcW w:w="860" w:type="dxa"/>
            <w:vAlign w:val="bottom"/>
          </w:tcPr>
          <w:p>
            <w:pPr>
              <w:jc w:val="right"/>
              <w:spacing w:after="0"/>
              <w:rPr>
                <w:sz w:val="20"/>
                <w:szCs w:val="20"/>
                <w:color w:val="auto"/>
              </w:rPr>
            </w:pPr>
            <w:r>
              <w:rPr>
                <w:rFonts w:ascii="Arial" w:cs="Arial" w:eastAsia="Arial" w:hAnsi="Arial"/>
                <w:sz w:val="11"/>
                <w:szCs w:val="11"/>
                <w:color w:val="auto"/>
              </w:rPr>
              <w:t>500,000</w:t>
            </w:r>
          </w:p>
        </w:tc>
        <w:tc>
          <w:tcPr>
            <w:tcW w:w="100" w:type="dxa"/>
            <w:vAlign w:val="bottom"/>
          </w:tcPr>
          <w:p>
            <w:pPr>
              <w:spacing w:after="0"/>
              <w:rPr>
                <w:sz w:val="11"/>
                <w:szCs w:val="11"/>
                <w:color w:val="auto"/>
              </w:rPr>
            </w:pPr>
          </w:p>
        </w:tc>
        <w:tc>
          <w:tcPr>
            <w:tcW w:w="900" w:type="dxa"/>
            <w:vAlign w:val="bottom"/>
            <w:gridSpan w:val="2"/>
          </w:tcPr>
          <w:p>
            <w:pPr>
              <w:ind w:left="68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spacing w:after="0"/>
              <w:rPr>
                <w:sz w:val="20"/>
                <w:szCs w:val="20"/>
                <w:color w:val="auto"/>
              </w:rPr>
            </w:pPr>
            <w:r>
              <w:rPr>
                <w:rFonts w:ascii="Arial" w:cs="Arial" w:eastAsia="Arial" w:hAnsi="Arial"/>
                <w:sz w:val="11"/>
                <w:szCs w:val="11"/>
                <w:color w:val="auto"/>
              </w:rPr>
              <w:t>8,226,550</w:t>
            </w:r>
          </w:p>
        </w:tc>
        <w:tc>
          <w:tcPr>
            <w:tcW w:w="0" w:type="dxa"/>
            <w:vAlign w:val="bottom"/>
          </w:tcPr>
          <w:p>
            <w:pPr>
              <w:spacing w:after="0"/>
              <w:rPr>
                <w:sz w:val="1"/>
                <w:szCs w:val="1"/>
                <w:color w:val="auto"/>
              </w:rPr>
            </w:pPr>
          </w:p>
        </w:tc>
      </w:tr>
      <w:tr>
        <w:trPr>
          <w:trHeight w:val="22"/>
        </w:trPr>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560" w:type="dxa"/>
            <w:vAlign w:val="bottom"/>
            <w:gridSpan w:val="2"/>
            <w:shd w:val="clear" w:color="auto" w:fill="CCEEFF"/>
          </w:tcPr>
          <w:p>
            <w:pPr>
              <w:ind w:left="40"/>
              <w:spacing w:after="0"/>
              <w:rPr>
                <w:sz w:val="20"/>
                <w:szCs w:val="20"/>
                <w:color w:val="auto"/>
              </w:rPr>
            </w:pPr>
            <w:r>
              <w:rPr>
                <w:rFonts w:ascii="Arial" w:cs="Arial" w:eastAsia="Arial" w:hAnsi="Arial"/>
                <w:sz w:val="11"/>
                <w:szCs w:val="11"/>
                <w:color w:val="auto"/>
              </w:rPr>
              <w:t>Anders</w:t>
            </w: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560" w:type="dxa"/>
            <w:vAlign w:val="bottom"/>
            <w:gridSpan w:val="2"/>
            <w:shd w:val="clear" w:color="auto" w:fill="CCEEFF"/>
          </w:tcPr>
          <w:p>
            <w:pPr>
              <w:ind w:left="40"/>
              <w:spacing w:after="0" w:line="122" w:lineRule="exact"/>
              <w:rPr>
                <w:sz w:val="20"/>
                <w:szCs w:val="20"/>
                <w:color w:val="auto"/>
              </w:rPr>
            </w:pPr>
            <w:r>
              <w:rPr>
                <w:rFonts w:ascii="Arial" w:cs="Arial" w:eastAsia="Arial" w:hAnsi="Arial"/>
                <w:sz w:val="11"/>
                <w:szCs w:val="11"/>
                <w:color w:val="auto"/>
              </w:rPr>
              <w:t>N.</w:t>
            </w:r>
          </w:p>
        </w:tc>
        <w:tc>
          <w:tcPr>
            <w:tcW w:w="7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1"/>
                <w:szCs w:val="11"/>
                <w:color w:val="auto"/>
              </w:rPr>
              <w:t>Johnson</w:t>
            </w:r>
          </w:p>
        </w:tc>
        <w:tc>
          <w:tcPr>
            <w:tcW w:w="9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118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1"/>
                <w:szCs w:val="11"/>
                <w:color w:val="auto"/>
              </w:rPr>
              <w:t>—</w:t>
            </w:r>
          </w:p>
        </w:tc>
        <w:tc>
          <w:tcPr>
            <w:tcW w:w="9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600,000</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720,000</w:t>
            </w:r>
          </w:p>
        </w:tc>
        <w:tc>
          <w:tcPr>
            <w:tcW w:w="10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1"/>
                <w:szCs w:val="11"/>
                <w:color w:val="auto"/>
              </w:rPr>
              <w:t>—</w:t>
            </w:r>
          </w:p>
        </w:tc>
        <w:tc>
          <w:tcPr>
            <w:tcW w:w="88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1"/>
                <w:szCs w:val="11"/>
                <w:color w:val="auto"/>
              </w:rPr>
              <w:t>—</w:t>
            </w:r>
          </w:p>
        </w:tc>
        <w:tc>
          <w:tcPr>
            <w:tcW w:w="90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1"/>
                <w:szCs w:val="11"/>
                <w:color w:val="auto"/>
              </w:rPr>
              <w:t>—</w:t>
            </w:r>
          </w:p>
        </w:tc>
        <w:tc>
          <w:tcPr>
            <w:tcW w:w="88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1"/>
                <w:szCs w:val="11"/>
                <w:color w:val="auto"/>
              </w:rPr>
              <w:t>—</w:t>
            </w:r>
          </w:p>
        </w:tc>
        <w:tc>
          <w:tcPr>
            <w:tcW w:w="9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90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1"/>
                <w:szCs w:val="11"/>
                <w:color w:val="auto"/>
              </w:rPr>
              <w:t>—</w:t>
            </w: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9"/>
        </w:trPr>
        <w:tc>
          <w:tcPr>
            <w:tcW w:w="560" w:type="dxa"/>
            <w:vAlign w:val="bottom"/>
            <w:gridSpan w:val="2"/>
          </w:tcPr>
          <w:p>
            <w:pPr>
              <w:ind w:left="40"/>
              <w:spacing w:after="0"/>
              <w:rPr>
                <w:sz w:val="20"/>
                <w:szCs w:val="20"/>
                <w:color w:val="auto"/>
              </w:rPr>
            </w:pPr>
            <w:r>
              <w:rPr>
                <w:rFonts w:ascii="Arial" w:cs="Arial" w:eastAsia="Arial" w:hAnsi="Arial"/>
                <w:sz w:val="11"/>
                <w:szCs w:val="11"/>
                <w:color w:val="auto"/>
              </w:rPr>
              <w:t>Pradman</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560" w:type="dxa"/>
            <w:vAlign w:val="bottom"/>
            <w:gridSpan w:val="2"/>
          </w:tcPr>
          <w:p>
            <w:pPr>
              <w:ind w:left="40"/>
              <w:spacing w:after="0"/>
              <w:rPr>
                <w:sz w:val="20"/>
                <w:szCs w:val="20"/>
                <w:color w:val="auto"/>
              </w:rPr>
            </w:pPr>
            <w:r>
              <w:rPr>
                <w:rFonts w:ascii="Arial" w:cs="Arial" w:eastAsia="Arial" w:hAnsi="Arial"/>
                <w:sz w:val="11"/>
                <w:szCs w:val="11"/>
                <w:color w:val="auto"/>
              </w:rPr>
              <w:t>P. Kaul</w:t>
            </w:r>
          </w:p>
        </w:tc>
        <w:tc>
          <w:tcPr>
            <w:tcW w:w="9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180" w:type="dxa"/>
            <w:vAlign w:val="bottom"/>
            <w:gridSpan w:val="2"/>
          </w:tcPr>
          <w:p>
            <w:pPr>
              <w:ind w:left="960"/>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1"/>
                <w:szCs w:val="11"/>
                <w:color w:val="auto"/>
              </w:rPr>
              <w:t>800,000</w:t>
            </w:r>
          </w:p>
        </w:tc>
        <w:tc>
          <w:tcPr>
            <w:tcW w:w="780" w:type="dxa"/>
            <w:vAlign w:val="bottom"/>
          </w:tcPr>
          <w:p>
            <w:pPr>
              <w:jc w:val="right"/>
              <w:spacing w:after="0"/>
              <w:rPr>
                <w:sz w:val="20"/>
                <w:szCs w:val="20"/>
                <w:color w:val="auto"/>
              </w:rPr>
            </w:pPr>
            <w:r>
              <w:rPr>
                <w:rFonts w:ascii="Arial" w:cs="Arial" w:eastAsia="Arial" w:hAnsi="Arial"/>
                <w:sz w:val="11"/>
                <w:szCs w:val="11"/>
                <w:color w:val="auto"/>
              </w:rPr>
              <w:t>960,000</w:t>
            </w:r>
          </w:p>
        </w:tc>
        <w:tc>
          <w:tcPr>
            <w:tcW w:w="100" w:type="dxa"/>
            <w:vAlign w:val="bottom"/>
          </w:tcPr>
          <w:p>
            <w:pPr>
              <w:spacing w:after="0"/>
              <w:rPr>
                <w:sz w:val="11"/>
                <w:szCs w:val="11"/>
                <w:color w:val="auto"/>
              </w:rPr>
            </w:pPr>
          </w:p>
        </w:tc>
        <w:tc>
          <w:tcPr>
            <w:tcW w:w="900" w:type="dxa"/>
            <w:vAlign w:val="bottom"/>
            <w:gridSpan w:val="2"/>
          </w:tcPr>
          <w:p>
            <w:pPr>
              <w:ind w:left="680"/>
              <w:spacing w:after="0"/>
              <w:rPr>
                <w:sz w:val="20"/>
                <w:szCs w:val="20"/>
                <w:color w:val="auto"/>
              </w:rPr>
            </w:pPr>
            <w:r>
              <w:rPr>
                <w:rFonts w:ascii="Arial" w:cs="Arial" w:eastAsia="Arial" w:hAnsi="Arial"/>
                <w:sz w:val="11"/>
                <w:szCs w:val="11"/>
                <w:color w:val="auto"/>
              </w:rPr>
              <w:t>—</w:t>
            </w:r>
          </w:p>
        </w:tc>
        <w:tc>
          <w:tcPr>
            <w:tcW w:w="880" w:type="dxa"/>
            <w:vAlign w:val="bottom"/>
            <w:gridSpan w:val="2"/>
          </w:tcPr>
          <w:p>
            <w:pPr>
              <w:ind w:left="660"/>
              <w:spacing w:after="0"/>
              <w:rPr>
                <w:sz w:val="20"/>
                <w:szCs w:val="20"/>
                <w:color w:val="auto"/>
              </w:rPr>
            </w:pPr>
            <w:r>
              <w:rPr>
                <w:rFonts w:ascii="Arial" w:cs="Arial" w:eastAsia="Arial" w:hAnsi="Arial"/>
                <w:sz w:val="11"/>
                <w:szCs w:val="11"/>
                <w:color w:val="auto"/>
              </w:rPr>
              <w:t>—</w:t>
            </w:r>
          </w:p>
        </w:tc>
        <w:tc>
          <w:tcPr>
            <w:tcW w:w="900" w:type="dxa"/>
            <w:vAlign w:val="bottom"/>
            <w:gridSpan w:val="2"/>
          </w:tcPr>
          <w:p>
            <w:pPr>
              <w:ind w:left="680"/>
              <w:spacing w:after="0"/>
              <w:rPr>
                <w:sz w:val="20"/>
                <w:szCs w:val="20"/>
                <w:color w:val="auto"/>
              </w:rPr>
            </w:pPr>
            <w:r>
              <w:rPr>
                <w:rFonts w:ascii="Arial" w:cs="Arial" w:eastAsia="Arial" w:hAnsi="Arial"/>
                <w:sz w:val="11"/>
                <w:szCs w:val="11"/>
                <w:color w:val="auto"/>
              </w:rPr>
              <w:t>—</w:t>
            </w:r>
          </w:p>
        </w:tc>
        <w:tc>
          <w:tcPr>
            <w:tcW w:w="880" w:type="dxa"/>
            <w:vAlign w:val="bottom"/>
            <w:gridSpan w:val="2"/>
          </w:tcPr>
          <w:p>
            <w:pPr>
              <w:ind w:left="680"/>
              <w:spacing w:after="0"/>
              <w:rPr>
                <w:sz w:val="20"/>
                <w:szCs w:val="20"/>
                <w:color w:val="auto"/>
              </w:rPr>
            </w:pPr>
            <w:r>
              <w:rPr>
                <w:rFonts w:ascii="Arial" w:cs="Arial" w:eastAsia="Arial" w:hAnsi="Arial"/>
                <w:sz w:val="11"/>
                <w:szCs w:val="11"/>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900" w:type="dxa"/>
            <w:vAlign w:val="bottom"/>
            <w:gridSpan w:val="2"/>
          </w:tcPr>
          <w:p>
            <w:pPr>
              <w:ind w:left="68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2"/>
        </w:trPr>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560" w:type="dxa"/>
            <w:vAlign w:val="bottom"/>
            <w:gridSpan w:val="2"/>
            <w:shd w:val="clear" w:color="auto" w:fill="CCEEFF"/>
          </w:tcPr>
          <w:p>
            <w:pPr>
              <w:ind w:left="40"/>
              <w:spacing w:after="0"/>
              <w:rPr>
                <w:sz w:val="20"/>
                <w:szCs w:val="20"/>
                <w:color w:val="auto"/>
              </w:rPr>
            </w:pPr>
            <w:r>
              <w:rPr>
                <w:rFonts w:ascii="Arial" w:cs="Arial" w:eastAsia="Arial" w:hAnsi="Arial"/>
                <w:sz w:val="11"/>
                <w:szCs w:val="11"/>
                <w:color w:val="auto"/>
              </w:rPr>
              <w:t>David J.</w:t>
            </w: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1"/>
                <w:szCs w:val="11"/>
                <w:color w:val="auto"/>
              </w:rPr>
              <w:t>Rayner</w:t>
            </w:r>
          </w:p>
        </w:tc>
        <w:tc>
          <w:tcPr>
            <w:tcW w:w="9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118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1"/>
                <w:szCs w:val="11"/>
                <w:color w:val="auto"/>
              </w:rPr>
              <w:t>—</w:t>
            </w:r>
          </w:p>
        </w:tc>
        <w:tc>
          <w:tcPr>
            <w:tcW w:w="9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360,000</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432,000</w:t>
            </w:r>
          </w:p>
        </w:tc>
        <w:tc>
          <w:tcPr>
            <w:tcW w:w="10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1"/>
                <w:szCs w:val="11"/>
                <w:color w:val="auto"/>
              </w:rPr>
              <w:t>—</w:t>
            </w:r>
          </w:p>
        </w:tc>
        <w:tc>
          <w:tcPr>
            <w:tcW w:w="88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1"/>
                <w:szCs w:val="11"/>
                <w:color w:val="auto"/>
              </w:rPr>
              <w:t>—</w:t>
            </w:r>
          </w:p>
        </w:tc>
        <w:tc>
          <w:tcPr>
            <w:tcW w:w="90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1"/>
                <w:szCs w:val="11"/>
                <w:color w:val="auto"/>
              </w:rPr>
              <w:t>—</w:t>
            </w:r>
          </w:p>
        </w:tc>
        <w:tc>
          <w:tcPr>
            <w:tcW w:w="88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1"/>
                <w:szCs w:val="11"/>
                <w:color w:val="auto"/>
              </w:rPr>
              <w:t>—</w:t>
            </w:r>
          </w:p>
        </w:tc>
        <w:tc>
          <w:tcPr>
            <w:tcW w:w="9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90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1"/>
                <w:szCs w:val="11"/>
                <w:color w:val="auto"/>
              </w:rPr>
              <w:t>—</w:t>
            </w: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15"/>
        </w:trPr>
        <w:tc>
          <w:tcPr>
            <w:tcW w:w="4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123" w:lineRule="exact"/>
        <w:rPr>
          <w:sz w:val="20"/>
          <w:szCs w:val="20"/>
          <w:color w:val="auto"/>
        </w:rPr>
      </w:pPr>
    </w:p>
    <w:p>
      <w:pPr>
        <w:jc w:val="both"/>
        <w:ind w:left="340" w:right="80" w:hanging="332"/>
        <w:spacing w:after="0" w:line="247" w:lineRule="auto"/>
        <w:tabs>
          <w:tab w:leader="none" w:pos="3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These amounts reflect threshold, target and maximum payout amounts for 2017 for our NEOs under our Executive Officer Bonus Incentive Plan. There are no guaranteed minimum amounts payable under our Executive Officer Bonus Incentive Plan and maximum amounts may exceed these numbers if approved by the Compensation Committee. See “Summary Compensation Table” for actual short-term cash incentives earned by our NEOs for 2017 under our Executive Officer Bonus Incentive Plan.</w:t>
      </w:r>
    </w:p>
    <w:p>
      <w:pPr>
        <w:spacing w:after="0" w:line="1" w:lineRule="exact"/>
        <w:rPr>
          <w:rFonts w:ascii="Arial" w:cs="Arial" w:eastAsia="Arial" w:hAnsi="Arial"/>
          <w:sz w:val="14"/>
          <w:szCs w:val="14"/>
          <w:color w:val="auto"/>
        </w:rPr>
      </w:pPr>
    </w:p>
    <w:p>
      <w:pPr>
        <w:jc w:val="both"/>
        <w:ind w:left="340" w:right="80" w:hanging="332"/>
        <w:spacing w:after="0" w:line="260" w:lineRule="auto"/>
        <w:tabs>
          <w:tab w:leader="none" w:pos="340" w:val="left"/>
        </w:tabs>
        <w:numPr>
          <w:ilvl w:val="0"/>
          <w:numId w:val="20"/>
        </w:numPr>
        <w:rPr>
          <w:rFonts w:ascii="Arial" w:cs="Arial" w:eastAsia="Arial" w:hAnsi="Arial"/>
          <w:sz w:val="13"/>
          <w:szCs w:val="13"/>
          <w:color w:val="auto"/>
        </w:rPr>
      </w:pPr>
      <w:r>
        <w:rPr>
          <w:rFonts w:ascii="Arial" w:cs="Arial" w:eastAsia="Arial" w:hAnsi="Arial"/>
          <w:sz w:val="13"/>
          <w:szCs w:val="13"/>
          <w:color w:val="auto"/>
        </w:rPr>
        <w:t>The amounts reported in the “Grant Date Fair Value of Stock and Option Awards” column reflect the aggregate grant date fair values in accordance with FASB ASC Topic 718. Assumptions used in the calculation of these amounts are included in Note 15 in the Notes to the Corporation’s audited financial statements for the fiscal year ended December 31, 2017, included in the Corporation’s Annual Report on Form 10-K filed with the SEC on February 22, 2018. These amounts include both vested and unvested awards, as applicable.</w:t>
      </w:r>
    </w:p>
    <w:p>
      <w:pPr>
        <w:jc w:val="both"/>
        <w:ind w:left="340" w:right="80" w:hanging="332"/>
        <w:spacing w:after="0" w:line="248" w:lineRule="auto"/>
        <w:tabs>
          <w:tab w:leader="none" w:pos="3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On April 1, 2017 Mr. Ergen was awarded an option to purchase 1,100,000 Class A Shares. On April 24, 2017, Mr. Ergen voluntarily forfeited a portion of the option covering 600,000 shares, and we canceled such forfeited portion of the option. Mr. Ergen’s option award vests at the rate of 20% per year commencing on April 1, 2018 if Mr. Ergen is Chairman of the Board on each vesting date and if a change in control has not occurred prior to each vesting date.</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500"/>
          </w:cols>
          <w:pgMar w:left="240" w:top="368" w:right="15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i w:val="1"/>
          <w:iCs w:val="1"/>
          <w:color w:val="auto"/>
        </w:rPr>
        <w:t>Outstanding Equity Awards at Fiscal Year-End</w:t>
      </w:r>
    </w:p>
    <w:p>
      <w:pPr>
        <w:spacing w:after="0" w:line="198" w:lineRule="exact"/>
        <w:rPr>
          <w:sz w:val="20"/>
          <w:szCs w:val="20"/>
          <w:color w:val="auto"/>
        </w:rPr>
      </w:pPr>
    </w:p>
    <w:p>
      <w:pPr>
        <w:ind w:right="360"/>
        <w:spacing w:after="0" w:line="262" w:lineRule="auto"/>
        <w:rPr>
          <w:sz w:val="20"/>
          <w:szCs w:val="20"/>
          <w:color w:val="auto"/>
        </w:rPr>
      </w:pPr>
      <w:r>
        <w:rPr>
          <w:rFonts w:ascii="Arial" w:cs="Arial" w:eastAsia="Arial" w:hAnsi="Arial"/>
          <w:sz w:val="18"/>
          <w:szCs w:val="18"/>
          <w:color w:val="auto"/>
        </w:rPr>
        <w:t>Except as indicated elsewhere, all awards reflected in this table were made in shares of our Class A Shares and were granted under the terms of our Stock Incentive Plans.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1"/>
              </w:rPr>
              <w:t>Option Awards</w:t>
            </w: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40" w:type="dxa"/>
            <w:vAlign w:val="bottom"/>
            <w:gridSpan w:val="4"/>
            <w:vMerge w:val="restart"/>
          </w:tcPr>
          <w:p>
            <w:pPr>
              <w:ind w:left="760"/>
              <w:spacing w:after="0"/>
              <w:rPr>
                <w:sz w:val="20"/>
                <w:szCs w:val="20"/>
                <w:color w:val="auto"/>
              </w:rPr>
            </w:pPr>
            <w:r>
              <w:rPr>
                <w:rFonts w:ascii="Arial" w:cs="Arial" w:eastAsia="Arial" w:hAnsi="Arial"/>
                <w:sz w:val="11"/>
                <w:szCs w:val="11"/>
                <w:b w:val="1"/>
                <w:bCs w:val="1"/>
                <w:color w:val="auto"/>
              </w:rPr>
              <w:t>Stock Awards</w:t>
            </w: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1"/>
        </w:trPr>
        <w:tc>
          <w:tcPr>
            <w:tcW w:w="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40" w:type="dxa"/>
            <w:vAlign w:val="bottom"/>
            <w:gridSpan w:val="4"/>
            <w:vMerge w:val="continue"/>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76"/>
        </w:trPr>
        <w:tc>
          <w:tcPr>
            <w:tcW w:w="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gridSpan w:val="2"/>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28"/>
        </w:trPr>
        <w:tc>
          <w:tcPr>
            <w:tcW w:w="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2"/>
              </w:rPr>
              <w:t>Equity Incentive</w:t>
            </w:r>
          </w:p>
        </w:tc>
        <w:tc>
          <w:tcPr>
            <w:tcW w:w="1020" w:type="dxa"/>
            <w:vAlign w:val="bottom"/>
          </w:tcPr>
          <w:p>
            <w:pPr>
              <w:jc w:val="center"/>
              <w:spacing w:after="0"/>
              <w:rPr>
                <w:sz w:val="20"/>
                <w:szCs w:val="20"/>
                <w:color w:val="auto"/>
              </w:rPr>
            </w:pPr>
            <w:r>
              <w:rPr>
                <w:rFonts w:ascii="Arial" w:cs="Arial" w:eastAsia="Arial" w:hAnsi="Arial"/>
                <w:sz w:val="11"/>
                <w:szCs w:val="11"/>
                <w:b w:val="1"/>
                <w:bCs w:val="1"/>
                <w:color w:val="auto"/>
                <w:w w:val="90"/>
              </w:rPr>
              <w:t>Equity Incentive</w:t>
            </w: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0"/>
              </w:rPr>
              <w:t>Number of</w:t>
            </w:r>
          </w:p>
        </w:tc>
        <w:tc>
          <w:tcPr>
            <w:tcW w:w="120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0"/>
              </w:rPr>
              <w:t>Equity Incentive Plan</w:t>
            </w: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gridSpan w:val="2"/>
            <w:vMerge w:val="restart"/>
          </w:tcPr>
          <w:p>
            <w:pPr>
              <w:jc w:val="center"/>
              <w:ind w:right="80"/>
              <w:spacing w:after="0"/>
              <w:rPr>
                <w:sz w:val="20"/>
                <w:szCs w:val="20"/>
                <w:color w:val="auto"/>
              </w:rPr>
            </w:pPr>
            <w:r>
              <w:rPr>
                <w:rFonts w:ascii="Arial" w:cs="Arial" w:eastAsia="Arial" w:hAnsi="Arial"/>
                <w:sz w:val="11"/>
                <w:szCs w:val="11"/>
                <w:b w:val="1"/>
                <w:bCs w:val="1"/>
                <w:color w:val="auto"/>
                <w:w w:val="88"/>
              </w:rPr>
              <w:t>Number of Shares</w:t>
            </w:r>
          </w:p>
        </w:tc>
        <w:tc>
          <w:tcPr>
            <w:tcW w:w="1120" w:type="dxa"/>
            <w:vAlign w:val="bottom"/>
            <w:gridSpan w:val="2"/>
            <w:vMerge w:val="restart"/>
          </w:tcPr>
          <w:p>
            <w:pPr>
              <w:jc w:val="center"/>
              <w:ind w:right="100"/>
              <w:spacing w:after="0"/>
              <w:rPr>
                <w:sz w:val="20"/>
                <w:szCs w:val="20"/>
                <w:color w:val="auto"/>
              </w:rPr>
            </w:pPr>
            <w:r>
              <w:rPr>
                <w:rFonts w:ascii="Arial" w:cs="Arial" w:eastAsia="Arial" w:hAnsi="Arial"/>
                <w:sz w:val="11"/>
                <w:szCs w:val="11"/>
                <w:b w:val="1"/>
                <w:bCs w:val="1"/>
                <w:color w:val="auto"/>
                <w:w w:val="90"/>
              </w:rPr>
              <w:t>Market Value of</w:t>
            </w:r>
          </w:p>
        </w:tc>
        <w:tc>
          <w:tcPr>
            <w:tcW w:w="112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8"/>
              </w:rPr>
              <w:t>Plan Awards:</w:t>
            </w:r>
          </w:p>
        </w:tc>
        <w:tc>
          <w:tcPr>
            <w:tcW w:w="102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8"/>
              </w:rPr>
              <w:t>Plan Awards:</w:t>
            </w: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60" w:type="dxa"/>
            <w:vAlign w:val="bottom"/>
            <w:gridSpan w:val="2"/>
            <w:vMerge w:val="restart"/>
          </w:tcPr>
          <w:p>
            <w:pPr>
              <w:jc w:val="center"/>
              <w:ind w:right="140"/>
              <w:spacing w:after="0" w:line="122" w:lineRule="exact"/>
              <w:rPr>
                <w:sz w:val="20"/>
                <w:szCs w:val="20"/>
                <w:color w:val="auto"/>
              </w:rPr>
            </w:pPr>
            <w:r>
              <w:rPr>
                <w:rFonts w:ascii="Arial" w:cs="Arial" w:eastAsia="Arial" w:hAnsi="Arial"/>
                <w:sz w:val="11"/>
                <w:szCs w:val="11"/>
                <w:b w:val="1"/>
                <w:bCs w:val="1"/>
                <w:color w:val="auto"/>
                <w:w w:val="88"/>
              </w:rPr>
              <w:t>Number of Securities</w:t>
            </w:r>
          </w:p>
        </w:tc>
        <w:tc>
          <w:tcPr>
            <w:tcW w:w="1140" w:type="dxa"/>
            <w:vAlign w:val="bottom"/>
            <w:gridSpan w:val="2"/>
            <w:vMerge w:val="restart"/>
          </w:tcPr>
          <w:p>
            <w:pPr>
              <w:jc w:val="center"/>
              <w:ind w:right="120"/>
              <w:spacing w:after="0" w:line="122" w:lineRule="exact"/>
              <w:rPr>
                <w:sz w:val="20"/>
                <w:szCs w:val="20"/>
                <w:color w:val="auto"/>
              </w:rPr>
            </w:pPr>
            <w:r>
              <w:rPr>
                <w:rFonts w:ascii="Arial" w:cs="Arial" w:eastAsia="Arial" w:hAnsi="Arial"/>
                <w:sz w:val="11"/>
                <w:szCs w:val="11"/>
                <w:b w:val="1"/>
                <w:bCs w:val="1"/>
                <w:color w:val="auto"/>
                <w:w w:val="87"/>
              </w:rPr>
              <w:t>Securities</w:t>
            </w:r>
          </w:p>
        </w:tc>
        <w:tc>
          <w:tcPr>
            <w:tcW w:w="1200" w:type="dxa"/>
            <w:vAlign w:val="bottom"/>
            <w:gridSpan w:val="2"/>
            <w:vMerge w:val="restart"/>
          </w:tcPr>
          <w:p>
            <w:pPr>
              <w:jc w:val="center"/>
              <w:ind w:right="120"/>
              <w:spacing w:after="0" w:line="122" w:lineRule="exact"/>
              <w:rPr>
                <w:sz w:val="20"/>
                <w:szCs w:val="20"/>
                <w:color w:val="auto"/>
              </w:rPr>
            </w:pPr>
            <w:r>
              <w:rPr>
                <w:rFonts w:ascii="Arial" w:cs="Arial" w:eastAsia="Arial" w:hAnsi="Arial"/>
                <w:sz w:val="11"/>
                <w:szCs w:val="11"/>
                <w:b w:val="1"/>
                <w:bCs w:val="1"/>
                <w:color w:val="auto"/>
                <w:w w:val="89"/>
              </w:rPr>
              <w:t>Awards Number of</w:t>
            </w: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1120" w:type="dxa"/>
            <w:vAlign w:val="bottom"/>
            <w:gridSpan w:val="2"/>
            <w:vMerge w:val="restart"/>
          </w:tcPr>
          <w:p>
            <w:pPr>
              <w:jc w:val="center"/>
              <w:ind w:right="100"/>
              <w:spacing w:after="0" w:line="122" w:lineRule="exact"/>
              <w:rPr>
                <w:sz w:val="20"/>
                <w:szCs w:val="20"/>
                <w:color w:val="auto"/>
              </w:rPr>
            </w:pPr>
            <w:r>
              <w:rPr>
                <w:rFonts w:ascii="Arial" w:cs="Arial" w:eastAsia="Arial" w:hAnsi="Arial"/>
                <w:sz w:val="11"/>
                <w:szCs w:val="11"/>
                <w:b w:val="1"/>
                <w:bCs w:val="1"/>
                <w:color w:val="auto"/>
                <w:w w:val="90"/>
              </w:rPr>
              <w:t>Number of</w:t>
            </w:r>
          </w:p>
        </w:tc>
        <w:tc>
          <w:tcPr>
            <w:tcW w:w="1020" w:type="dxa"/>
            <w:vAlign w:val="bottom"/>
            <w:vMerge w:val="restart"/>
          </w:tcPr>
          <w:p>
            <w:pPr>
              <w:jc w:val="center"/>
              <w:spacing w:after="0" w:line="122" w:lineRule="exact"/>
              <w:rPr>
                <w:sz w:val="20"/>
                <w:szCs w:val="20"/>
                <w:color w:val="auto"/>
              </w:rPr>
            </w:pPr>
            <w:r>
              <w:rPr>
                <w:rFonts w:ascii="Arial" w:cs="Arial" w:eastAsia="Arial" w:hAnsi="Arial"/>
                <w:sz w:val="11"/>
                <w:szCs w:val="11"/>
                <w:b w:val="1"/>
                <w:bCs w:val="1"/>
                <w:color w:val="auto"/>
                <w:w w:val="91"/>
              </w:rPr>
              <w:t>Market or Payout</w:t>
            </w:r>
          </w:p>
        </w:tc>
        <w:tc>
          <w:tcPr>
            <w:tcW w:w="0" w:type="dxa"/>
            <w:vAlign w:val="bottom"/>
          </w:tcPr>
          <w:p>
            <w:pPr>
              <w:spacing w:after="0"/>
              <w:rPr>
                <w:sz w:val="1"/>
                <w:szCs w:val="1"/>
                <w:color w:val="auto"/>
              </w:rPr>
            </w:pPr>
          </w:p>
        </w:tc>
      </w:tr>
      <w:tr>
        <w:trPr>
          <w:trHeight w:val="68"/>
        </w:trPr>
        <w:tc>
          <w:tcPr>
            <w:tcW w:w="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120" w:type="dxa"/>
            <w:vAlign w:val="bottom"/>
            <w:gridSpan w:val="2"/>
            <w:vMerge w:val="restart"/>
          </w:tcPr>
          <w:p>
            <w:pPr>
              <w:jc w:val="center"/>
              <w:ind w:right="100"/>
              <w:spacing w:after="0" w:line="122" w:lineRule="exact"/>
              <w:rPr>
                <w:sz w:val="20"/>
                <w:szCs w:val="20"/>
                <w:color w:val="auto"/>
              </w:rPr>
            </w:pPr>
            <w:r>
              <w:rPr>
                <w:rFonts w:ascii="Arial" w:cs="Arial" w:eastAsia="Arial" w:hAnsi="Arial"/>
                <w:sz w:val="11"/>
                <w:szCs w:val="11"/>
                <w:b w:val="1"/>
                <w:bCs w:val="1"/>
                <w:color w:val="auto"/>
                <w:w w:val="88"/>
              </w:rPr>
              <w:t>Option Exercise</w:t>
            </w:r>
          </w:p>
        </w:tc>
        <w:tc>
          <w:tcPr>
            <w:tcW w:w="10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20" w:type="dxa"/>
            <w:vAlign w:val="bottom"/>
            <w:gridSpan w:val="2"/>
            <w:vMerge w:val="restart"/>
          </w:tcPr>
          <w:p>
            <w:pPr>
              <w:jc w:val="center"/>
              <w:ind w:right="100"/>
              <w:spacing w:after="0" w:line="122" w:lineRule="exact"/>
              <w:rPr>
                <w:sz w:val="20"/>
                <w:szCs w:val="20"/>
                <w:color w:val="auto"/>
              </w:rPr>
            </w:pPr>
            <w:r>
              <w:rPr>
                <w:rFonts w:ascii="Arial" w:cs="Arial" w:eastAsia="Arial" w:hAnsi="Arial"/>
                <w:sz w:val="11"/>
                <w:szCs w:val="11"/>
                <w:b w:val="1"/>
                <w:bCs w:val="1"/>
                <w:color w:val="auto"/>
                <w:w w:val="88"/>
              </w:rPr>
              <w:t>or Units of Stock</w:t>
            </w:r>
          </w:p>
        </w:tc>
        <w:tc>
          <w:tcPr>
            <w:tcW w:w="1120" w:type="dxa"/>
            <w:vAlign w:val="bottom"/>
            <w:gridSpan w:val="2"/>
            <w:vMerge w:val="restart"/>
          </w:tcPr>
          <w:p>
            <w:pPr>
              <w:jc w:val="center"/>
              <w:ind w:right="100"/>
              <w:spacing w:after="0" w:line="122" w:lineRule="exact"/>
              <w:rPr>
                <w:sz w:val="20"/>
                <w:szCs w:val="20"/>
                <w:color w:val="auto"/>
              </w:rPr>
            </w:pPr>
            <w:r>
              <w:rPr>
                <w:rFonts w:ascii="Arial" w:cs="Arial" w:eastAsia="Arial" w:hAnsi="Arial"/>
                <w:sz w:val="11"/>
                <w:szCs w:val="11"/>
                <w:b w:val="1"/>
                <w:bCs w:val="1"/>
                <w:color w:val="auto"/>
                <w:w w:val="86"/>
              </w:rPr>
              <w:t>Shares or Units of</w:t>
            </w:r>
          </w:p>
        </w:tc>
        <w:tc>
          <w:tcPr>
            <w:tcW w:w="1120" w:type="dxa"/>
            <w:vAlign w:val="bottom"/>
            <w:gridSpan w:val="2"/>
            <w:vMerge w:val="continue"/>
          </w:tcPr>
          <w:p>
            <w:pPr>
              <w:spacing w:after="0"/>
              <w:rPr>
                <w:sz w:val="5"/>
                <w:szCs w:val="5"/>
                <w:color w:val="auto"/>
              </w:rPr>
            </w:pPr>
          </w:p>
        </w:tc>
        <w:tc>
          <w:tcPr>
            <w:tcW w:w="10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60" w:type="dxa"/>
            <w:vAlign w:val="bottom"/>
            <w:gridSpan w:val="2"/>
            <w:vMerge w:val="restart"/>
          </w:tcPr>
          <w:p>
            <w:pPr>
              <w:jc w:val="center"/>
              <w:ind w:right="120"/>
              <w:spacing w:after="0" w:line="122" w:lineRule="exact"/>
              <w:rPr>
                <w:sz w:val="20"/>
                <w:szCs w:val="20"/>
                <w:color w:val="auto"/>
              </w:rPr>
            </w:pPr>
            <w:r>
              <w:rPr>
                <w:rFonts w:ascii="Arial" w:cs="Arial" w:eastAsia="Arial" w:hAnsi="Arial"/>
                <w:sz w:val="11"/>
                <w:szCs w:val="11"/>
                <w:b w:val="1"/>
                <w:bCs w:val="1"/>
                <w:color w:val="auto"/>
                <w:w w:val="90"/>
              </w:rPr>
              <w:t>Underlying</w:t>
            </w:r>
          </w:p>
        </w:tc>
        <w:tc>
          <w:tcPr>
            <w:tcW w:w="1140" w:type="dxa"/>
            <w:vAlign w:val="bottom"/>
            <w:gridSpan w:val="2"/>
            <w:vMerge w:val="restart"/>
          </w:tcPr>
          <w:p>
            <w:pPr>
              <w:jc w:val="center"/>
              <w:ind w:right="100"/>
              <w:spacing w:after="0" w:line="122" w:lineRule="exact"/>
              <w:rPr>
                <w:sz w:val="20"/>
                <w:szCs w:val="20"/>
                <w:color w:val="auto"/>
              </w:rPr>
            </w:pPr>
            <w:r>
              <w:rPr>
                <w:rFonts w:ascii="Arial" w:cs="Arial" w:eastAsia="Arial" w:hAnsi="Arial"/>
                <w:sz w:val="11"/>
                <w:szCs w:val="11"/>
                <w:b w:val="1"/>
                <w:bCs w:val="1"/>
                <w:color w:val="auto"/>
                <w:w w:val="90"/>
              </w:rPr>
              <w:t>Underlying</w:t>
            </w:r>
          </w:p>
        </w:tc>
        <w:tc>
          <w:tcPr>
            <w:tcW w:w="1200" w:type="dxa"/>
            <w:vAlign w:val="bottom"/>
            <w:gridSpan w:val="2"/>
            <w:vMerge w:val="restart"/>
          </w:tcPr>
          <w:p>
            <w:pPr>
              <w:jc w:val="center"/>
              <w:ind w:right="120"/>
              <w:spacing w:after="0" w:line="122" w:lineRule="exact"/>
              <w:rPr>
                <w:sz w:val="20"/>
                <w:szCs w:val="20"/>
                <w:color w:val="auto"/>
              </w:rPr>
            </w:pPr>
            <w:r>
              <w:rPr>
                <w:rFonts w:ascii="Arial" w:cs="Arial" w:eastAsia="Arial" w:hAnsi="Arial"/>
                <w:sz w:val="11"/>
                <w:szCs w:val="11"/>
                <w:b w:val="1"/>
                <w:bCs w:val="1"/>
                <w:color w:val="auto"/>
                <w:w w:val="88"/>
              </w:rPr>
              <w:t>Securities Underlying</w:t>
            </w:r>
          </w:p>
        </w:tc>
        <w:tc>
          <w:tcPr>
            <w:tcW w:w="1120" w:type="dxa"/>
            <w:vAlign w:val="bottom"/>
            <w:gridSpan w:val="2"/>
            <w:vMerge w:val="continue"/>
          </w:tcPr>
          <w:p>
            <w:pPr>
              <w:spacing w:after="0"/>
              <w:rPr>
                <w:sz w:val="4"/>
                <w:szCs w:val="4"/>
                <w:color w:val="auto"/>
              </w:rPr>
            </w:pPr>
          </w:p>
        </w:tc>
        <w:tc>
          <w:tcPr>
            <w:tcW w:w="1140" w:type="dxa"/>
            <w:vAlign w:val="bottom"/>
            <w:gridSpan w:val="2"/>
            <w:vMerge w:val="restart"/>
          </w:tcPr>
          <w:p>
            <w:pPr>
              <w:jc w:val="center"/>
              <w:ind w:right="100"/>
              <w:spacing w:after="0" w:line="122" w:lineRule="exact"/>
              <w:rPr>
                <w:sz w:val="20"/>
                <w:szCs w:val="20"/>
                <w:color w:val="auto"/>
              </w:rPr>
            </w:pPr>
            <w:r>
              <w:rPr>
                <w:rFonts w:ascii="Arial" w:cs="Arial" w:eastAsia="Arial" w:hAnsi="Arial"/>
                <w:sz w:val="11"/>
                <w:szCs w:val="11"/>
                <w:b w:val="1"/>
                <w:bCs w:val="1"/>
                <w:color w:val="auto"/>
                <w:w w:val="90"/>
              </w:rPr>
              <w:t>Option Expiration</w:t>
            </w:r>
          </w:p>
        </w:tc>
        <w:tc>
          <w:tcPr>
            <w:tcW w:w="1120" w:type="dxa"/>
            <w:vAlign w:val="bottom"/>
            <w:gridSpan w:val="2"/>
            <w:vMerge w:val="continue"/>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1120" w:type="dxa"/>
            <w:vAlign w:val="bottom"/>
            <w:gridSpan w:val="2"/>
            <w:vMerge w:val="restart"/>
          </w:tcPr>
          <w:p>
            <w:pPr>
              <w:jc w:val="center"/>
              <w:ind w:right="100"/>
              <w:spacing w:after="0" w:line="122" w:lineRule="exact"/>
              <w:rPr>
                <w:sz w:val="20"/>
                <w:szCs w:val="20"/>
                <w:color w:val="auto"/>
              </w:rPr>
            </w:pPr>
            <w:r>
              <w:rPr>
                <w:rFonts w:ascii="Arial" w:cs="Arial" w:eastAsia="Arial" w:hAnsi="Arial"/>
                <w:sz w:val="11"/>
                <w:szCs w:val="11"/>
                <w:b w:val="1"/>
                <w:bCs w:val="1"/>
                <w:color w:val="auto"/>
                <w:w w:val="87"/>
              </w:rPr>
              <w:t>Unearned Shares,</w:t>
            </w:r>
          </w:p>
        </w:tc>
        <w:tc>
          <w:tcPr>
            <w:tcW w:w="1020" w:type="dxa"/>
            <w:vAlign w:val="bottom"/>
            <w:vMerge w:val="restart"/>
          </w:tcPr>
          <w:p>
            <w:pPr>
              <w:jc w:val="center"/>
              <w:spacing w:after="0" w:line="122" w:lineRule="exact"/>
              <w:rPr>
                <w:sz w:val="20"/>
                <w:szCs w:val="20"/>
                <w:color w:val="auto"/>
              </w:rPr>
            </w:pPr>
            <w:r>
              <w:rPr>
                <w:rFonts w:ascii="Arial" w:cs="Arial" w:eastAsia="Arial" w:hAnsi="Arial"/>
                <w:sz w:val="11"/>
                <w:szCs w:val="11"/>
                <w:b w:val="1"/>
                <w:bCs w:val="1"/>
                <w:color w:val="auto"/>
                <w:w w:val="88"/>
              </w:rPr>
              <w:t>Value of Unearned</w:t>
            </w:r>
          </w:p>
        </w:tc>
        <w:tc>
          <w:tcPr>
            <w:tcW w:w="0" w:type="dxa"/>
            <w:vAlign w:val="bottom"/>
          </w:tcPr>
          <w:p>
            <w:pPr>
              <w:spacing w:after="0"/>
              <w:rPr>
                <w:sz w:val="1"/>
                <w:szCs w:val="1"/>
                <w:color w:val="auto"/>
              </w:rPr>
            </w:pPr>
          </w:p>
        </w:tc>
      </w:tr>
      <w:tr>
        <w:trPr>
          <w:trHeight w:val="68"/>
        </w:trPr>
        <w:tc>
          <w:tcPr>
            <w:tcW w:w="40" w:type="dxa"/>
            <w:vAlign w:val="bottom"/>
          </w:tcPr>
          <w:p>
            <w:pPr>
              <w:spacing w:after="0"/>
              <w:rPr>
                <w:sz w:val="5"/>
                <w:szCs w:val="5"/>
                <w:color w:val="auto"/>
              </w:rPr>
            </w:pPr>
          </w:p>
        </w:tc>
        <w:tc>
          <w:tcPr>
            <w:tcW w:w="1240" w:type="dxa"/>
            <w:vAlign w:val="bottom"/>
            <w:gridSpan w:val="2"/>
            <w:vMerge w:val="restart"/>
          </w:tcPr>
          <w:p>
            <w:pPr>
              <w:ind w:left="400"/>
              <w:spacing w:after="0" w:line="122" w:lineRule="exact"/>
              <w:rPr>
                <w:sz w:val="20"/>
                <w:szCs w:val="20"/>
                <w:color w:val="auto"/>
              </w:rPr>
            </w:pPr>
            <w:r>
              <w:rPr>
                <w:rFonts w:ascii="Arial" w:cs="Arial" w:eastAsia="Arial" w:hAnsi="Arial"/>
                <w:sz w:val="11"/>
                <w:szCs w:val="11"/>
                <w:b w:val="1"/>
                <w:bCs w:val="1"/>
                <w:color w:val="auto"/>
              </w:rPr>
              <w:t>Name</w:t>
            </w:r>
          </w:p>
        </w:tc>
        <w:tc>
          <w:tcPr>
            <w:tcW w:w="1160" w:type="dxa"/>
            <w:vAlign w:val="bottom"/>
            <w:gridSpan w:val="2"/>
            <w:vMerge w:val="continue"/>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120" w:type="dxa"/>
            <w:vAlign w:val="bottom"/>
            <w:gridSpan w:val="2"/>
            <w:vMerge w:val="restart"/>
          </w:tcPr>
          <w:p>
            <w:pPr>
              <w:jc w:val="center"/>
              <w:ind w:right="80"/>
              <w:spacing w:after="0" w:line="122" w:lineRule="exact"/>
              <w:rPr>
                <w:sz w:val="20"/>
                <w:szCs w:val="20"/>
                <w:color w:val="auto"/>
              </w:rPr>
            </w:pPr>
            <w:r>
              <w:rPr>
                <w:rFonts w:ascii="Arial" w:cs="Arial" w:eastAsia="Arial" w:hAnsi="Arial"/>
                <w:sz w:val="11"/>
                <w:szCs w:val="11"/>
                <w:b w:val="1"/>
                <w:bCs w:val="1"/>
                <w:color w:val="auto"/>
                <w:w w:val="89"/>
              </w:rPr>
              <w:t>Price</w:t>
            </w:r>
          </w:p>
        </w:tc>
        <w:tc>
          <w:tcPr>
            <w:tcW w:w="1140" w:type="dxa"/>
            <w:vAlign w:val="bottom"/>
            <w:gridSpan w:val="2"/>
            <w:vMerge w:val="continue"/>
          </w:tcPr>
          <w:p>
            <w:pPr>
              <w:spacing w:after="0"/>
              <w:rPr>
                <w:sz w:val="5"/>
                <w:szCs w:val="5"/>
                <w:color w:val="auto"/>
              </w:rPr>
            </w:pPr>
          </w:p>
        </w:tc>
        <w:tc>
          <w:tcPr>
            <w:tcW w:w="1120" w:type="dxa"/>
            <w:vAlign w:val="bottom"/>
            <w:gridSpan w:val="2"/>
            <w:vMerge w:val="restart"/>
          </w:tcPr>
          <w:p>
            <w:pPr>
              <w:jc w:val="center"/>
              <w:ind w:right="100"/>
              <w:spacing w:after="0" w:line="122" w:lineRule="exact"/>
              <w:rPr>
                <w:sz w:val="20"/>
                <w:szCs w:val="20"/>
                <w:color w:val="auto"/>
              </w:rPr>
            </w:pPr>
            <w:r>
              <w:rPr>
                <w:rFonts w:ascii="Arial" w:cs="Arial" w:eastAsia="Arial" w:hAnsi="Arial"/>
                <w:sz w:val="11"/>
                <w:szCs w:val="11"/>
                <w:b w:val="1"/>
                <w:bCs w:val="1"/>
                <w:color w:val="auto"/>
                <w:w w:val="94"/>
              </w:rPr>
              <w:t>That Have Not</w:t>
            </w:r>
          </w:p>
        </w:tc>
        <w:tc>
          <w:tcPr>
            <w:tcW w:w="1120" w:type="dxa"/>
            <w:vAlign w:val="bottom"/>
            <w:gridSpan w:val="2"/>
            <w:vMerge w:val="restart"/>
          </w:tcPr>
          <w:p>
            <w:pPr>
              <w:jc w:val="center"/>
              <w:ind w:right="100"/>
              <w:spacing w:after="0" w:line="122" w:lineRule="exact"/>
              <w:rPr>
                <w:sz w:val="20"/>
                <w:szCs w:val="20"/>
                <w:color w:val="auto"/>
              </w:rPr>
            </w:pPr>
            <w:r>
              <w:rPr>
                <w:rFonts w:ascii="Arial" w:cs="Arial" w:eastAsia="Arial" w:hAnsi="Arial"/>
                <w:sz w:val="11"/>
                <w:szCs w:val="11"/>
                <w:b w:val="1"/>
                <w:bCs w:val="1"/>
                <w:color w:val="auto"/>
                <w:w w:val="91"/>
              </w:rPr>
              <w:t>Stock That Have</w:t>
            </w:r>
          </w:p>
        </w:tc>
        <w:tc>
          <w:tcPr>
            <w:tcW w:w="1120" w:type="dxa"/>
            <w:vAlign w:val="bottom"/>
            <w:gridSpan w:val="2"/>
            <w:vMerge w:val="continue"/>
          </w:tcPr>
          <w:p>
            <w:pPr>
              <w:spacing w:after="0"/>
              <w:rPr>
                <w:sz w:val="5"/>
                <w:szCs w:val="5"/>
                <w:color w:val="auto"/>
              </w:rPr>
            </w:pPr>
          </w:p>
        </w:tc>
        <w:tc>
          <w:tcPr>
            <w:tcW w:w="10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160" w:type="dxa"/>
            <w:vAlign w:val="bottom"/>
            <w:gridSpan w:val="2"/>
            <w:vMerge w:val="restart"/>
          </w:tcPr>
          <w:p>
            <w:pPr>
              <w:jc w:val="center"/>
              <w:ind w:right="120"/>
              <w:spacing w:after="0" w:line="122" w:lineRule="exact"/>
              <w:rPr>
                <w:sz w:val="20"/>
                <w:szCs w:val="20"/>
                <w:color w:val="auto"/>
              </w:rPr>
            </w:pPr>
            <w:r>
              <w:rPr>
                <w:rFonts w:ascii="Arial" w:cs="Arial" w:eastAsia="Arial" w:hAnsi="Arial"/>
                <w:sz w:val="11"/>
                <w:szCs w:val="11"/>
                <w:b w:val="1"/>
                <w:bCs w:val="1"/>
                <w:color w:val="auto"/>
                <w:w w:val="87"/>
              </w:rPr>
              <w:t>Unexercised Options</w:t>
            </w:r>
          </w:p>
        </w:tc>
        <w:tc>
          <w:tcPr>
            <w:tcW w:w="1140" w:type="dxa"/>
            <w:vAlign w:val="bottom"/>
            <w:gridSpan w:val="2"/>
            <w:vMerge w:val="restart"/>
          </w:tcPr>
          <w:p>
            <w:pPr>
              <w:jc w:val="center"/>
              <w:ind w:right="100"/>
              <w:spacing w:after="0" w:line="122" w:lineRule="exact"/>
              <w:rPr>
                <w:sz w:val="20"/>
                <w:szCs w:val="20"/>
                <w:color w:val="auto"/>
              </w:rPr>
            </w:pPr>
            <w:r>
              <w:rPr>
                <w:rFonts w:ascii="Arial" w:cs="Arial" w:eastAsia="Arial" w:hAnsi="Arial"/>
                <w:sz w:val="11"/>
                <w:szCs w:val="11"/>
                <w:b w:val="1"/>
                <w:bCs w:val="1"/>
                <w:color w:val="auto"/>
                <w:w w:val="85"/>
              </w:rPr>
              <w:t>Unexercised</w:t>
            </w:r>
          </w:p>
        </w:tc>
        <w:tc>
          <w:tcPr>
            <w:tcW w:w="1200" w:type="dxa"/>
            <w:vAlign w:val="bottom"/>
            <w:gridSpan w:val="2"/>
            <w:vMerge w:val="restart"/>
          </w:tcPr>
          <w:p>
            <w:pPr>
              <w:jc w:val="center"/>
              <w:ind w:right="120"/>
              <w:spacing w:after="0" w:line="122" w:lineRule="exact"/>
              <w:rPr>
                <w:sz w:val="20"/>
                <w:szCs w:val="20"/>
                <w:color w:val="auto"/>
              </w:rPr>
            </w:pPr>
            <w:r>
              <w:rPr>
                <w:rFonts w:ascii="Arial" w:cs="Arial" w:eastAsia="Arial" w:hAnsi="Arial"/>
                <w:sz w:val="11"/>
                <w:szCs w:val="11"/>
                <w:b w:val="1"/>
                <w:bCs w:val="1"/>
                <w:color w:val="auto"/>
                <w:w w:val="87"/>
              </w:rPr>
              <w:t>Unexercised Options</w:t>
            </w:r>
          </w:p>
        </w:tc>
        <w:tc>
          <w:tcPr>
            <w:tcW w:w="1120" w:type="dxa"/>
            <w:vAlign w:val="bottom"/>
            <w:gridSpan w:val="2"/>
            <w:vMerge w:val="continue"/>
          </w:tcPr>
          <w:p>
            <w:pPr>
              <w:spacing w:after="0"/>
              <w:rPr>
                <w:sz w:val="4"/>
                <w:szCs w:val="4"/>
                <w:color w:val="auto"/>
              </w:rPr>
            </w:pPr>
          </w:p>
        </w:tc>
        <w:tc>
          <w:tcPr>
            <w:tcW w:w="1140" w:type="dxa"/>
            <w:vAlign w:val="bottom"/>
            <w:gridSpan w:val="2"/>
            <w:vMerge w:val="restart"/>
          </w:tcPr>
          <w:p>
            <w:pPr>
              <w:jc w:val="center"/>
              <w:ind w:right="80"/>
              <w:spacing w:after="0" w:line="122" w:lineRule="exact"/>
              <w:rPr>
                <w:sz w:val="20"/>
                <w:szCs w:val="20"/>
                <w:color w:val="auto"/>
              </w:rPr>
            </w:pPr>
            <w:r>
              <w:rPr>
                <w:rFonts w:ascii="Arial" w:cs="Arial" w:eastAsia="Arial" w:hAnsi="Arial"/>
                <w:sz w:val="11"/>
                <w:szCs w:val="11"/>
                <w:b w:val="1"/>
                <w:bCs w:val="1"/>
                <w:color w:val="auto"/>
                <w:w w:val="92"/>
              </w:rPr>
              <w:t>Date</w:t>
            </w:r>
          </w:p>
        </w:tc>
        <w:tc>
          <w:tcPr>
            <w:tcW w:w="1120" w:type="dxa"/>
            <w:vAlign w:val="bottom"/>
            <w:gridSpan w:val="2"/>
            <w:vMerge w:val="continue"/>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1120" w:type="dxa"/>
            <w:vAlign w:val="bottom"/>
            <w:gridSpan w:val="2"/>
            <w:vMerge w:val="restart"/>
          </w:tcPr>
          <w:p>
            <w:pPr>
              <w:jc w:val="center"/>
              <w:ind w:right="80"/>
              <w:spacing w:after="0" w:line="122" w:lineRule="exact"/>
              <w:rPr>
                <w:sz w:val="20"/>
                <w:szCs w:val="20"/>
                <w:color w:val="auto"/>
              </w:rPr>
            </w:pPr>
            <w:r>
              <w:rPr>
                <w:rFonts w:ascii="Arial" w:cs="Arial" w:eastAsia="Arial" w:hAnsi="Arial"/>
                <w:sz w:val="11"/>
                <w:szCs w:val="11"/>
                <w:b w:val="1"/>
                <w:bCs w:val="1"/>
                <w:color w:val="auto"/>
                <w:w w:val="91"/>
              </w:rPr>
              <w:t>Units or Other</w:t>
            </w:r>
          </w:p>
        </w:tc>
        <w:tc>
          <w:tcPr>
            <w:tcW w:w="1020" w:type="dxa"/>
            <w:vAlign w:val="bottom"/>
            <w:vMerge w:val="restart"/>
          </w:tcPr>
          <w:p>
            <w:pPr>
              <w:jc w:val="center"/>
              <w:spacing w:after="0" w:line="122" w:lineRule="exact"/>
              <w:rPr>
                <w:sz w:val="20"/>
                <w:szCs w:val="20"/>
                <w:color w:val="auto"/>
              </w:rPr>
            </w:pPr>
            <w:r>
              <w:rPr>
                <w:rFonts w:ascii="Arial" w:cs="Arial" w:eastAsia="Arial" w:hAnsi="Arial"/>
                <w:sz w:val="11"/>
                <w:szCs w:val="11"/>
                <w:b w:val="1"/>
                <w:bCs w:val="1"/>
                <w:color w:val="auto"/>
                <w:w w:val="87"/>
              </w:rPr>
              <w:t>Shares, Units or</w:t>
            </w:r>
          </w:p>
        </w:tc>
        <w:tc>
          <w:tcPr>
            <w:tcW w:w="0" w:type="dxa"/>
            <w:vAlign w:val="bottom"/>
          </w:tcPr>
          <w:p>
            <w:pPr>
              <w:spacing w:after="0"/>
              <w:rPr>
                <w:sz w:val="1"/>
                <w:szCs w:val="1"/>
                <w:color w:val="auto"/>
              </w:rPr>
            </w:pPr>
          </w:p>
        </w:tc>
      </w:tr>
      <w:tr>
        <w:trPr>
          <w:trHeight w:val="68"/>
        </w:trPr>
        <w:tc>
          <w:tcPr>
            <w:tcW w:w="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020" w:type="dxa"/>
            <w:vAlign w:val="bottom"/>
            <w:vMerge w:val="restart"/>
          </w:tcPr>
          <w:p>
            <w:pPr>
              <w:jc w:val="center"/>
              <w:spacing w:after="0" w:line="122" w:lineRule="exact"/>
              <w:rPr>
                <w:sz w:val="20"/>
                <w:szCs w:val="20"/>
                <w:color w:val="auto"/>
              </w:rPr>
            </w:pPr>
            <w:r>
              <w:rPr>
                <w:rFonts w:ascii="Arial" w:cs="Arial" w:eastAsia="Arial" w:hAnsi="Arial"/>
                <w:sz w:val="11"/>
                <w:szCs w:val="11"/>
                <w:b w:val="1"/>
                <w:bCs w:val="1"/>
                <w:color w:val="auto"/>
                <w:w w:val="88"/>
              </w:rPr>
              <w:t>($)</w:t>
            </w:r>
          </w:p>
        </w:tc>
        <w:tc>
          <w:tcPr>
            <w:tcW w:w="10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1120" w:type="dxa"/>
            <w:vAlign w:val="bottom"/>
            <w:gridSpan w:val="2"/>
            <w:vMerge w:val="restart"/>
          </w:tcPr>
          <w:p>
            <w:pPr>
              <w:jc w:val="center"/>
              <w:ind w:right="140"/>
              <w:spacing w:after="0" w:line="122" w:lineRule="exact"/>
              <w:rPr>
                <w:sz w:val="20"/>
                <w:szCs w:val="20"/>
                <w:color w:val="auto"/>
              </w:rPr>
            </w:pPr>
            <w:r>
              <w:rPr>
                <w:rFonts w:ascii="Arial" w:cs="Arial" w:eastAsia="Arial" w:hAnsi="Arial"/>
                <w:sz w:val="11"/>
                <w:szCs w:val="11"/>
                <w:b w:val="1"/>
                <w:bCs w:val="1"/>
                <w:color w:val="auto"/>
                <w:w w:val="83"/>
              </w:rPr>
              <w:t>Vested</w:t>
            </w:r>
          </w:p>
        </w:tc>
        <w:tc>
          <w:tcPr>
            <w:tcW w:w="1120" w:type="dxa"/>
            <w:vAlign w:val="bottom"/>
            <w:gridSpan w:val="2"/>
            <w:vMerge w:val="restart"/>
          </w:tcPr>
          <w:p>
            <w:pPr>
              <w:jc w:val="center"/>
              <w:ind w:right="100"/>
              <w:spacing w:after="0" w:line="122" w:lineRule="exact"/>
              <w:rPr>
                <w:sz w:val="20"/>
                <w:szCs w:val="20"/>
                <w:color w:val="auto"/>
              </w:rPr>
            </w:pPr>
            <w:r>
              <w:rPr>
                <w:rFonts w:ascii="Arial" w:cs="Arial" w:eastAsia="Arial" w:hAnsi="Arial"/>
                <w:sz w:val="11"/>
                <w:szCs w:val="11"/>
                <w:b w:val="1"/>
                <w:bCs w:val="1"/>
                <w:color w:val="auto"/>
                <w:w w:val="86"/>
              </w:rPr>
              <w:t>Not Vested</w:t>
            </w:r>
          </w:p>
        </w:tc>
        <w:tc>
          <w:tcPr>
            <w:tcW w:w="1120" w:type="dxa"/>
            <w:vAlign w:val="bottom"/>
            <w:gridSpan w:val="2"/>
            <w:vMerge w:val="continue"/>
          </w:tcPr>
          <w:p>
            <w:pPr>
              <w:spacing w:after="0"/>
              <w:rPr>
                <w:sz w:val="5"/>
                <w:szCs w:val="5"/>
                <w:color w:val="auto"/>
              </w:rPr>
            </w:pPr>
          </w:p>
        </w:tc>
        <w:tc>
          <w:tcPr>
            <w:tcW w:w="10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60" w:type="dxa"/>
            <w:vAlign w:val="bottom"/>
            <w:gridSpan w:val="2"/>
            <w:vMerge w:val="restart"/>
          </w:tcPr>
          <w:p>
            <w:pPr>
              <w:jc w:val="center"/>
              <w:ind w:right="120"/>
              <w:spacing w:after="0" w:line="122" w:lineRule="exact"/>
              <w:rPr>
                <w:sz w:val="20"/>
                <w:szCs w:val="20"/>
                <w:color w:val="auto"/>
              </w:rPr>
            </w:pPr>
            <w:r>
              <w:rPr>
                <w:rFonts w:ascii="Arial" w:cs="Arial" w:eastAsia="Arial" w:hAnsi="Arial"/>
                <w:sz w:val="11"/>
                <w:szCs w:val="11"/>
                <w:b w:val="1"/>
                <w:bCs w:val="1"/>
                <w:color w:val="auto"/>
                <w:w w:val="87"/>
              </w:rPr>
              <w:t>Exercisable (#)</w:t>
            </w:r>
          </w:p>
        </w:tc>
        <w:tc>
          <w:tcPr>
            <w:tcW w:w="1140" w:type="dxa"/>
            <w:vAlign w:val="bottom"/>
            <w:gridSpan w:val="2"/>
            <w:vMerge w:val="restart"/>
          </w:tcPr>
          <w:p>
            <w:pPr>
              <w:jc w:val="center"/>
              <w:ind w:right="120"/>
              <w:spacing w:after="0" w:line="122" w:lineRule="exact"/>
              <w:rPr>
                <w:sz w:val="20"/>
                <w:szCs w:val="20"/>
                <w:color w:val="auto"/>
              </w:rPr>
            </w:pPr>
            <w:r>
              <w:rPr>
                <w:rFonts w:ascii="Arial" w:cs="Arial" w:eastAsia="Arial" w:hAnsi="Arial"/>
                <w:sz w:val="11"/>
                <w:szCs w:val="11"/>
                <w:b w:val="1"/>
                <w:bCs w:val="1"/>
                <w:color w:val="auto"/>
                <w:w w:val="90"/>
              </w:rPr>
              <w:t>Unearned Options</w:t>
            </w:r>
          </w:p>
        </w:tc>
        <w:tc>
          <w:tcPr>
            <w:tcW w:w="1200" w:type="dxa"/>
            <w:vAlign w:val="bottom"/>
            <w:gridSpan w:val="2"/>
            <w:vMerge w:val="restart"/>
          </w:tcPr>
          <w:p>
            <w:pPr>
              <w:jc w:val="center"/>
              <w:ind w:right="120"/>
              <w:spacing w:after="0" w:line="122" w:lineRule="exact"/>
              <w:rPr>
                <w:sz w:val="20"/>
                <w:szCs w:val="20"/>
                <w:color w:val="auto"/>
              </w:rPr>
            </w:pPr>
            <w:r>
              <w:rPr>
                <w:rFonts w:ascii="Arial" w:cs="Arial" w:eastAsia="Arial" w:hAnsi="Arial"/>
                <w:sz w:val="11"/>
                <w:szCs w:val="11"/>
                <w:b w:val="1"/>
                <w:bCs w:val="1"/>
                <w:color w:val="auto"/>
                <w:w w:val="85"/>
              </w:rPr>
              <w:t>Unexercisable</w:t>
            </w:r>
          </w:p>
        </w:tc>
        <w:tc>
          <w:tcPr>
            <w:tcW w:w="10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1120" w:type="dxa"/>
            <w:vAlign w:val="bottom"/>
            <w:gridSpan w:val="2"/>
            <w:vMerge w:val="restart"/>
          </w:tcPr>
          <w:p>
            <w:pPr>
              <w:jc w:val="center"/>
              <w:ind w:right="100"/>
              <w:spacing w:after="0" w:line="122" w:lineRule="exact"/>
              <w:rPr>
                <w:sz w:val="20"/>
                <w:szCs w:val="20"/>
                <w:color w:val="auto"/>
              </w:rPr>
            </w:pPr>
            <w:r>
              <w:rPr>
                <w:rFonts w:ascii="Arial" w:cs="Arial" w:eastAsia="Arial" w:hAnsi="Arial"/>
                <w:sz w:val="11"/>
                <w:szCs w:val="11"/>
                <w:b w:val="1"/>
                <w:bCs w:val="1"/>
                <w:color w:val="auto"/>
                <w:w w:val="91"/>
              </w:rPr>
              <w:t>Rights That Have</w:t>
            </w:r>
          </w:p>
        </w:tc>
        <w:tc>
          <w:tcPr>
            <w:tcW w:w="1020" w:type="dxa"/>
            <w:vAlign w:val="bottom"/>
            <w:vMerge w:val="restart"/>
          </w:tcPr>
          <w:p>
            <w:pPr>
              <w:jc w:val="center"/>
              <w:spacing w:after="0" w:line="122" w:lineRule="exact"/>
              <w:rPr>
                <w:sz w:val="20"/>
                <w:szCs w:val="20"/>
                <w:color w:val="auto"/>
              </w:rPr>
            </w:pPr>
            <w:r>
              <w:rPr>
                <w:rFonts w:ascii="Arial" w:cs="Arial" w:eastAsia="Arial" w:hAnsi="Arial"/>
                <w:sz w:val="11"/>
                <w:szCs w:val="11"/>
                <w:b w:val="1"/>
                <w:bCs w:val="1"/>
                <w:color w:val="auto"/>
                <w:w w:val="92"/>
              </w:rPr>
              <w:t>Other Rights That</w:t>
            </w:r>
          </w:p>
        </w:tc>
        <w:tc>
          <w:tcPr>
            <w:tcW w:w="0" w:type="dxa"/>
            <w:vAlign w:val="bottom"/>
          </w:tcPr>
          <w:p>
            <w:pPr>
              <w:spacing w:after="0"/>
              <w:rPr>
                <w:sz w:val="1"/>
                <w:szCs w:val="1"/>
                <w:color w:val="auto"/>
              </w:rPr>
            </w:pPr>
          </w:p>
        </w:tc>
      </w:tr>
      <w:tr>
        <w:trPr>
          <w:trHeight w:val="68"/>
        </w:trPr>
        <w:tc>
          <w:tcPr>
            <w:tcW w:w="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0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vMerge w:val="restart"/>
          </w:tcPr>
          <w:p>
            <w:pPr>
              <w:jc w:val="center"/>
              <w:spacing w:after="0"/>
              <w:rPr>
                <w:sz w:val="20"/>
                <w:szCs w:val="20"/>
                <w:color w:val="auto"/>
              </w:rPr>
            </w:pPr>
            <w:r>
              <w:rPr>
                <w:rFonts w:ascii="Arial" w:cs="Arial" w:eastAsia="Arial" w:hAnsi="Arial"/>
                <w:sz w:val="11"/>
                <w:szCs w:val="11"/>
                <w:b w:val="1"/>
                <w:bCs w:val="1"/>
                <w:color w:val="auto"/>
              </w:rPr>
              <w:t>(#)</w:t>
            </w:r>
          </w:p>
        </w:tc>
        <w:tc>
          <w:tcPr>
            <w:tcW w:w="100" w:type="dxa"/>
            <w:vAlign w:val="bottom"/>
          </w:tcPr>
          <w:p>
            <w:pPr>
              <w:spacing w:after="0"/>
              <w:rPr>
                <w:sz w:val="5"/>
                <w:szCs w:val="5"/>
                <w:color w:val="auto"/>
              </w:rPr>
            </w:pPr>
          </w:p>
        </w:tc>
        <w:tc>
          <w:tcPr>
            <w:tcW w:w="1020" w:type="dxa"/>
            <w:vAlign w:val="bottom"/>
            <w:vMerge w:val="restart"/>
          </w:tcPr>
          <w:p>
            <w:pPr>
              <w:jc w:val="center"/>
              <w:spacing w:after="0"/>
              <w:rPr>
                <w:sz w:val="20"/>
                <w:szCs w:val="20"/>
                <w:color w:val="auto"/>
              </w:rPr>
            </w:pPr>
            <w:r>
              <w:rPr>
                <w:rFonts w:ascii="Arial" w:cs="Arial" w:eastAsia="Arial" w:hAnsi="Arial"/>
                <w:sz w:val="11"/>
                <w:szCs w:val="11"/>
                <w:b w:val="1"/>
                <w:bCs w:val="1"/>
                <w:color w:val="auto"/>
              </w:rPr>
              <w:t>($)</w:t>
            </w:r>
          </w:p>
        </w:tc>
        <w:tc>
          <w:tcPr>
            <w:tcW w:w="10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10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20" w:type="dxa"/>
            <w:vAlign w:val="bottom"/>
            <w:vMerge w:val="restart"/>
          </w:tcPr>
          <w:p>
            <w:pPr>
              <w:jc w:val="center"/>
              <w:spacing w:after="0" w:line="122" w:lineRule="exact"/>
              <w:rPr>
                <w:sz w:val="20"/>
                <w:szCs w:val="20"/>
                <w:color w:val="auto"/>
              </w:rPr>
            </w:pPr>
            <w:r>
              <w:rPr>
                <w:rFonts w:ascii="Arial" w:cs="Arial" w:eastAsia="Arial" w:hAnsi="Arial"/>
                <w:sz w:val="11"/>
                <w:szCs w:val="11"/>
                <w:b w:val="1"/>
                <w:bCs w:val="1"/>
                <w:color w:val="auto"/>
              </w:rPr>
              <w:t>(#)</w:t>
            </w:r>
          </w:p>
        </w:tc>
        <w:tc>
          <w:tcPr>
            <w:tcW w:w="120" w:type="dxa"/>
            <w:vAlign w:val="bottom"/>
          </w:tcPr>
          <w:p>
            <w:pPr>
              <w:spacing w:after="0"/>
              <w:rPr>
                <w:sz w:val="6"/>
                <w:szCs w:val="6"/>
                <w:color w:val="auto"/>
              </w:rPr>
            </w:pPr>
          </w:p>
        </w:tc>
        <w:tc>
          <w:tcPr>
            <w:tcW w:w="1100" w:type="dxa"/>
            <w:vAlign w:val="bottom"/>
            <w:vMerge w:val="restart"/>
          </w:tcPr>
          <w:p>
            <w:pPr>
              <w:jc w:val="center"/>
              <w:spacing w:after="0" w:line="122" w:lineRule="exact"/>
              <w:rPr>
                <w:sz w:val="20"/>
                <w:szCs w:val="20"/>
                <w:color w:val="auto"/>
              </w:rPr>
            </w:pPr>
            <w:r>
              <w:rPr>
                <w:rFonts w:ascii="Arial" w:cs="Arial" w:eastAsia="Arial" w:hAnsi="Arial"/>
                <w:sz w:val="11"/>
                <w:szCs w:val="11"/>
                <w:b w:val="1"/>
                <w:bCs w:val="1"/>
                <w:color w:val="auto"/>
                <w:w w:val="93"/>
              </w:rPr>
              <w:t>(#) (1)</w:t>
            </w:r>
          </w:p>
        </w:tc>
        <w:tc>
          <w:tcPr>
            <w:tcW w:w="1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120" w:type="dxa"/>
            <w:vAlign w:val="bottom"/>
            <w:gridSpan w:val="2"/>
            <w:vMerge w:val="restart"/>
          </w:tcPr>
          <w:p>
            <w:pPr>
              <w:jc w:val="center"/>
              <w:ind w:right="100"/>
              <w:spacing w:after="0" w:line="122" w:lineRule="exact"/>
              <w:rPr>
                <w:sz w:val="20"/>
                <w:szCs w:val="20"/>
                <w:color w:val="auto"/>
              </w:rPr>
            </w:pPr>
            <w:r>
              <w:rPr>
                <w:rFonts w:ascii="Arial" w:cs="Arial" w:eastAsia="Arial" w:hAnsi="Arial"/>
                <w:sz w:val="11"/>
                <w:szCs w:val="11"/>
                <w:b w:val="1"/>
                <w:bCs w:val="1"/>
                <w:color w:val="auto"/>
                <w:w w:val="86"/>
              </w:rPr>
              <w:t>Not Vested</w:t>
            </w:r>
          </w:p>
        </w:tc>
        <w:tc>
          <w:tcPr>
            <w:tcW w:w="1020" w:type="dxa"/>
            <w:vAlign w:val="bottom"/>
            <w:vMerge w:val="restart"/>
          </w:tcPr>
          <w:p>
            <w:pPr>
              <w:jc w:val="center"/>
              <w:spacing w:after="0" w:line="122" w:lineRule="exact"/>
              <w:rPr>
                <w:sz w:val="20"/>
                <w:szCs w:val="20"/>
                <w:color w:val="auto"/>
              </w:rPr>
            </w:pPr>
            <w:r>
              <w:rPr>
                <w:rFonts w:ascii="Arial" w:cs="Arial" w:eastAsia="Arial" w:hAnsi="Arial"/>
                <w:sz w:val="11"/>
                <w:szCs w:val="11"/>
                <w:b w:val="1"/>
                <w:bCs w:val="1"/>
                <w:color w:val="auto"/>
                <w:w w:val="87"/>
              </w:rPr>
              <w:t>Have Not Vested</w:t>
            </w:r>
          </w:p>
        </w:tc>
        <w:tc>
          <w:tcPr>
            <w:tcW w:w="0" w:type="dxa"/>
            <w:vAlign w:val="bottom"/>
          </w:tcPr>
          <w:p>
            <w:pPr>
              <w:spacing w:after="0"/>
              <w:rPr>
                <w:sz w:val="1"/>
                <w:szCs w:val="1"/>
                <w:color w:val="auto"/>
              </w:rPr>
            </w:pPr>
          </w:p>
        </w:tc>
      </w:tr>
      <w:tr>
        <w:trPr>
          <w:trHeight w:val="49"/>
        </w:trPr>
        <w:tc>
          <w:tcPr>
            <w:tcW w:w="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10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0"/>
        </w:trPr>
        <w:tc>
          <w:tcPr>
            <w:tcW w:w="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center"/>
              <w:spacing w:after="0"/>
              <w:rPr>
                <w:sz w:val="20"/>
                <w:szCs w:val="20"/>
                <w:color w:val="auto"/>
              </w:rPr>
            </w:pPr>
            <w:r>
              <w:rPr>
                <w:rFonts w:ascii="Arial" w:cs="Arial" w:eastAsia="Arial" w:hAnsi="Arial"/>
                <w:sz w:val="11"/>
                <w:szCs w:val="11"/>
                <w:b w:val="1"/>
                <w:bCs w:val="1"/>
                <w:color w:val="auto"/>
              </w:rPr>
              <w:t>(#)</w:t>
            </w:r>
          </w:p>
        </w:tc>
        <w:tc>
          <w:tcPr>
            <w:tcW w:w="100" w:type="dxa"/>
            <w:vAlign w:val="bottom"/>
          </w:tcPr>
          <w:p>
            <w:pPr>
              <w:spacing w:after="0"/>
              <w:rPr>
                <w:sz w:val="12"/>
                <w:szCs w:val="12"/>
                <w:color w:val="auto"/>
              </w:rPr>
            </w:pPr>
          </w:p>
        </w:tc>
        <w:tc>
          <w:tcPr>
            <w:tcW w:w="1020" w:type="dxa"/>
            <w:vAlign w:val="bottom"/>
          </w:tcPr>
          <w:p>
            <w:pPr>
              <w:jc w:val="center"/>
              <w:spacing w:after="0"/>
              <w:rPr>
                <w:sz w:val="20"/>
                <w:szCs w:val="20"/>
                <w:color w:val="auto"/>
              </w:rPr>
            </w:pPr>
            <w:r>
              <w:rPr>
                <w:rFonts w:ascii="Arial" w:cs="Arial" w:eastAsia="Arial" w:hAnsi="Arial"/>
                <w:sz w:val="11"/>
                <w:szCs w:val="11"/>
                <w:b w:val="1"/>
                <w:bCs w:val="1"/>
                <w:color w:val="auto"/>
                <w:w w:val="88"/>
              </w:rPr>
              <w:t>($)</w:t>
            </w:r>
          </w:p>
        </w:tc>
        <w:tc>
          <w:tcPr>
            <w:tcW w:w="0" w:type="dxa"/>
            <w:vAlign w:val="bottom"/>
          </w:tcPr>
          <w:p>
            <w:pPr>
              <w:spacing w:after="0"/>
              <w:rPr>
                <w:sz w:val="1"/>
                <w:szCs w:val="1"/>
                <w:color w:val="auto"/>
              </w:rPr>
            </w:pPr>
          </w:p>
        </w:tc>
      </w:tr>
      <w:tr>
        <w:trPr>
          <w:trHeight w:val="22"/>
        </w:trPr>
        <w:tc>
          <w:tcPr>
            <w:tcW w:w="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12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1"/>
                <w:szCs w:val="11"/>
                <w:color w:val="auto"/>
              </w:rPr>
              <w:t>Michael T. Dugan</w:t>
            </w:r>
          </w:p>
        </w:tc>
        <w:tc>
          <w:tcPr>
            <w:tcW w:w="10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415,614</w:t>
            </w: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1"/>
                <w:szCs w:val="11"/>
                <w:color w:val="auto"/>
              </w:rPr>
              <w:t>—</w:t>
            </w: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0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20.14</w:t>
            </w: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12/31/2019</w:t>
            </w:r>
          </w:p>
        </w:tc>
        <w:tc>
          <w:tcPr>
            <w:tcW w:w="1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1"/>
                <w:szCs w:val="11"/>
                <w:color w:val="auto"/>
              </w:rPr>
              <w:t>—</w:t>
            </w:r>
          </w:p>
        </w:tc>
        <w:tc>
          <w:tcPr>
            <w:tcW w:w="112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1"/>
                <w:szCs w:val="11"/>
                <w:color w:val="auto"/>
              </w:rPr>
              <w:t>—</w:t>
            </w:r>
          </w:p>
        </w:tc>
        <w:tc>
          <w:tcPr>
            <w:tcW w:w="112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1"/>
                <w:szCs w:val="11"/>
                <w:color w:val="auto"/>
              </w:rPr>
              <w:t>—</w:t>
            </w:r>
          </w:p>
        </w:tc>
        <w:tc>
          <w:tcPr>
            <w:tcW w:w="102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ind w:right="66"/>
              <w:spacing w:after="0"/>
              <w:rPr>
                <w:sz w:val="20"/>
                <w:szCs w:val="20"/>
                <w:color w:val="auto"/>
              </w:rPr>
            </w:pPr>
            <w:r>
              <w:rPr>
                <w:rFonts w:ascii="Arial" w:cs="Arial" w:eastAsia="Arial" w:hAnsi="Arial"/>
                <w:sz w:val="11"/>
                <w:szCs w:val="11"/>
                <w:color w:val="auto"/>
              </w:rPr>
              <w:t>250,000</w:t>
            </w:r>
          </w:p>
        </w:tc>
        <w:tc>
          <w:tcPr>
            <w:tcW w:w="120" w:type="dxa"/>
            <w:vAlign w:val="bottom"/>
          </w:tcPr>
          <w:p>
            <w:pPr>
              <w:spacing w:after="0"/>
              <w:rPr>
                <w:sz w:val="21"/>
                <w:szCs w:val="21"/>
                <w:color w:val="auto"/>
              </w:rPr>
            </w:pPr>
          </w:p>
        </w:tc>
        <w:tc>
          <w:tcPr>
            <w:tcW w:w="1140" w:type="dxa"/>
            <w:vAlign w:val="bottom"/>
            <w:gridSpan w:val="2"/>
          </w:tcPr>
          <w:p>
            <w:pPr>
              <w:ind w:left="800"/>
              <w:spacing w:after="0"/>
              <w:rPr>
                <w:sz w:val="20"/>
                <w:szCs w:val="20"/>
                <w:color w:val="auto"/>
              </w:rPr>
            </w:pPr>
            <w:r>
              <w:rPr>
                <w:rFonts w:ascii="Arial" w:cs="Arial" w:eastAsia="Arial" w:hAnsi="Arial"/>
                <w:sz w:val="11"/>
                <w:szCs w:val="11"/>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020" w:type="dxa"/>
            <w:vAlign w:val="bottom"/>
          </w:tcPr>
          <w:p>
            <w:pPr>
              <w:jc w:val="right"/>
              <w:ind w:right="46"/>
              <w:spacing w:after="0"/>
              <w:rPr>
                <w:sz w:val="20"/>
                <w:szCs w:val="20"/>
                <w:color w:val="auto"/>
              </w:rPr>
            </w:pPr>
            <w:r>
              <w:rPr>
                <w:rFonts w:ascii="Arial" w:cs="Arial" w:eastAsia="Arial" w:hAnsi="Arial"/>
                <w:sz w:val="11"/>
                <w:szCs w:val="11"/>
                <w:color w:val="auto"/>
              </w:rPr>
              <w:t>34.22</w:t>
            </w: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12/31/2022</w:t>
            </w:r>
          </w:p>
        </w:tc>
        <w:tc>
          <w:tcPr>
            <w:tcW w:w="100" w:type="dxa"/>
            <w:vAlign w:val="bottom"/>
          </w:tcPr>
          <w:p>
            <w:pPr>
              <w:spacing w:after="0"/>
              <w:rPr>
                <w:sz w:val="21"/>
                <w:szCs w:val="21"/>
                <w:color w:val="auto"/>
              </w:rPr>
            </w:pPr>
          </w:p>
        </w:tc>
        <w:tc>
          <w:tcPr>
            <w:tcW w:w="1120" w:type="dxa"/>
            <w:vAlign w:val="bottom"/>
            <w:gridSpan w:val="2"/>
          </w:tcPr>
          <w:p>
            <w:pPr>
              <w:ind w:left="800"/>
              <w:spacing w:after="0"/>
              <w:rPr>
                <w:sz w:val="20"/>
                <w:szCs w:val="20"/>
                <w:color w:val="auto"/>
              </w:rPr>
            </w:pPr>
            <w:r>
              <w:rPr>
                <w:rFonts w:ascii="Arial" w:cs="Arial" w:eastAsia="Arial" w:hAnsi="Arial"/>
                <w:sz w:val="11"/>
                <w:szCs w:val="11"/>
                <w:color w:val="auto"/>
              </w:rPr>
              <w:t>—</w:t>
            </w:r>
          </w:p>
        </w:tc>
        <w:tc>
          <w:tcPr>
            <w:tcW w:w="1120" w:type="dxa"/>
            <w:vAlign w:val="bottom"/>
            <w:gridSpan w:val="2"/>
          </w:tcPr>
          <w:p>
            <w:pPr>
              <w:ind w:left="800"/>
              <w:spacing w:after="0"/>
              <w:rPr>
                <w:sz w:val="20"/>
                <w:szCs w:val="20"/>
                <w:color w:val="auto"/>
              </w:rPr>
            </w:pPr>
            <w:r>
              <w:rPr>
                <w:rFonts w:ascii="Arial" w:cs="Arial" w:eastAsia="Arial" w:hAnsi="Arial"/>
                <w:sz w:val="11"/>
                <w:szCs w:val="11"/>
                <w:color w:val="auto"/>
              </w:rPr>
              <w:t>—</w:t>
            </w:r>
          </w:p>
        </w:tc>
        <w:tc>
          <w:tcPr>
            <w:tcW w:w="1120" w:type="dxa"/>
            <w:vAlign w:val="bottom"/>
            <w:gridSpan w:val="2"/>
          </w:tcPr>
          <w:p>
            <w:pPr>
              <w:ind w:left="800"/>
              <w:spacing w:after="0"/>
              <w:rPr>
                <w:sz w:val="20"/>
                <w:szCs w:val="20"/>
                <w:color w:val="auto"/>
              </w:rPr>
            </w:pPr>
            <w:r>
              <w:rPr>
                <w:rFonts w:ascii="Arial" w:cs="Arial" w:eastAsia="Arial" w:hAnsi="Arial"/>
                <w:sz w:val="11"/>
                <w:szCs w:val="11"/>
                <w:color w:val="auto"/>
              </w:rPr>
              <w:t>—</w:t>
            </w:r>
          </w:p>
        </w:tc>
        <w:tc>
          <w:tcPr>
            <w:tcW w:w="1020" w:type="dxa"/>
            <w:vAlign w:val="bottom"/>
          </w:tcPr>
          <w:p>
            <w:pPr>
              <w:ind w:left="80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2"/>
        </w:trPr>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BFE4FF"/>
            </w:tcBorders>
            <w:shd w:val="clear" w:color="auto" w:fill="BFE4FF"/>
          </w:tcPr>
          <w:p>
            <w:pPr>
              <w:spacing w:after="0"/>
              <w:rPr>
                <w:sz w:val="21"/>
                <w:szCs w:val="21"/>
                <w:color w:val="auto"/>
              </w:rPr>
            </w:pPr>
          </w:p>
        </w:tc>
        <w:tc>
          <w:tcPr>
            <w:tcW w:w="1120" w:type="dxa"/>
            <w:vAlign w:val="bottom"/>
            <w:tcBorders>
              <w:bottom w:val="single" w:sz="8" w:color="BFE4FF"/>
            </w:tcBorders>
            <w:shd w:val="clear" w:color="auto" w:fill="BFE4FF"/>
          </w:tcPr>
          <w:p>
            <w:pPr>
              <w:spacing w:after="0"/>
              <w:rPr>
                <w:sz w:val="20"/>
                <w:szCs w:val="20"/>
                <w:color w:val="auto"/>
              </w:rPr>
            </w:pPr>
            <w:r>
              <w:rPr>
                <w:rFonts w:ascii="Arial" w:cs="Arial" w:eastAsia="Arial" w:hAnsi="Arial"/>
                <w:sz w:val="11"/>
                <w:szCs w:val="11"/>
                <w:color w:val="auto"/>
                <w:shd w:val="clear" w:color="auto" w:fill="BFE4FF"/>
              </w:rPr>
              <w:t>Charles W. Ergen</w:t>
            </w:r>
          </w:p>
        </w:tc>
        <w:tc>
          <w:tcPr>
            <w:tcW w:w="120" w:type="dxa"/>
            <w:vAlign w:val="bottom"/>
            <w:tcBorders>
              <w:bottom w:val="single" w:sz="8" w:color="BFE4FF"/>
            </w:tcBorders>
            <w:shd w:val="clear" w:color="auto" w:fill="BFE4FF"/>
          </w:tcPr>
          <w:p>
            <w:pPr>
              <w:spacing w:after="0"/>
              <w:rPr>
                <w:sz w:val="21"/>
                <w:szCs w:val="21"/>
                <w:color w:val="auto"/>
              </w:rPr>
            </w:pPr>
          </w:p>
        </w:tc>
        <w:tc>
          <w:tcPr>
            <w:tcW w:w="1040" w:type="dxa"/>
            <w:vAlign w:val="bottom"/>
            <w:tcBorders>
              <w:bottom w:val="single" w:sz="8" w:color="BFE4FF"/>
            </w:tcBorders>
            <w:shd w:val="clear" w:color="auto" w:fill="BFE4FF"/>
          </w:tcPr>
          <w:p>
            <w:pPr>
              <w:jc w:val="right"/>
              <w:ind w:right="66"/>
              <w:spacing w:after="0"/>
              <w:rPr>
                <w:sz w:val="20"/>
                <w:szCs w:val="20"/>
                <w:color w:val="auto"/>
              </w:rPr>
            </w:pPr>
            <w:r>
              <w:rPr>
                <w:rFonts w:ascii="Arial" w:cs="Arial" w:eastAsia="Arial" w:hAnsi="Arial"/>
                <w:sz w:val="11"/>
                <w:szCs w:val="11"/>
                <w:color w:val="auto"/>
              </w:rPr>
              <w:t>800,000</w:t>
            </w:r>
          </w:p>
        </w:tc>
        <w:tc>
          <w:tcPr>
            <w:tcW w:w="120" w:type="dxa"/>
            <w:vAlign w:val="bottom"/>
            <w:tcBorders>
              <w:bottom w:val="single" w:sz="8" w:color="BFE4FF"/>
            </w:tcBorders>
            <w:shd w:val="clear" w:color="auto" w:fill="BFE4FF"/>
          </w:tcPr>
          <w:p>
            <w:pPr>
              <w:spacing w:after="0"/>
              <w:rPr>
                <w:sz w:val="21"/>
                <w:szCs w:val="21"/>
                <w:color w:val="auto"/>
              </w:rPr>
            </w:pPr>
          </w:p>
        </w:tc>
        <w:tc>
          <w:tcPr>
            <w:tcW w:w="1140" w:type="dxa"/>
            <w:vAlign w:val="bottom"/>
            <w:tcBorders>
              <w:bottom w:val="single" w:sz="8" w:color="BFE4FF"/>
            </w:tcBorders>
            <w:gridSpan w:val="2"/>
            <w:shd w:val="clear" w:color="auto" w:fill="BFE4FF"/>
          </w:tcPr>
          <w:p>
            <w:pPr>
              <w:ind w:left="800"/>
              <w:spacing w:after="0"/>
              <w:rPr>
                <w:sz w:val="20"/>
                <w:szCs w:val="20"/>
                <w:color w:val="auto"/>
              </w:rPr>
            </w:pPr>
            <w:r>
              <w:rPr>
                <w:rFonts w:ascii="Arial" w:cs="Arial" w:eastAsia="Arial" w:hAnsi="Arial"/>
                <w:sz w:val="11"/>
                <w:szCs w:val="11"/>
                <w:color w:val="auto"/>
              </w:rPr>
              <w:t>—</w:t>
            </w:r>
          </w:p>
        </w:tc>
        <w:tc>
          <w:tcPr>
            <w:tcW w:w="1200" w:type="dxa"/>
            <w:vAlign w:val="bottom"/>
            <w:tcBorders>
              <w:bottom w:val="single" w:sz="8" w:color="BFE4FF"/>
            </w:tcBorders>
            <w:gridSpan w:val="2"/>
            <w:shd w:val="clear" w:color="auto" w:fill="BFE4FF"/>
          </w:tcPr>
          <w:p>
            <w:pPr>
              <w:jc w:val="right"/>
              <w:ind w:right="200"/>
              <w:spacing w:after="0"/>
              <w:rPr>
                <w:sz w:val="20"/>
                <w:szCs w:val="20"/>
                <w:color w:val="auto"/>
              </w:rPr>
            </w:pPr>
            <w:r>
              <w:rPr>
                <w:rFonts w:ascii="Arial" w:cs="Arial" w:eastAsia="Arial" w:hAnsi="Arial"/>
                <w:sz w:val="11"/>
                <w:szCs w:val="11"/>
                <w:color w:val="auto"/>
              </w:rPr>
              <w:t>—</w:t>
            </w:r>
          </w:p>
        </w:tc>
        <w:tc>
          <w:tcPr>
            <w:tcW w:w="1020" w:type="dxa"/>
            <w:vAlign w:val="bottom"/>
            <w:tcBorders>
              <w:bottom w:val="single" w:sz="8" w:color="BFE4FF"/>
            </w:tcBorders>
            <w:shd w:val="clear" w:color="auto" w:fill="BFE4FF"/>
          </w:tcPr>
          <w:p>
            <w:pPr>
              <w:jc w:val="right"/>
              <w:ind w:right="46"/>
              <w:spacing w:after="0"/>
              <w:rPr>
                <w:sz w:val="20"/>
                <w:szCs w:val="20"/>
                <w:color w:val="auto"/>
              </w:rPr>
            </w:pPr>
            <w:r>
              <w:rPr>
                <w:rFonts w:ascii="Arial" w:cs="Arial" w:eastAsia="Arial" w:hAnsi="Arial"/>
                <w:sz w:val="11"/>
                <w:szCs w:val="11"/>
                <w:color w:val="auto"/>
              </w:rPr>
              <w:t>37.85</w:t>
            </w:r>
          </w:p>
        </w:tc>
        <w:tc>
          <w:tcPr>
            <w:tcW w:w="100" w:type="dxa"/>
            <w:vAlign w:val="bottom"/>
            <w:tcBorders>
              <w:bottom w:val="single" w:sz="8" w:color="BFE4FF"/>
            </w:tcBorders>
            <w:shd w:val="clear" w:color="auto" w:fill="BFE4FF"/>
          </w:tcPr>
          <w:p>
            <w:pPr>
              <w:spacing w:after="0"/>
              <w:rPr>
                <w:sz w:val="21"/>
                <w:szCs w:val="21"/>
                <w:color w:val="auto"/>
              </w:rPr>
            </w:pPr>
          </w:p>
        </w:tc>
        <w:tc>
          <w:tcPr>
            <w:tcW w:w="104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1"/>
                <w:szCs w:val="11"/>
                <w:color w:val="auto"/>
              </w:rPr>
              <w:t>03/21/2021</w:t>
            </w:r>
          </w:p>
        </w:tc>
        <w:tc>
          <w:tcPr>
            <w:tcW w:w="100" w:type="dxa"/>
            <w:vAlign w:val="bottom"/>
            <w:tcBorders>
              <w:bottom w:val="single" w:sz="8" w:color="BFE4FF"/>
            </w:tcBorders>
            <w:shd w:val="clear" w:color="auto" w:fill="BFE4FF"/>
          </w:tcPr>
          <w:p>
            <w:pPr>
              <w:spacing w:after="0"/>
              <w:rPr>
                <w:sz w:val="21"/>
                <w:szCs w:val="21"/>
                <w:color w:val="auto"/>
              </w:rPr>
            </w:pPr>
          </w:p>
        </w:tc>
        <w:tc>
          <w:tcPr>
            <w:tcW w:w="1120" w:type="dxa"/>
            <w:vAlign w:val="bottom"/>
            <w:tcBorders>
              <w:bottom w:val="single" w:sz="8" w:color="BFE4FF"/>
            </w:tcBorders>
            <w:gridSpan w:val="2"/>
            <w:shd w:val="clear" w:color="auto" w:fill="BFE4FF"/>
          </w:tcPr>
          <w:p>
            <w:pPr>
              <w:ind w:left="800"/>
              <w:spacing w:after="0"/>
              <w:rPr>
                <w:sz w:val="20"/>
                <w:szCs w:val="20"/>
                <w:color w:val="auto"/>
              </w:rPr>
            </w:pPr>
            <w:r>
              <w:rPr>
                <w:rFonts w:ascii="Arial" w:cs="Arial" w:eastAsia="Arial" w:hAnsi="Arial"/>
                <w:sz w:val="11"/>
                <w:szCs w:val="11"/>
                <w:color w:val="auto"/>
              </w:rPr>
              <w:t>—</w:t>
            </w:r>
          </w:p>
        </w:tc>
        <w:tc>
          <w:tcPr>
            <w:tcW w:w="1120" w:type="dxa"/>
            <w:vAlign w:val="bottom"/>
            <w:tcBorders>
              <w:bottom w:val="single" w:sz="8" w:color="BFE4FF"/>
            </w:tcBorders>
            <w:gridSpan w:val="2"/>
            <w:shd w:val="clear" w:color="auto" w:fill="BFE4FF"/>
          </w:tcPr>
          <w:p>
            <w:pPr>
              <w:ind w:left="800"/>
              <w:spacing w:after="0"/>
              <w:rPr>
                <w:sz w:val="20"/>
                <w:szCs w:val="20"/>
                <w:color w:val="auto"/>
              </w:rPr>
            </w:pPr>
            <w:r>
              <w:rPr>
                <w:rFonts w:ascii="Arial" w:cs="Arial" w:eastAsia="Arial" w:hAnsi="Arial"/>
                <w:sz w:val="11"/>
                <w:szCs w:val="11"/>
                <w:color w:val="auto"/>
              </w:rPr>
              <w:t>—</w:t>
            </w:r>
          </w:p>
        </w:tc>
        <w:tc>
          <w:tcPr>
            <w:tcW w:w="1120" w:type="dxa"/>
            <w:vAlign w:val="bottom"/>
            <w:tcBorders>
              <w:bottom w:val="single" w:sz="8" w:color="BFE4FF"/>
            </w:tcBorders>
            <w:gridSpan w:val="2"/>
            <w:shd w:val="clear" w:color="auto" w:fill="BFE4FF"/>
          </w:tcPr>
          <w:p>
            <w:pPr>
              <w:ind w:left="800"/>
              <w:spacing w:after="0"/>
              <w:rPr>
                <w:sz w:val="20"/>
                <w:szCs w:val="20"/>
                <w:color w:val="auto"/>
              </w:rPr>
            </w:pPr>
            <w:r>
              <w:rPr>
                <w:rFonts w:ascii="Arial" w:cs="Arial" w:eastAsia="Arial" w:hAnsi="Arial"/>
                <w:sz w:val="11"/>
                <w:szCs w:val="11"/>
                <w:color w:val="auto"/>
              </w:rPr>
              <w:t>—</w:t>
            </w:r>
          </w:p>
        </w:tc>
        <w:tc>
          <w:tcPr>
            <w:tcW w:w="1020" w:type="dxa"/>
            <w:vAlign w:val="bottom"/>
            <w:tcBorders>
              <w:bottom w:val="single" w:sz="8" w:color="BFE4FF"/>
            </w:tcBorders>
            <w:shd w:val="clear" w:color="auto" w:fill="BFE4FF"/>
          </w:tcPr>
          <w:p>
            <w:pPr>
              <w:ind w:left="80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ind w:right="66"/>
              <w:spacing w:after="0"/>
              <w:rPr>
                <w:sz w:val="20"/>
                <w:szCs w:val="20"/>
                <w:color w:val="auto"/>
              </w:rPr>
            </w:pPr>
            <w:r>
              <w:rPr>
                <w:rFonts w:ascii="Arial" w:cs="Arial" w:eastAsia="Arial" w:hAnsi="Arial"/>
                <w:sz w:val="11"/>
                <w:szCs w:val="11"/>
                <w:color w:val="auto"/>
              </w:rPr>
              <w:t>560,000</w:t>
            </w:r>
          </w:p>
        </w:tc>
        <w:tc>
          <w:tcPr>
            <w:tcW w:w="120" w:type="dxa"/>
            <w:vAlign w:val="bottom"/>
          </w:tcPr>
          <w:p>
            <w:pPr>
              <w:spacing w:after="0"/>
              <w:rPr>
                <w:sz w:val="21"/>
                <w:szCs w:val="21"/>
                <w:color w:val="auto"/>
              </w:rPr>
            </w:pPr>
          </w:p>
        </w:tc>
        <w:tc>
          <w:tcPr>
            <w:tcW w:w="1140" w:type="dxa"/>
            <w:vAlign w:val="bottom"/>
            <w:gridSpan w:val="2"/>
          </w:tcPr>
          <w:p>
            <w:pPr>
              <w:ind w:left="800"/>
              <w:spacing w:after="0"/>
              <w:rPr>
                <w:sz w:val="20"/>
                <w:szCs w:val="20"/>
                <w:color w:val="auto"/>
              </w:rPr>
            </w:pPr>
            <w:r>
              <w:rPr>
                <w:rFonts w:ascii="Arial" w:cs="Arial" w:eastAsia="Arial" w:hAnsi="Arial"/>
                <w:sz w:val="11"/>
                <w:szCs w:val="11"/>
                <w:color w:val="auto"/>
              </w:rPr>
              <w:t>—</w:t>
            </w:r>
          </w:p>
        </w:tc>
        <w:tc>
          <w:tcPr>
            <w:tcW w:w="1100" w:type="dxa"/>
            <w:vAlign w:val="bottom"/>
          </w:tcPr>
          <w:p>
            <w:pPr>
              <w:jc w:val="right"/>
              <w:ind w:right="46"/>
              <w:spacing w:after="0"/>
              <w:rPr>
                <w:sz w:val="20"/>
                <w:szCs w:val="20"/>
                <w:color w:val="auto"/>
              </w:rPr>
            </w:pPr>
            <w:r>
              <w:rPr>
                <w:rFonts w:ascii="Arial" w:cs="Arial" w:eastAsia="Arial" w:hAnsi="Arial"/>
                <w:sz w:val="11"/>
                <w:szCs w:val="11"/>
                <w:color w:val="auto"/>
              </w:rPr>
              <w:t>140,000</w:t>
            </w:r>
          </w:p>
        </w:tc>
        <w:tc>
          <w:tcPr>
            <w:tcW w:w="100" w:type="dxa"/>
            <w:vAlign w:val="bottom"/>
          </w:tcPr>
          <w:p>
            <w:pPr>
              <w:spacing w:after="0"/>
              <w:rPr>
                <w:sz w:val="21"/>
                <w:szCs w:val="21"/>
                <w:color w:val="auto"/>
              </w:rPr>
            </w:pPr>
          </w:p>
        </w:tc>
        <w:tc>
          <w:tcPr>
            <w:tcW w:w="1020" w:type="dxa"/>
            <w:vAlign w:val="bottom"/>
          </w:tcPr>
          <w:p>
            <w:pPr>
              <w:jc w:val="right"/>
              <w:ind w:right="46"/>
              <w:spacing w:after="0"/>
              <w:rPr>
                <w:sz w:val="20"/>
                <w:szCs w:val="20"/>
                <w:color w:val="auto"/>
              </w:rPr>
            </w:pPr>
            <w:r>
              <w:rPr>
                <w:rFonts w:ascii="Arial" w:cs="Arial" w:eastAsia="Arial" w:hAnsi="Arial"/>
                <w:sz w:val="11"/>
                <w:szCs w:val="11"/>
                <w:color w:val="auto"/>
              </w:rPr>
              <w:t>38.38</w:t>
            </w: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4/1/2023</w:t>
            </w:r>
          </w:p>
        </w:tc>
        <w:tc>
          <w:tcPr>
            <w:tcW w:w="100" w:type="dxa"/>
            <w:vAlign w:val="bottom"/>
          </w:tcPr>
          <w:p>
            <w:pPr>
              <w:spacing w:after="0"/>
              <w:rPr>
                <w:sz w:val="21"/>
                <w:szCs w:val="21"/>
                <w:color w:val="auto"/>
              </w:rPr>
            </w:pPr>
          </w:p>
        </w:tc>
        <w:tc>
          <w:tcPr>
            <w:tcW w:w="1120" w:type="dxa"/>
            <w:vAlign w:val="bottom"/>
            <w:gridSpan w:val="2"/>
          </w:tcPr>
          <w:p>
            <w:pPr>
              <w:ind w:left="800"/>
              <w:spacing w:after="0"/>
              <w:rPr>
                <w:sz w:val="20"/>
                <w:szCs w:val="20"/>
                <w:color w:val="auto"/>
              </w:rPr>
            </w:pPr>
            <w:r>
              <w:rPr>
                <w:rFonts w:ascii="Arial" w:cs="Arial" w:eastAsia="Arial" w:hAnsi="Arial"/>
                <w:sz w:val="11"/>
                <w:szCs w:val="11"/>
                <w:color w:val="auto"/>
              </w:rPr>
              <w:t>—</w:t>
            </w:r>
          </w:p>
        </w:tc>
        <w:tc>
          <w:tcPr>
            <w:tcW w:w="1120" w:type="dxa"/>
            <w:vAlign w:val="bottom"/>
            <w:gridSpan w:val="2"/>
          </w:tcPr>
          <w:p>
            <w:pPr>
              <w:ind w:left="800"/>
              <w:spacing w:after="0"/>
              <w:rPr>
                <w:sz w:val="20"/>
                <w:szCs w:val="20"/>
                <w:color w:val="auto"/>
              </w:rPr>
            </w:pPr>
            <w:r>
              <w:rPr>
                <w:rFonts w:ascii="Arial" w:cs="Arial" w:eastAsia="Arial" w:hAnsi="Arial"/>
                <w:sz w:val="11"/>
                <w:szCs w:val="11"/>
                <w:color w:val="auto"/>
              </w:rPr>
              <w:t>—</w:t>
            </w:r>
          </w:p>
        </w:tc>
        <w:tc>
          <w:tcPr>
            <w:tcW w:w="1120" w:type="dxa"/>
            <w:vAlign w:val="bottom"/>
            <w:gridSpan w:val="2"/>
          </w:tcPr>
          <w:p>
            <w:pPr>
              <w:ind w:left="800"/>
              <w:spacing w:after="0"/>
              <w:rPr>
                <w:sz w:val="20"/>
                <w:szCs w:val="20"/>
                <w:color w:val="auto"/>
              </w:rPr>
            </w:pPr>
            <w:r>
              <w:rPr>
                <w:rFonts w:ascii="Arial" w:cs="Arial" w:eastAsia="Arial" w:hAnsi="Arial"/>
                <w:sz w:val="11"/>
                <w:szCs w:val="11"/>
                <w:color w:val="auto"/>
              </w:rPr>
              <w:t>—</w:t>
            </w:r>
          </w:p>
        </w:tc>
        <w:tc>
          <w:tcPr>
            <w:tcW w:w="1020" w:type="dxa"/>
            <w:vAlign w:val="bottom"/>
          </w:tcPr>
          <w:p>
            <w:pPr>
              <w:ind w:left="80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2"/>
        </w:trPr>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BFE4FF"/>
            </w:tcBorders>
            <w:shd w:val="clear" w:color="auto" w:fill="BFE4FF"/>
          </w:tcPr>
          <w:p>
            <w:pPr>
              <w:spacing w:after="0"/>
              <w:rPr>
                <w:sz w:val="21"/>
                <w:szCs w:val="21"/>
                <w:color w:val="auto"/>
              </w:rPr>
            </w:pPr>
          </w:p>
        </w:tc>
        <w:tc>
          <w:tcPr>
            <w:tcW w:w="1120" w:type="dxa"/>
            <w:vAlign w:val="bottom"/>
            <w:tcBorders>
              <w:bottom w:val="single" w:sz="8" w:color="BFE4FF"/>
            </w:tcBorders>
            <w:shd w:val="clear" w:color="auto" w:fill="BFE4FF"/>
          </w:tcPr>
          <w:p>
            <w:pPr>
              <w:spacing w:after="0"/>
              <w:rPr>
                <w:sz w:val="21"/>
                <w:szCs w:val="21"/>
                <w:color w:val="auto"/>
              </w:rPr>
            </w:pPr>
          </w:p>
        </w:tc>
        <w:tc>
          <w:tcPr>
            <w:tcW w:w="120" w:type="dxa"/>
            <w:vAlign w:val="bottom"/>
            <w:tcBorders>
              <w:bottom w:val="single" w:sz="8" w:color="BFE4FF"/>
            </w:tcBorders>
            <w:shd w:val="clear" w:color="auto" w:fill="BFE4FF"/>
          </w:tcPr>
          <w:p>
            <w:pPr>
              <w:spacing w:after="0"/>
              <w:rPr>
                <w:sz w:val="21"/>
                <w:szCs w:val="21"/>
                <w:color w:val="auto"/>
              </w:rPr>
            </w:pPr>
          </w:p>
        </w:tc>
        <w:tc>
          <w:tcPr>
            <w:tcW w:w="1160" w:type="dxa"/>
            <w:vAlign w:val="bottom"/>
            <w:tcBorders>
              <w:bottom w:val="single" w:sz="8" w:color="BFE4FF"/>
            </w:tcBorders>
            <w:gridSpan w:val="2"/>
            <w:shd w:val="clear" w:color="auto" w:fill="BFE4FF"/>
          </w:tcPr>
          <w:p>
            <w:pPr>
              <w:jc w:val="right"/>
              <w:ind w:right="240"/>
              <w:spacing w:after="0"/>
              <w:rPr>
                <w:sz w:val="20"/>
                <w:szCs w:val="20"/>
                <w:color w:val="auto"/>
              </w:rPr>
            </w:pPr>
            <w:r>
              <w:rPr>
                <w:rFonts w:ascii="Arial" w:cs="Arial" w:eastAsia="Arial" w:hAnsi="Arial"/>
                <w:sz w:val="11"/>
                <w:szCs w:val="11"/>
                <w:color w:val="auto"/>
              </w:rPr>
              <w:t>—</w:t>
            </w:r>
          </w:p>
        </w:tc>
        <w:tc>
          <w:tcPr>
            <w:tcW w:w="1140" w:type="dxa"/>
            <w:vAlign w:val="bottom"/>
            <w:tcBorders>
              <w:bottom w:val="single" w:sz="8" w:color="BFE4FF"/>
            </w:tcBorders>
            <w:gridSpan w:val="2"/>
            <w:shd w:val="clear" w:color="auto" w:fill="BFE4FF"/>
          </w:tcPr>
          <w:p>
            <w:pPr>
              <w:ind w:left="800"/>
              <w:spacing w:after="0"/>
              <w:rPr>
                <w:sz w:val="20"/>
                <w:szCs w:val="20"/>
                <w:color w:val="auto"/>
              </w:rPr>
            </w:pPr>
            <w:r>
              <w:rPr>
                <w:rFonts w:ascii="Arial" w:cs="Arial" w:eastAsia="Arial" w:hAnsi="Arial"/>
                <w:sz w:val="11"/>
                <w:szCs w:val="11"/>
                <w:color w:val="auto"/>
              </w:rPr>
              <w:t>—</w:t>
            </w:r>
          </w:p>
        </w:tc>
        <w:tc>
          <w:tcPr>
            <w:tcW w:w="1100" w:type="dxa"/>
            <w:vAlign w:val="bottom"/>
            <w:tcBorders>
              <w:bottom w:val="single" w:sz="8" w:color="BFE4FF"/>
            </w:tcBorders>
            <w:shd w:val="clear" w:color="auto" w:fill="BFE4FF"/>
          </w:tcPr>
          <w:p>
            <w:pPr>
              <w:jc w:val="right"/>
              <w:ind w:right="46"/>
              <w:spacing w:after="0"/>
              <w:rPr>
                <w:sz w:val="20"/>
                <w:szCs w:val="20"/>
                <w:color w:val="auto"/>
              </w:rPr>
            </w:pPr>
            <w:r>
              <w:rPr>
                <w:rFonts w:ascii="Arial" w:cs="Arial" w:eastAsia="Arial" w:hAnsi="Arial"/>
                <w:sz w:val="11"/>
                <w:szCs w:val="11"/>
                <w:color w:val="auto"/>
              </w:rPr>
              <w:t>500,000</w:t>
            </w:r>
          </w:p>
        </w:tc>
        <w:tc>
          <w:tcPr>
            <w:tcW w:w="100" w:type="dxa"/>
            <w:vAlign w:val="bottom"/>
            <w:tcBorders>
              <w:bottom w:val="single" w:sz="8" w:color="BFE4FF"/>
            </w:tcBorders>
            <w:shd w:val="clear" w:color="auto" w:fill="BFE4FF"/>
          </w:tcPr>
          <w:p>
            <w:pPr>
              <w:spacing w:after="0"/>
              <w:rPr>
                <w:sz w:val="21"/>
                <w:szCs w:val="21"/>
                <w:color w:val="auto"/>
              </w:rPr>
            </w:pPr>
          </w:p>
        </w:tc>
        <w:tc>
          <w:tcPr>
            <w:tcW w:w="1020" w:type="dxa"/>
            <w:vAlign w:val="bottom"/>
            <w:tcBorders>
              <w:bottom w:val="single" w:sz="8" w:color="BFE4FF"/>
            </w:tcBorders>
            <w:shd w:val="clear" w:color="auto" w:fill="BFE4FF"/>
          </w:tcPr>
          <w:p>
            <w:pPr>
              <w:jc w:val="right"/>
              <w:ind w:right="46"/>
              <w:spacing w:after="0"/>
              <w:rPr>
                <w:sz w:val="20"/>
                <w:szCs w:val="20"/>
                <w:color w:val="auto"/>
              </w:rPr>
            </w:pPr>
            <w:r>
              <w:rPr>
                <w:rFonts w:ascii="Arial" w:cs="Arial" w:eastAsia="Arial" w:hAnsi="Arial"/>
                <w:sz w:val="11"/>
                <w:szCs w:val="11"/>
                <w:color w:val="auto"/>
              </w:rPr>
              <w:t>56.95</w:t>
            </w:r>
          </w:p>
        </w:tc>
        <w:tc>
          <w:tcPr>
            <w:tcW w:w="100" w:type="dxa"/>
            <w:vAlign w:val="bottom"/>
            <w:tcBorders>
              <w:bottom w:val="single" w:sz="8" w:color="BFE4FF"/>
            </w:tcBorders>
            <w:shd w:val="clear" w:color="auto" w:fill="BFE4FF"/>
          </w:tcPr>
          <w:p>
            <w:pPr>
              <w:spacing w:after="0"/>
              <w:rPr>
                <w:sz w:val="21"/>
                <w:szCs w:val="21"/>
                <w:color w:val="auto"/>
              </w:rPr>
            </w:pPr>
          </w:p>
        </w:tc>
        <w:tc>
          <w:tcPr>
            <w:tcW w:w="104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1"/>
                <w:szCs w:val="11"/>
                <w:color w:val="auto"/>
              </w:rPr>
              <w:t>4/1/2027</w:t>
            </w:r>
          </w:p>
        </w:tc>
        <w:tc>
          <w:tcPr>
            <w:tcW w:w="100" w:type="dxa"/>
            <w:vAlign w:val="bottom"/>
            <w:tcBorders>
              <w:bottom w:val="single" w:sz="8" w:color="BFE4FF"/>
            </w:tcBorders>
            <w:shd w:val="clear" w:color="auto" w:fill="BFE4FF"/>
          </w:tcPr>
          <w:p>
            <w:pPr>
              <w:spacing w:after="0"/>
              <w:rPr>
                <w:sz w:val="21"/>
                <w:szCs w:val="21"/>
                <w:color w:val="auto"/>
              </w:rPr>
            </w:pPr>
          </w:p>
        </w:tc>
        <w:tc>
          <w:tcPr>
            <w:tcW w:w="1120" w:type="dxa"/>
            <w:vAlign w:val="bottom"/>
            <w:tcBorders>
              <w:bottom w:val="single" w:sz="8" w:color="BFE4FF"/>
            </w:tcBorders>
            <w:gridSpan w:val="2"/>
            <w:shd w:val="clear" w:color="auto" w:fill="BFE4FF"/>
          </w:tcPr>
          <w:p>
            <w:pPr>
              <w:ind w:left="800"/>
              <w:spacing w:after="0"/>
              <w:rPr>
                <w:sz w:val="20"/>
                <w:szCs w:val="20"/>
                <w:color w:val="auto"/>
              </w:rPr>
            </w:pPr>
            <w:r>
              <w:rPr>
                <w:rFonts w:ascii="Arial" w:cs="Arial" w:eastAsia="Arial" w:hAnsi="Arial"/>
                <w:sz w:val="11"/>
                <w:szCs w:val="11"/>
                <w:color w:val="auto"/>
              </w:rPr>
              <w:t>—</w:t>
            </w:r>
          </w:p>
        </w:tc>
        <w:tc>
          <w:tcPr>
            <w:tcW w:w="1120" w:type="dxa"/>
            <w:vAlign w:val="bottom"/>
            <w:tcBorders>
              <w:bottom w:val="single" w:sz="8" w:color="BFE4FF"/>
            </w:tcBorders>
            <w:gridSpan w:val="2"/>
            <w:shd w:val="clear" w:color="auto" w:fill="BFE4FF"/>
          </w:tcPr>
          <w:p>
            <w:pPr>
              <w:ind w:left="800"/>
              <w:spacing w:after="0"/>
              <w:rPr>
                <w:sz w:val="20"/>
                <w:szCs w:val="20"/>
                <w:color w:val="auto"/>
              </w:rPr>
            </w:pPr>
            <w:r>
              <w:rPr>
                <w:rFonts w:ascii="Arial" w:cs="Arial" w:eastAsia="Arial" w:hAnsi="Arial"/>
                <w:sz w:val="11"/>
                <w:szCs w:val="11"/>
                <w:color w:val="auto"/>
              </w:rPr>
              <w:t>—</w:t>
            </w:r>
          </w:p>
        </w:tc>
        <w:tc>
          <w:tcPr>
            <w:tcW w:w="1120" w:type="dxa"/>
            <w:vAlign w:val="bottom"/>
            <w:tcBorders>
              <w:bottom w:val="single" w:sz="8" w:color="BFE4FF"/>
            </w:tcBorders>
            <w:gridSpan w:val="2"/>
            <w:shd w:val="clear" w:color="auto" w:fill="BFE4FF"/>
          </w:tcPr>
          <w:p>
            <w:pPr>
              <w:ind w:left="800"/>
              <w:spacing w:after="0"/>
              <w:rPr>
                <w:sz w:val="20"/>
                <w:szCs w:val="20"/>
                <w:color w:val="auto"/>
              </w:rPr>
            </w:pPr>
            <w:r>
              <w:rPr>
                <w:rFonts w:ascii="Arial" w:cs="Arial" w:eastAsia="Arial" w:hAnsi="Arial"/>
                <w:sz w:val="11"/>
                <w:szCs w:val="11"/>
                <w:color w:val="auto"/>
              </w:rPr>
              <w:t>—</w:t>
            </w:r>
          </w:p>
        </w:tc>
        <w:tc>
          <w:tcPr>
            <w:tcW w:w="1020" w:type="dxa"/>
            <w:vAlign w:val="bottom"/>
            <w:tcBorders>
              <w:bottom w:val="single" w:sz="8" w:color="BFE4FF"/>
            </w:tcBorders>
            <w:shd w:val="clear" w:color="auto" w:fill="BFE4FF"/>
          </w:tcPr>
          <w:p>
            <w:pPr>
              <w:ind w:left="80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48"/>
        </w:trPr>
        <w:tc>
          <w:tcPr>
            <w:tcW w:w="1280" w:type="dxa"/>
            <w:vAlign w:val="bottom"/>
            <w:gridSpan w:val="3"/>
          </w:tcPr>
          <w:p>
            <w:pPr>
              <w:ind w:left="40"/>
              <w:spacing w:after="0"/>
              <w:rPr>
                <w:sz w:val="20"/>
                <w:szCs w:val="20"/>
                <w:color w:val="auto"/>
              </w:rPr>
            </w:pPr>
            <w:r>
              <w:rPr>
                <w:rFonts w:ascii="Arial" w:cs="Arial" w:eastAsia="Arial" w:hAnsi="Arial"/>
                <w:sz w:val="11"/>
                <w:szCs w:val="11"/>
                <w:color w:val="auto"/>
              </w:rPr>
              <w:t>Anders N. Johnson</w:t>
            </w:r>
          </w:p>
        </w:tc>
        <w:tc>
          <w:tcPr>
            <w:tcW w:w="1040" w:type="dxa"/>
            <w:vAlign w:val="bottom"/>
          </w:tcPr>
          <w:p>
            <w:pPr>
              <w:jc w:val="right"/>
              <w:ind w:right="66"/>
              <w:spacing w:after="0"/>
              <w:rPr>
                <w:sz w:val="20"/>
                <w:szCs w:val="20"/>
                <w:color w:val="auto"/>
              </w:rPr>
            </w:pPr>
            <w:r>
              <w:rPr>
                <w:rFonts w:ascii="Arial" w:cs="Arial" w:eastAsia="Arial" w:hAnsi="Arial"/>
                <w:sz w:val="11"/>
                <w:szCs w:val="11"/>
                <w:color w:val="auto"/>
              </w:rPr>
              <w:t>100,000</w:t>
            </w:r>
          </w:p>
        </w:tc>
        <w:tc>
          <w:tcPr>
            <w:tcW w:w="120" w:type="dxa"/>
            <w:vAlign w:val="bottom"/>
          </w:tcPr>
          <w:p>
            <w:pPr>
              <w:spacing w:after="0"/>
              <w:rPr>
                <w:sz w:val="21"/>
                <w:szCs w:val="21"/>
                <w:color w:val="auto"/>
              </w:rPr>
            </w:pPr>
          </w:p>
        </w:tc>
        <w:tc>
          <w:tcPr>
            <w:tcW w:w="1140" w:type="dxa"/>
            <w:vAlign w:val="bottom"/>
            <w:gridSpan w:val="2"/>
          </w:tcPr>
          <w:p>
            <w:pPr>
              <w:ind w:left="800"/>
              <w:spacing w:after="0"/>
              <w:rPr>
                <w:sz w:val="20"/>
                <w:szCs w:val="20"/>
                <w:color w:val="auto"/>
              </w:rPr>
            </w:pPr>
            <w:r>
              <w:rPr>
                <w:rFonts w:ascii="Arial" w:cs="Arial" w:eastAsia="Arial" w:hAnsi="Arial"/>
                <w:sz w:val="11"/>
                <w:szCs w:val="11"/>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020" w:type="dxa"/>
            <w:vAlign w:val="bottom"/>
          </w:tcPr>
          <w:p>
            <w:pPr>
              <w:jc w:val="right"/>
              <w:ind w:right="46"/>
              <w:spacing w:after="0"/>
              <w:rPr>
                <w:sz w:val="20"/>
                <w:szCs w:val="20"/>
                <w:color w:val="auto"/>
              </w:rPr>
            </w:pPr>
            <w:r>
              <w:rPr>
                <w:rFonts w:ascii="Arial" w:cs="Arial" w:eastAsia="Arial" w:hAnsi="Arial"/>
                <w:sz w:val="11"/>
                <w:szCs w:val="11"/>
                <w:color w:val="auto"/>
              </w:rPr>
              <w:t>36.43</w:t>
            </w: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6/30/2021</w:t>
            </w:r>
          </w:p>
        </w:tc>
        <w:tc>
          <w:tcPr>
            <w:tcW w:w="100" w:type="dxa"/>
            <w:vAlign w:val="bottom"/>
          </w:tcPr>
          <w:p>
            <w:pPr>
              <w:spacing w:after="0"/>
              <w:rPr>
                <w:sz w:val="21"/>
                <w:szCs w:val="21"/>
                <w:color w:val="auto"/>
              </w:rPr>
            </w:pPr>
          </w:p>
        </w:tc>
        <w:tc>
          <w:tcPr>
            <w:tcW w:w="1120" w:type="dxa"/>
            <w:vAlign w:val="bottom"/>
            <w:gridSpan w:val="2"/>
          </w:tcPr>
          <w:p>
            <w:pPr>
              <w:ind w:left="800"/>
              <w:spacing w:after="0"/>
              <w:rPr>
                <w:sz w:val="20"/>
                <w:szCs w:val="20"/>
                <w:color w:val="auto"/>
              </w:rPr>
            </w:pPr>
            <w:r>
              <w:rPr>
                <w:rFonts w:ascii="Arial" w:cs="Arial" w:eastAsia="Arial" w:hAnsi="Arial"/>
                <w:sz w:val="11"/>
                <w:szCs w:val="11"/>
                <w:color w:val="auto"/>
              </w:rPr>
              <w:t>—</w:t>
            </w:r>
          </w:p>
        </w:tc>
        <w:tc>
          <w:tcPr>
            <w:tcW w:w="1120" w:type="dxa"/>
            <w:vAlign w:val="bottom"/>
            <w:gridSpan w:val="2"/>
          </w:tcPr>
          <w:p>
            <w:pPr>
              <w:ind w:left="800"/>
              <w:spacing w:after="0"/>
              <w:rPr>
                <w:sz w:val="20"/>
                <w:szCs w:val="20"/>
                <w:color w:val="auto"/>
              </w:rPr>
            </w:pPr>
            <w:r>
              <w:rPr>
                <w:rFonts w:ascii="Arial" w:cs="Arial" w:eastAsia="Arial" w:hAnsi="Arial"/>
                <w:sz w:val="11"/>
                <w:szCs w:val="11"/>
                <w:color w:val="auto"/>
              </w:rPr>
              <w:t>—</w:t>
            </w:r>
          </w:p>
        </w:tc>
        <w:tc>
          <w:tcPr>
            <w:tcW w:w="1120" w:type="dxa"/>
            <w:vAlign w:val="bottom"/>
            <w:gridSpan w:val="2"/>
          </w:tcPr>
          <w:p>
            <w:pPr>
              <w:ind w:left="800"/>
              <w:spacing w:after="0"/>
              <w:rPr>
                <w:sz w:val="20"/>
                <w:szCs w:val="20"/>
                <w:color w:val="auto"/>
              </w:rPr>
            </w:pPr>
            <w:r>
              <w:rPr>
                <w:rFonts w:ascii="Arial" w:cs="Arial" w:eastAsia="Arial" w:hAnsi="Arial"/>
                <w:sz w:val="11"/>
                <w:szCs w:val="11"/>
                <w:color w:val="auto"/>
              </w:rPr>
              <w:t>—</w:t>
            </w:r>
          </w:p>
        </w:tc>
        <w:tc>
          <w:tcPr>
            <w:tcW w:w="1020" w:type="dxa"/>
            <w:vAlign w:val="bottom"/>
          </w:tcPr>
          <w:p>
            <w:pPr>
              <w:ind w:left="80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2"/>
        </w:trPr>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40,000</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1"/>
                <w:szCs w:val="11"/>
                <w:color w:val="auto"/>
              </w:rPr>
              <w:t>—</w:t>
            </w:r>
          </w:p>
        </w:tc>
        <w:tc>
          <w:tcPr>
            <w:tcW w:w="11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10,000</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39.05</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7/1/2023</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1"/>
                <w:szCs w:val="11"/>
                <w:color w:val="auto"/>
              </w:rPr>
              <w:t>—</w:t>
            </w:r>
          </w:p>
        </w:tc>
        <w:tc>
          <w:tcPr>
            <w:tcW w:w="112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1"/>
                <w:szCs w:val="11"/>
                <w:color w:val="auto"/>
              </w:rPr>
              <w:t>—</w:t>
            </w:r>
          </w:p>
        </w:tc>
        <w:tc>
          <w:tcPr>
            <w:tcW w:w="112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1"/>
                <w:szCs w:val="11"/>
                <w:color w:val="auto"/>
              </w:rPr>
              <w:t>—</w:t>
            </w:r>
          </w:p>
        </w:tc>
        <w:tc>
          <w:tcPr>
            <w:tcW w:w="102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ind w:right="66"/>
              <w:spacing w:after="0"/>
              <w:rPr>
                <w:sz w:val="20"/>
                <w:szCs w:val="20"/>
                <w:color w:val="auto"/>
              </w:rPr>
            </w:pPr>
            <w:r>
              <w:rPr>
                <w:rFonts w:ascii="Arial" w:cs="Arial" w:eastAsia="Arial" w:hAnsi="Arial"/>
                <w:sz w:val="11"/>
                <w:szCs w:val="11"/>
                <w:color w:val="auto"/>
              </w:rPr>
              <w:t>12,000</w:t>
            </w:r>
          </w:p>
        </w:tc>
        <w:tc>
          <w:tcPr>
            <w:tcW w:w="120" w:type="dxa"/>
            <w:vAlign w:val="bottom"/>
          </w:tcPr>
          <w:p>
            <w:pPr>
              <w:spacing w:after="0"/>
              <w:rPr>
                <w:sz w:val="21"/>
                <w:szCs w:val="21"/>
                <w:color w:val="auto"/>
              </w:rPr>
            </w:pPr>
          </w:p>
        </w:tc>
        <w:tc>
          <w:tcPr>
            <w:tcW w:w="1140" w:type="dxa"/>
            <w:vAlign w:val="bottom"/>
            <w:gridSpan w:val="2"/>
          </w:tcPr>
          <w:p>
            <w:pPr>
              <w:ind w:left="800"/>
              <w:spacing w:after="0"/>
              <w:rPr>
                <w:sz w:val="20"/>
                <w:szCs w:val="20"/>
                <w:color w:val="auto"/>
              </w:rPr>
            </w:pPr>
            <w:r>
              <w:rPr>
                <w:rFonts w:ascii="Arial" w:cs="Arial" w:eastAsia="Arial" w:hAnsi="Arial"/>
                <w:sz w:val="11"/>
                <w:szCs w:val="11"/>
                <w:color w:val="auto"/>
              </w:rPr>
              <w:t>—</w:t>
            </w:r>
          </w:p>
        </w:tc>
        <w:tc>
          <w:tcPr>
            <w:tcW w:w="1100" w:type="dxa"/>
            <w:vAlign w:val="bottom"/>
          </w:tcPr>
          <w:p>
            <w:pPr>
              <w:jc w:val="right"/>
              <w:ind w:right="46"/>
              <w:spacing w:after="0"/>
              <w:rPr>
                <w:sz w:val="20"/>
                <w:szCs w:val="20"/>
                <w:color w:val="auto"/>
              </w:rPr>
            </w:pPr>
            <w:r>
              <w:rPr>
                <w:rFonts w:ascii="Arial" w:cs="Arial" w:eastAsia="Arial" w:hAnsi="Arial"/>
                <w:sz w:val="11"/>
                <w:szCs w:val="11"/>
                <w:color w:val="auto"/>
              </w:rPr>
              <w:t>8,000</w:t>
            </w:r>
          </w:p>
        </w:tc>
        <w:tc>
          <w:tcPr>
            <w:tcW w:w="100" w:type="dxa"/>
            <w:vAlign w:val="bottom"/>
          </w:tcPr>
          <w:p>
            <w:pPr>
              <w:spacing w:after="0"/>
              <w:rPr>
                <w:sz w:val="21"/>
                <w:szCs w:val="21"/>
                <w:color w:val="auto"/>
              </w:rPr>
            </w:pPr>
          </w:p>
        </w:tc>
        <w:tc>
          <w:tcPr>
            <w:tcW w:w="1020" w:type="dxa"/>
            <w:vAlign w:val="bottom"/>
          </w:tcPr>
          <w:p>
            <w:pPr>
              <w:jc w:val="right"/>
              <w:ind w:right="46"/>
              <w:spacing w:after="0"/>
              <w:rPr>
                <w:sz w:val="20"/>
                <w:szCs w:val="20"/>
                <w:color w:val="auto"/>
              </w:rPr>
            </w:pPr>
            <w:r>
              <w:rPr>
                <w:rFonts w:ascii="Arial" w:cs="Arial" w:eastAsia="Arial" w:hAnsi="Arial"/>
                <w:sz w:val="11"/>
                <w:szCs w:val="11"/>
                <w:color w:val="auto"/>
              </w:rPr>
              <w:t>52.49</w:t>
            </w: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7/1/2024</w:t>
            </w:r>
          </w:p>
        </w:tc>
        <w:tc>
          <w:tcPr>
            <w:tcW w:w="100" w:type="dxa"/>
            <w:vAlign w:val="bottom"/>
          </w:tcPr>
          <w:p>
            <w:pPr>
              <w:spacing w:after="0"/>
              <w:rPr>
                <w:sz w:val="21"/>
                <w:szCs w:val="21"/>
                <w:color w:val="auto"/>
              </w:rPr>
            </w:pPr>
          </w:p>
        </w:tc>
        <w:tc>
          <w:tcPr>
            <w:tcW w:w="1120" w:type="dxa"/>
            <w:vAlign w:val="bottom"/>
            <w:gridSpan w:val="2"/>
          </w:tcPr>
          <w:p>
            <w:pPr>
              <w:ind w:left="800"/>
              <w:spacing w:after="0"/>
              <w:rPr>
                <w:sz w:val="20"/>
                <w:szCs w:val="20"/>
                <w:color w:val="auto"/>
              </w:rPr>
            </w:pPr>
            <w:r>
              <w:rPr>
                <w:rFonts w:ascii="Arial" w:cs="Arial" w:eastAsia="Arial" w:hAnsi="Arial"/>
                <w:sz w:val="11"/>
                <w:szCs w:val="11"/>
                <w:color w:val="auto"/>
              </w:rPr>
              <w:t>—</w:t>
            </w:r>
          </w:p>
        </w:tc>
        <w:tc>
          <w:tcPr>
            <w:tcW w:w="1120" w:type="dxa"/>
            <w:vAlign w:val="bottom"/>
            <w:gridSpan w:val="2"/>
          </w:tcPr>
          <w:p>
            <w:pPr>
              <w:ind w:left="800"/>
              <w:spacing w:after="0"/>
              <w:rPr>
                <w:sz w:val="20"/>
                <w:szCs w:val="20"/>
                <w:color w:val="auto"/>
              </w:rPr>
            </w:pPr>
            <w:r>
              <w:rPr>
                <w:rFonts w:ascii="Arial" w:cs="Arial" w:eastAsia="Arial" w:hAnsi="Arial"/>
                <w:sz w:val="11"/>
                <w:szCs w:val="11"/>
                <w:color w:val="auto"/>
              </w:rPr>
              <w:t>—</w:t>
            </w:r>
          </w:p>
        </w:tc>
        <w:tc>
          <w:tcPr>
            <w:tcW w:w="1120" w:type="dxa"/>
            <w:vAlign w:val="bottom"/>
            <w:gridSpan w:val="2"/>
          </w:tcPr>
          <w:p>
            <w:pPr>
              <w:ind w:left="800"/>
              <w:spacing w:after="0"/>
              <w:rPr>
                <w:sz w:val="20"/>
                <w:szCs w:val="20"/>
                <w:color w:val="auto"/>
              </w:rPr>
            </w:pPr>
            <w:r>
              <w:rPr>
                <w:rFonts w:ascii="Arial" w:cs="Arial" w:eastAsia="Arial" w:hAnsi="Arial"/>
                <w:sz w:val="11"/>
                <w:szCs w:val="11"/>
                <w:color w:val="auto"/>
              </w:rPr>
              <w:t>—</w:t>
            </w:r>
          </w:p>
        </w:tc>
        <w:tc>
          <w:tcPr>
            <w:tcW w:w="1020" w:type="dxa"/>
            <w:vAlign w:val="bottom"/>
          </w:tcPr>
          <w:p>
            <w:pPr>
              <w:ind w:left="80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2"/>
        </w:trPr>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12,000</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1"/>
                <w:szCs w:val="11"/>
                <w:color w:val="auto"/>
              </w:rPr>
              <w:t>—</w:t>
            </w:r>
          </w:p>
        </w:tc>
        <w:tc>
          <w:tcPr>
            <w:tcW w:w="11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8,000</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46.85</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10/1/2024</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1"/>
                <w:szCs w:val="11"/>
                <w:color w:val="auto"/>
              </w:rPr>
              <w:t>—</w:t>
            </w:r>
          </w:p>
        </w:tc>
        <w:tc>
          <w:tcPr>
            <w:tcW w:w="112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1"/>
                <w:szCs w:val="11"/>
                <w:color w:val="auto"/>
              </w:rPr>
              <w:t>—</w:t>
            </w:r>
          </w:p>
        </w:tc>
        <w:tc>
          <w:tcPr>
            <w:tcW w:w="112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1"/>
                <w:szCs w:val="11"/>
                <w:color w:val="auto"/>
              </w:rPr>
              <w:t>—</w:t>
            </w:r>
          </w:p>
        </w:tc>
        <w:tc>
          <w:tcPr>
            <w:tcW w:w="102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ind w:right="66"/>
              <w:spacing w:after="0"/>
              <w:rPr>
                <w:sz w:val="20"/>
                <w:szCs w:val="20"/>
                <w:color w:val="auto"/>
              </w:rPr>
            </w:pPr>
            <w:r>
              <w:rPr>
                <w:rFonts w:ascii="Arial" w:cs="Arial" w:eastAsia="Arial" w:hAnsi="Arial"/>
                <w:sz w:val="11"/>
                <w:szCs w:val="11"/>
                <w:color w:val="auto"/>
              </w:rPr>
              <w:t>16,000</w:t>
            </w:r>
          </w:p>
        </w:tc>
        <w:tc>
          <w:tcPr>
            <w:tcW w:w="120" w:type="dxa"/>
            <w:vAlign w:val="bottom"/>
          </w:tcPr>
          <w:p>
            <w:pPr>
              <w:spacing w:after="0"/>
              <w:rPr>
                <w:sz w:val="21"/>
                <w:szCs w:val="21"/>
                <w:color w:val="auto"/>
              </w:rPr>
            </w:pPr>
          </w:p>
        </w:tc>
        <w:tc>
          <w:tcPr>
            <w:tcW w:w="1140" w:type="dxa"/>
            <w:vAlign w:val="bottom"/>
            <w:gridSpan w:val="2"/>
          </w:tcPr>
          <w:p>
            <w:pPr>
              <w:ind w:left="800"/>
              <w:spacing w:after="0"/>
              <w:rPr>
                <w:sz w:val="20"/>
                <w:szCs w:val="20"/>
                <w:color w:val="auto"/>
              </w:rPr>
            </w:pPr>
            <w:r>
              <w:rPr>
                <w:rFonts w:ascii="Arial" w:cs="Arial" w:eastAsia="Arial" w:hAnsi="Arial"/>
                <w:sz w:val="11"/>
                <w:szCs w:val="11"/>
                <w:color w:val="auto"/>
              </w:rPr>
              <w:t>—</w:t>
            </w:r>
          </w:p>
        </w:tc>
        <w:tc>
          <w:tcPr>
            <w:tcW w:w="1100" w:type="dxa"/>
            <w:vAlign w:val="bottom"/>
          </w:tcPr>
          <w:p>
            <w:pPr>
              <w:jc w:val="right"/>
              <w:ind w:right="46"/>
              <w:spacing w:after="0"/>
              <w:rPr>
                <w:sz w:val="20"/>
                <w:szCs w:val="20"/>
                <w:color w:val="auto"/>
              </w:rPr>
            </w:pPr>
            <w:r>
              <w:rPr>
                <w:rFonts w:ascii="Arial" w:cs="Arial" w:eastAsia="Arial" w:hAnsi="Arial"/>
                <w:sz w:val="11"/>
                <w:szCs w:val="11"/>
                <w:color w:val="auto"/>
              </w:rPr>
              <w:t>24,000</w:t>
            </w:r>
          </w:p>
        </w:tc>
        <w:tc>
          <w:tcPr>
            <w:tcW w:w="100" w:type="dxa"/>
            <w:vAlign w:val="bottom"/>
          </w:tcPr>
          <w:p>
            <w:pPr>
              <w:spacing w:after="0"/>
              <w:rPr>
                <w:sz w:val="21"/>
                <w:szCs w:val="21"/>
                <w:color w:val="auto"/>
              </w:rPr>
            </w:pPr>
          </w:p>
        </w:tc>
        <w:tc>
          <w:tcPr>
            <w:tcW w:w="1020" w:type="dxa"/>
            <w:vAlign w:val="bottom"/>
          </w:tcPr>
          <w:p>
            <w:pPr>
              <w:jc w:val="right"/>
              <w:ind w:right="46"/>
              <w:spacing w:after="0"/>
              <w:rPr>
                <w:sz w:val="20"/>
                <w:szCs w:val="20"/>
                <w:color w:val="auto"/>
              </w:rPr>
            </w:pPr>
            <w:r>
              <w:rPr>
                <w:rFonts w:ascii="Arial" w:cs="Arial" w:eastAsia="Arial" w:hAnsi="Arial"/>
                <w:sz w:val="11"/>
                <w:szCs w:val="11"/>
                <w:color w:val="auto"/>
              </w:rPr>
              <w:t>51.77</w:t>
            </w: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4/1/2025</w:t>
            </w:r>
          </w:p>
        </w:tc>
        <w:tc>
          <w:tcPr>
            <w:tcW w:w="100" w:type="dxa"/>
            <w:vAlign w:val="bottom"/>
          </w:tcPr>
          <w:p>
            <w:pPr>
              <w:spacing w:after="0"/>
              <w:rPr>
                <w:sz w:val="21"/>
                <w:szCs w:val="21"/>
                <w:color w:val="auto"/>
              </w:rPr>
            </w:pPr>
          </w:p>
        </w:tc>
        <w:tc>
          <w:tcPr>
            <w:tcW w:w="1120" w:type="dxa"/>
            <w:vAlign w:val="bottom"/>
            <w:gridSpan w:val="2"/>
          </w:tcPr>
          <w:p>
            <w:pPr>
              <w:ind w:left="800"/>
              <w:spacing w:after="0"/>
              <w:rPr>
                <w:sz w:val="20"/>
                <w:szCs w:val="20"/>
                <w:color w:val="auto"/>
              </w:rPr>
            </w:pPr>
            <w:r>
              <w:rPr>
                <w:rFonts w:ascii="Arial" w:cs="Arial" w:eastAsia="Arial" w:hAnsi="Arial"/>
                <w:sz w:val="11"/>
                <w:szCs w:val="11"/>
                <w:color w:val="auto"/>
              </w:rPr>
              <w:t>—</w:t>
            </w:r>
          </w:p>
        </w:tc>
        <w:tc>
          <w:tcPr>
            <w:tcW w:w="1120" w:type="dxa"/>
            <w:vAlign w:val="bottom"/>
            <w:gridSpan w:val="2"/>
          </w:tcPr>
          <w:p>
            <w:pPr>
              <w:ind w:left="800"/>
              <w:spacing w:after="0"/>
              <w:rPr>
                <w:sz w:val="20"/>
                <w:szCs w:val="20"/>
                <w:color w:val="auto"/>
              </w:rPr>
            </w:pPr>
            <w:r>
              <w:rPr>
                <w:rFonts w:ascii="Arial" w:cs="Arial" w:eastAsia="Arial" w:hAnsi="Arial"/>
                <w:sz w:val="11"/>
                <w:szCs w:val="11"/>
                <w:color w:val="auto"/>
              </w:rPr>
              <w:t>—</w:t>
            </w:r>
          </w:p>
        </w:tc>
        <w:tc>
          <w:tcPr>
            <w:tcW w:w="1120" w:type="dxa"/>
            <w:vAlign w:val="bottom"/>
            <w:gridSpan w:val="2"/>
          </w:tcPr>
          <w:p>
            <w:pPr>
              <w:ind w:left="800"/>
              <w:spacing w:after="0"/>
              <w:rPr>
                <w:sz w:val="20"/>
                <w:szCs w:val="20"/>
                <w:color w:val="auto"/>
              </w:rPr>
            </w:pPr>
            <w:r>
              <w:rPr>
                <w:rFonts w:ascii="Arial" w:cs="Arial" w:eastAsia="Arial" w:hAnsi="Arial"/>
                <w:sz w:val="11"/>
                <w:szCs w:val="11"/>
                <w:color w:val="auto"/>
              </w:rPr>
              <w:t>—</w:t>
            </w:r>
          </w:p>
        </w:tc>
        <w:tc>
          <w:tcPr>
            <w:tcW w:w="1020" w:type="dxa"/>
            <w:vAlign w:val="bottom"/>
          </w:tcPr>
          <w:p>
            <w:pPr>
              <w:ind w:left="80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2"/>
        </w:trPr>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10,000</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1"/>
                <w:szCs w:val="11"/>
                <w:color w:val="auto"/>
              </w:rPr>
              <w:t>—</w:t>
            </w:r>
          </w:p>
        </w:tc>
        <w:tc>
          <w:tcPr>
            <w:tcW w:w="11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40,000</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43.94</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4/1/2026</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1"/>
                <w:szCs w:val="11"/>
                <w:color w:val="auto"/>
              </w:rPr>
              <w:t>—</w:t>
            </w:r>
          </w:p>
        </w:tc>
        <w:tc>
          <w:tcPr>
            <w:tcW w:w="112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1"/>
                <w:szCs w:val="11"/>
                <w:color w:val="auto"/>
              </w:rPr>
              <w:t>—</w:t>
            </w:r>
          </w:p>
        </w:tc>
        <w:tc>
          <w:tcPr>
            <w:tcW w:w="112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1"/>
                <w:szCs w:val="11"/>
                <w:color w:val="auto"/>
              </w:rPr>
              <w:t>—</w:t>
            </w:r>
          </w:p>
        </w:tc>
        <w:tc>
          <w:tcPr>
            <w:tcW w:w="102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48"/>
        </w:trPr>
        <w:tc>
          <w:tcPr>
            <w:tcW w:w="1280" w:type="dxa"/>
            <w:vAlign w:val="bottom"/>
            <w:gridSpan w:val="3"/>
          </w:tcPr>
          <w:p>
            <w:pPr>
              <w:ind w:left="40"/>
              <w:spacing w:after="0"/>
              <w:rPr>
                <w:sz w:val="20"/>
                <w:szCs w:val="20"/>
                <w:color w:val="auto"/>
              </w:rPr>
            </w:pPr>
            <w:r>
              <w:rPr>
                <w:rFonts w:ascii="Arial" w:cs="Arial" w:eastAsia="Arial" w:hAnsi="Arial"/>
                <w:sz w:val="11"/>
                <w:szCs w:val="11"/>
                <w:color w:val="auto"/>
              </w:rPr>
              <w:t>Pradman P. Kaul</w:t>
            </w:r>
          </w:p>
        </w:tc>
        <w:tc>
          <w:tcPr>
            <w:tcW w:w="11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140" w:type="dxa"/>
            <w:vAlign w:val="bottom"/>
            <w:gridSpan w:val="2"/>
          </w:tcPr>
          <w:p>
            <w:pPr>
              <w:ind w:left="800"/>
              <w:spacing w:after="0"/>
              <w:rPr>
                <w:sz w:val="20"/>
                <w:szCs w:val="20"/>
                <w:color w:val="auto"/>
              </w:rPr>
            </w:pPr>
            <w:r>
              <w:rPr>
                <w:rFonts w:ascii="Arial" w:cs="Arial" w:eastAsia="Arial" w:hAnsi="Arial"/>
                <w:sz w:val="11"/>
                <w:szCs w:val="11"/>
                <w:color w:val="auto"/>
              </w:rPr>
              <w:t>—</w:t>
            </w:r>
          </w:p>
        </w:tc>
        <w:tc>
          <w:tcPr>
            <w:tcW w:w="1100" w:type="dxa"/>
            <w:vAlign w:val="bottom"/>
          </w:tcPr>
          <w:p>
            <w:pPr>
              <w:jc w:val="right"/>
              <w:ind w:right="46"/>
              <w:spacing w:after="0"/>
              <w:rPr>
                <w:sz w:val="20"/>
                <w:szCs w:val="20"/>
                <w:color w:val="auto"/>
              </w:rPr>
            </w:pPr>
            <w:r>
              <w:rPr>
                <w:rFonts w:ascii="Arial" w:cs="Arial" w:eastAsia="Arial" w:hAnsi="Arial"/>
                <w:sz w:val="11"/>
                <w:szCs w:val="11"/>
                <w:color w:val="auto"/>
              </w:rPr>
              <w:t>80,000</w:t>
            </w:r>
          </w:p>
        </w:tc>
        <w:tc>
          <w:tcPr>
            <w:tcW w:w="100" w:type="dxa"/>
            <w:vAlign w:val="bottom"/>
          </w:tcPr>
          <w:p>
            <w:pPr>
              <w:spacing w:after="0"/>
              <w:rPr>
                <w:sz w:val="21"/>
                <w:szCs w:val="21"/>
                <w:color w:val="auto"/>
              </w:rPr>
            </w:pPr>
          </w:p>
        </w:tc>
        <w:tc>
          <w:tcPr>
            <w:tcW w:w="1020" w:type="dxa"/>
            <w:vAlign w:val="bottom"/>
          </w:tcPr>
          <w:p>
            <w:pPr>
              <w:jc w:val="right"/>
              <w:ind w:right="46"/>
              <w:spacing w:after="0"/>
              <w:rPr>
                <w:sz w:val="20"/>
                <w:szCs w:val="20"/>
                <w:color w:val="auto"/>
              </w:rPr>
            </w:pPr>
            <w:r>
              <w:rPr>
                <w:rFonts w:ascii="Arial" w:cs="Arial" w:eastAsia="Arial" w:hAnsi="Arial"/>
                <w:sz w:val="11"/>
                <w:szCs w:val="11"/>
                <w:color w:val="auto"/>
              </w:rPr>
              <w:t>43.94</w:t>
            </w: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4/1/2026</w:t>
            </w:r>
          </w:p>
        </w:tc>
        <w:tc>
          <w:tcPr>
            <w:tcW w:w="100" w:type="dxa"/>
            <w:vAlign w:val="bottom"/>
          </w:tcPr>
          <w:p>
            <w:pPr>
              <w:spacing w:after="0"/>
              <w:rPr>
                <w:sz w:val="21"/>
                <w:szCs w:val="21"/>
                <w:color w:val="auto"/>
              </w:rPr>
            </w:pPr>
          </w:p>
        </w:tc>
        <w:tc>
          <w:tcPr>
            <w:tcW w:w="1120" w:type="dxa"/>
            <w:vAlign w:val="bottom"/>
            <w:gridSpan w:val="2"/>
          </w:tcPr>
          <w:p>
            <w:pPr>
              <w:ind w:left="800"/>
              <w:spacing w:after="0"/>
              <w:rPr>
                <w:sz w:val="20"/>
                <w:szCs w:val="20"/>
                <w:color w:val="auto"/>
              </w:rPr>
            </w:pPr>
            <w:r>
              <w:rPr>
                <w:rFonts w:ascii="Arial" w:cs="Arial" w:eastAsia="Arial" w:hAnsi="Arial"/>
                <w:sz w:val="11"/>
                <w:szCs w:val="11"/>
                <w:color w:val="auto"/>
              </w:rPr>
              <w:t>—</w:t>
            </w:r>
          </w:p>
        </w:tc>
        <w:tc>
          <w:tcPr>
            <w:tcW w:w="1120" w:type="dxa"/>
            <w:vAlign w:val="bottom"/>
            <w:gridSpan w:val="2"/>
          </w:tcPr>
          <w:p>
            <w:pPr>
              <w:ind w:left="800"/>
              <w:spacing w:after="0"/>
              <w:rPr>
                <w:sz w:val="20"/>
                <w:szCs w:val="20"/>
                <w:color w:val="auto"/>
              </w:rPr>
            </w:pPr>
            <w:r>
              <w:rPr>
                <w:rFonts w:ascii="Arial" w:cs="Arial" w:eastAsia="Arial" w:hAnsi="Arial"/>
                <w:sz w:val="11"/>
                <w:szCs w:val="11"/>
                <w:color w:val="auto"/>
              </w:rPr>
              <w:t>—</w:t>
            </w:r>
          </w:p>
        </w:tc>
        <w:tc>
          <w:tcPr>
            <w:tcW w:w="1120" w:type="dxa"/>
            <w:vAlign w:val="bottom"/>
            <w:gridSpan w:val="2"/>
          </w:tcPr>
          <w:p>
            <w:pPr>
              <w:ind w:left="800"/>
              <w:spacing w:after="0"/>
              <w:rPr>
                <w:sz w:val="20"/>
                <w:szCs w:val="20"/>
                <w:color w:val="auto"/>
              </w:rPr>
            </w:pPr>
            <w:r>
              <w:rPr>
                <w:rFonts w:ascii="Arial" w:cs="Arial" w:eastAsia="Arial" w:hAnsi="Arial"/>
                <w:sz w:val="11"/>
                <w:szCs w:val="11"/>
                <w:color w:val="auto"/>
              </w:rPr>
              <w:t>—</w:t>
            </w:r>
          </w:p>
        </w:tc>
        <w:tc>
          <w:tcPr>
            <w:tcW w:w="1020" w:type="dxa"/>
            <w:vAlign w:val="bottom"/>
          </w:tcPr>
          <w:p>
            <w:pPr>
              <w:ind w:left="80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2"/>
        </w:trPr>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1"/>
                <w:szCs w:val="11"/>
                <w:color w:val="auto"/>
              </w:rPr>
              <w:t>David J. Rayner</w:t>
            </w:r>
          </w:p>
        </w:tc>
        <w:tc>
          <w:tcPr>
            <w:tcW w:w="10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70,000</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1"/>
                <w:szCs w:val="11"/>
                <w:color w:val="auto"/>
              </w:rPr>
              <w:t>—</w:t>
            </w: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0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34.22</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12/31/2022</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1"/>
                <w:szCs w:val="11"/>
                <w:color w:val="auto"/>
              </w:rPr>
              <w:t>—</w:t>
            </w:r>
          </w:p>
        </w:tc>
        <w:tc>
          <w:tcPr>
            <w:tcW w:w="112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1"/>
                <w:szCs w:val="11"/>
                <w:color w:val="auto"/>
              </w:rPr>
              <w:t>—</w:t>
            </w:r>
          </w:p>
        </w:tc>
        <w:tc>
          <w:tcPr>
            <w:tcW w:w="112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1"/>
                <w:szCs w:val="11"/>
                <w:color w:val="auto"/>
              </w:rPr>
              <w:t>—</w:t>
            </w:r>
          </w:p>
        </w:tc>
        <w:tc>
          <w:tcPr>
            <w:tcW w:w="102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ind w:right="66"/>
              <w:spacing w:after="0"/>
              <w:rPr>
                <w:sz w:val="20"/>
                <w:szCs w:val="20"/>
                <w:color w:val="auto"/>
              </w:rPr>
            </w:pPr>
            <w:r>
              <w:rPr>
                <w:rFonts w:ascii="Arial" w:cs="Arial" w:eastAsia="Arial" w:hAnsi="Arial"/>
                <w:sz w:val="11"/>
                <w:szCs w:val="11"/>
                <w:color w:val="auto"/>
              </w:rPr>
              <w:t>45,000</w:t>
            </w:r>
          </w:p>
        </w:tc>
        <w:tc>
          <w:tcPr>
            <w:tcW w:w="120" w:type="dxa"/>
            <w:vAlign w:val="bottom"/>
          </w:tcPr>
          <w:p>
            <w:pPr>
              <w:spacing w:after="0"/>
              <w:rPr>
                <w:sz w:val="21"/>
                <w:szCs w:val="21"/>
                <w:color w:val="auto"/>
              </w:rPr>
            </w:pPr>
          </w:p>
        </w:tc>
        <w:tc>
          <w:tcPr>
            <w:tcW w:w="1140" w:type="dxa"/>
            <w:vAlign w:val="bottom"/>
            <w:gridSpan w:val="2"/>
          </w:tcPr>
          <w:p>
            <w:pPr>
              <w:ind w:left="800"/>
              <w:spacing w:after="0"/>
              <w:rPr>
                <w:sz w:val="20"/>
                <w:szCs w:val="20"/>
                <w:color w:val="auto"/>
              </w:rPr>
            </w:pPr>
            <w:r>
              <w:rPr>
                <w:rFonts w:ascii="Arial" w:cs="Arial" w:eastAsia="Arial" w:hAnsi="Arial"/>
                <w:sz w:val="11"/>
                <w:szCs w:val="11"/>
                <w:color w:val="auto"/>
              </w:rPr>
              <w:t>—</w:t>
            </w:r>
          </w:p>
        </w:tc>
        <w:tc>
          <w:tcPr>
            <w:tcW w:w="1100" w:type="dxa"/>
            <w:vAlign w:val="bottom"/>
          </w:tcPr>
          <w:p>
            <w:pPr>
              <w:jc w:val="right"/>
              <w:ind w:right="46"/>
              <w:spacing w:after="0"/>
              <w:rPr>
                <w:sz w:val="20"/>
                <w:szCs w:val="20"/>
                <w:color w:val="auto"/>
              </w:rPr>
            </w:pPr>
            <w:r>
              <w:rPr>
                <w:rFonts w:ascii="Arial" w:cs="Arial" w:eastAsia="Arial" w:hAnsi="Arial"/>
                <w:sz w:val="11"/>
                <w:szCs w:val="11"/>
                <w:color w:val="auto"/>
              </w:rPr>
              <w:t>30,000</w:t>
            </w:r>
          </w:p>
        </w:tc>
        <w:tc>
          <w:tcPr>
            <w:tcW w:w="100" w:type="dxa"/>
            <w:vAlign w:val="bottom"/>
          </w:tcPr>
          <w:p>
            <w:pPr>
              <w:spacing w:after="0"/>
              <w:rPr>
                <w:sz w:val="21"/>
                <w:szCs w:val="21"/>
                <w:color w:val="auto"/>
              </w:rPr>
            </w:pPr>
          </w:p>
        </w:tc>
        <w:tc>
          <w:tcPr>
            <w:tcW w:w="1020" w:type="dxa"/>
            <w:vAlign w:val="bottom"/>
          </w:tcPr>
          <w:p>
            <w:pPr>
              <w:jc w:val="right"/>
              <w:ind w:right="46"/>
              <w:spacing w:after="0"/>
              <w:rPr>
                <w:sz w:val="20"/>
                <w:szCs w:val="20"/>
                <w:color w:val="auto"/>
              </w:rPr>
            </w:pPr>
            <w:r>
              <w:rPr>
                <w:rFonts w:ascii="Arial" w:cs="Arial" w:eastAsia="Arial" w:hAnsi="Arial"/>
                <w:sz w:val="11"/>
                <w:szCs w:val="11"/>
                <w:color w:val="auto"/>
              </w:rPr>
              <w:t>49.72</w:t>
            </w: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01/01/2024</w:t>
            </w:r>
          </w:p>
        </w:tc>
        <w:tc>
          <w:tcPr>
            <w:tcW w:w="100" w:type="dxa"/>
            <w:vAlign w:val="bottom"/>
          </w:tcPr>
          <w:p>
            <w:pPr>
              <w:spacing w:after="0"/>
              <w:rPr>
                <w:sz w:val="21"/>
                <w:szCs w:val="21"/>
                <w:color w:val="auto"/>
              </w:rPr>
            </w:pPr>
          </w:p>
        </w:tc>
        <w:tc>
          <w:tcPr>
            <w:tcW w:w="1120" w:type="dxa"/>
            <w:vAlign w:val="bottom"/>
            <w:gridSpan w:val="2"/>
          </w:tcPr>
          <w:p>
            <w:pPr>
              <w:ind w:left="800"/>
              <w:spacing w:after="0"/>
              <w:rPr>
                <w:sz w:val="20"/>
                <w:szCs w:val="20"/>
                <w:color w:val="auto"/>
              </w:rPr>
            </w:pPr>
            <w:r>
              <w:rPr>
                <w:rFonts w:ascii="Arial" w:cs="Arial" w:eastAsia="Arial" w:hAnsi="Arial"/>
                <w:sz w:val="11"/>
                <w:szCs w:val="11"/>
                <w:color w:val="auto"/>
              </w:rPr>
              <w:t>—</w:t>
            </w:r>
          </w:p>
        </w:tc>
        <w:tc>
          <w:tcPr>
            <w:tcW w:w="1120" w:type="dxa"/>
            <w:vAlign w:val="bottom"/>
            <w:gridSpan w:val="2"/>
          </w:tcPr>
          <w:p>
            <w:pPr>
              <w:ind w:left="800"/>
              <w:spacing w:after="0"/>
              <w:rPr>
                <w:sz w:val="20"/>
                <w:szCs w:val="20"/>
                <w:color w:val="auto"/>
              </w:rPr>
            </w:pPr>
            <w:r>
              <w:rPr>
                <w:rFonts w:ascii="Arial" w:cs="Arial" w:eastAsia="Arial" w:hAnsi="Arial"/>
                <w:sz w:val="11"/>
                <w:szCs w:val="11"/>
                <w:color w:val="auto"/>
              </w:rPr>
              <w:t>—</w:t>
            </w:r>
          </w:p>
        </w:tc>
        <w:tc>
          <w:tcPr>
            <w:tcW w:w="1120" w:type="dxa"/>
            <w:vAlign w:val="bottom"/>
            <w:gridSpan w:val="2"/>
          </w:tcPr>
          <w:p>
            <w:pPr>
              <w:ind w:left="800"/>
              <w:spacing w:after="0"/>
              <w:rPr>
                <w:sz w:val="20"/>
                <w:szCs w:val="20"/>
                <w:color w:val="auto"/>
              </w:rPr>
            </w:pPr>
            <w:r>
              <w:rPr>
                <w:rFonts w:ascii="Arial" w:cs="Arial" w:eastAsia="Arial" w:hAnsi="Arial"/>
                <w:sz w:val="11"/>
                <w:szCs w:val="11"/>
                <w:color w:val="auto"/>
              </w:rPr>
              <w:t>—</w:t>
            </w:r>
          </w:p>
        </w:tc>
        <w:tc>
          <w:tcPr>
            <w:tcW w:w="1020" w:type="dxa"/>
            <w:vAlign w:val="bottom"/>
          </w:tcPr>
          <w:p>
            <w:pPr>
              <w:ind w:left="80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2"/>
        </w:trPr>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26,000</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1"/>
                <w:szCs w:val="11"/>
                <w:color w:val="auto"/>
              </w:rPr>
              <w:t>—</w:t>
            </w:r>
          </w:p>
        </w:tc>
        <w:tc>
          <w:tcPr>
            <w:tcW w:w="11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39,000</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51.77</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4/1/2025</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1"/>
                <w:szCs w:val="11"/>
                <w:color w:val="auto"/>
              </w:rPr>
              <w:t>—</w:t>
            </w:r>
          </w:p>
        </w:tc>
        <w:tc>
          <w:tcPr>
            <w:tcW w:w="112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1"/>
                <w:szCs w:val="11"/>
                <w:color w:val="auto"/>
              </w:rPr>
              <w:t>—</w:t>
            </w:r>
          </w:p>
        </w:tc>
        <w:tc>
          <w:tcPr>
            <w:tcW w:w="112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1"/>
                <w:szCs w:val="11"/>
                <w:color w:val="auto"/>
              </w:rPr>
              <w:t>—</w:t>
            </w:r>
          </w:p>
        </w:tc>
        <w:tc>
          <w:tcPr>
            <w:tcW w:w="102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15"/>
        </w:trPr>
        <w:tc>
          <w:tcPr>
            <w:tcW w:w="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123" w:lineRule="exact"/>
        <w:rPr>
          <w:sz w:val="20"/>
          <w:szCs w:val="20"/>
          <w:color w:val="auto"/>
        </w:rPr>
      </w:pPr>
    </w:p>
    <w:p>
      <w:pPr>
        <w:jc w:val="both"/>
        <w:ind w:left="340" w:hanging="332"/>
        <w:spacing w:after="0" w:line="249" w:lineRule="auto"/>
        <w:tabs>
          <w:tab w:leader="none" w:pos="3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Except as described in this footnote, all option awards vest at the rate of 20% per year, commencing one year after the grant date, if the executive officer is employed by EchoStar or its subsidiaries on each vesting date. Mr. Dugan’s option award expiring on December 31, 2022 vested 100% on the first anniversary of the grant date. Mr. Ergen’s option award granted on April 1, 2017 vests at the rate of 20% per year commencing on April 1, 2018 if Mr. Ergen is Chairman of the Board on each vesting date and if a change of control has not occurred prior to each vesting date. Mr. Kaul’s option award vests at the rate of 20% per year commencing on April 1, 2017 if Mr. Kaul is either employed by EchoStar or its subsidiaries or is a member of the Board of Directors of EchoStar on each vesting date.</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368"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i w:val="1"/>
          <w:iCs w:val="1"/>
          <w:color w:val="auto"/>
        </w:rPr>
        <w:t>Option Exercises and Stock Vested</w:t>
      </w:r>
    </w:p>
    <w:p>
      <w:pPr>
        <w:spacing w:after="0" w:line="198"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 following table summarizes the exercises of stock options by our NEOs and the vesting of stock and restricted stock units held by our NEOs during the year ended December 31, 2017.</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52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60" w:type="dxa"/>
            <w:vAlign w:val="bottom"/>
            <w:gridSpan w:val="3"/>
          </w:tcPr>
          <w:p>
            <w:pPr>
              <w:ind w:left="1320"/>
              <w:spacing w:after="0"/>
              <w:rPr>
                <w:sz w:val="20"/>
                <w:szCs w:val="20"/>
                <w:color w:val="auto"/>
              </w:rPr>
            </w:pPr>
            <w:r>
              <w:rPr>
                <w:rFonts w:ascii="Arial" w:cs="Arial" w:eastAsia="Arial" w:hAnsi="Arial"/>
                <w:sz w:val="14"/>
                <w:szCs w:val="14"/>
                <w:b w:val="1"/>
                <w:bCs w:val="1"/>
                <w:color w:val="auto"/>
              </w:rPr>
              <w:t>Option Awards</w:t>
            </w: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520" w:type="dxa"/>
            <w:vAlign w:val="bottom"/>
            <w:gridSpan w:val="3"/>
          </w:tcPr>
          <w:p>
            <w:pPr>
              <w:jc w:val="right"/>
              <w:ind w:right="1248"/>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53"/>
        </w:trPr>
        <w:tc>
          <w:tcPr>
            <w:tcW w:w="1520" w:type="dxa"/>
            <w:vAlign w:val="bottom"/>
          </w:tcPr>
          <w:p>
            <w:pPr>
              <w:spacing w:after="0"/>
              <w:rPr>
                <w:sz w:val="4"/>
                <w:szCs w:val="4"/>
                <w:color w:val="auto"/>
              </w:rPr>
            </w:pPr>
          </w:p>
        </w:tc>
        <w:tc>
          <w:tcPr>
            <w:tcW w:w="2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7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700" w:type="dxa"/>
            <w:vAlign w:val="bottom"/>
            <w:tcBorders>
              <w:bottom w:val="single" w:sz="8" w:color="auto"/>
            </w:tcBorders>
            <w:gridSpan w:val="2"/>
          </w:tcPr>
          <w:p>
            <w:pPr>
              <w:spacing w:after="0"/>
              <w:rPr>
                <w:sz w:val="4"/>
                <w:szCs w:val="4"/>
                <w:color w:val="auto"/>
              </w:rPr>
            </w:pPr>
          </w:p>
        </w:tc>
        <w:tc>
          <w:tcPr>
            <w:tcW w:w="100" w:type="dxa"/>
            <w:vAlign w:val="bottom"/>
          </w:tcPr>
          <w:p>
            <w:pPr>
              <w:spacing w:after="0"/>
              <w:rPr>
                <w:sz w:val="4"/>
                <w:szCs w:val="4"/>
                <w:color w:val="auto"/>
              </w:rPr>
            </w:pPr>
          </w:p>
        </w:tc>
        <w:tc>
          <w:tcPr>
            <w:tcW w:w="17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7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6"/>
        </w:trPr>
        <w:tc>
          <w:tcPr>
            <w:tcW w:w="1520" w:type="dxa"/>
            <w:vAlign w:val="bottom"/>
          </w:tcPr>
          <w:p>
            <w:pPr>
              <w:spacing w:after="0"/>
              <w:rPr>
                <w:sz w:val="12"/>
                <w:szCs w:val="12"/>
                <w:color w:val="auto"/>
              </w:rPr>
            </w:pPr>
          </w:p>
        </w:tc>
        <w:tc>
          <w:tcPr>
            <w:tcW w:w="272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Name</w:t>
            </w:r>
          </w:p>
        </w:tc>
        <w:tc>
          <w:tcPr>
            <w:tcW w:w="18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Number of Shares</w:t>
            </w:r>
          </w:p>
        </w:tc>
        <w:tc>
          <w:tcPr>
            <w:tcW w:w="1800" w:type="dxa"/>
            <w:vAlign w:val="bottom"/>
            <w:gridSpan w:val="3"/>
          </w:tcPr>
          <w:p>
            <w:pPr>
              <w:jc w:val="center"/>
              <w:ind w:right="100"/>
              <w:spacing w:after="0" w:line="147" w:lineRule="exact"/>
              <w:rPr>
                <w:sz w:val="20"/>
                <w:szCs w:val="20"/>
                <w:color w:val="auto"/>
              </w:rPr>
            </w:pPr>
            <w:r>
              <w:rPr>
                <w:rFonts w:ascii="Arial" w:cs="Arial" w:eastAsia="Arial" w:hAnsi="Arial"/>
                <w:sz w:val="14"/>
                <w:szCs w:val="14"/>
                <w:b w:val="1"/>
                <w:bCs w:val="1"/>
                <w:color w:val="auto"/>
                <w:w w:val="92"/>
              </w:rPr>
              <w:t>Value Realized on</w:t>
            </w:r>
          </w:p>
        </w:tc>
        <w:tc>
          <w:tcPr>
            <w:tcW w:w="18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Number of Shares</w:t>
            </w:r>
          </w:p>
        </w:tc>
        <w:tc>
          <w:tcPr>
            <w:tcW w:w="17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3"/>
              </w:rPr>
              <w:t>Value Realized on Vesting</w:t>
            </w:r>
          </w:p>
        </w:tc>
        <w:tc>
          <w:tcPr>
            <w:tcW w:w="0" w:type="dxa"/>
            <w:vAlign w:val="bottom"/>
          </w:tcPr>
          <w:p>
            <w:pPr>
              <w:spacing w:after="0"/>
              <w:rPr>
                <w:sz w:val="1"/>
                <w:szCs w:val="1"/>
                <w:color w:val="auto"/>
              </w:rPr>
            </w:pPr>
          </w:p>
        </w:tc>
      </w:tr>
      <w:tr>
        <w:trPr>
          <w:trHeight w:val="68"/>
        </w:trPr>
        <w:tc>
          <w:tcPr>
            <w:tcW w:w="1520" w:type="dxa"/>
            <w:vAlign w:val="bottom"/>
          </w:tcPr>
          <w:p>
            <w:pPr>
              <w:spacing w:after="0"/>
              <w:rPr>
                <w:sz w:val="5"/>
                <w:szCs w:val="5"/>
                <w:color w:val="auto"/>
              </w:rPr>
            </w:pPr>
          </w:p>
        </w:tc>
        <w:tc>
          <w:tcPr>
            <w:tcW w:w="2720" w:type="dxa"/>
            <w:vAlign w:val="bottom"/>
            <w:gridSpan w:val="2"/>
            <w:vMerge w:val="continue"/>
          </w:tcPr>
          <w:p>
            <w:pPr>
              <w:spacing w:after="0"/>
              <w:rPr>
                <w:sz w:val="5"/>
                <w:szCs w:val="5"/>
                <w:color w:val="auto"/>
              </w:rPr>
            </w:pPr>
          </w:p>
        </w:tc>
        <w:tc>
          <w:tcPr>
            <w:tcW w:w="1860" w:type="dxa"/>
            <w:vAlign w:val="bottom"/>
            <w:gridSpan w:val="2"/>
            <w:vMerge w:val="continue"/>
          </w:tcPr>
          <w:p>
            <w:pPr>
              <w:spacing w:after="0"/>
              <w:rPr>
                <w:sz w:val="5"/>
                <w:szCs w:val="5"/>
                <w:color w:val="auto"/>
              </w:rPr>
            </w:pPr>
          </w:p>
        </w:tc>
        <w:tc>
          <w:tcPr>
            <w:tcW w:w="500" w:type="dxa"/>
            <w:vAlign w:val="bottom"/>
          </w:tcPr>
          <w:p>
            <w:pPr>
              <w:spacing w:after="0"/>
              <w:rPr>
                <w:sz w:val="5"/>
                <w:szCs w:val="5"/>
                <w:color w:val="auto"/>
              </w:rPr>
            </w:pPr>
          </w:p>
        </w:tc>
        <w:tc>
          <w:tcPr>
            <w:tcW w:w="1300" w:type="dxa"/>
            <w:vAlign w:val="bottom"/>
            <w:gridSpan w:val="2"/>
            <w:vMerge w:val="restart"/>
          </w:tcPr>
          <w:p>
            <w:pPr>
              <w:jc w:val="center"/>
              <w:ind w:right="600"/>
              <w:spacing w:after="0" w:line="149" w:lineRule="exact"/>
              <w:rPr>
                <w:sz w:val="20"/>
                <w:szCs w:val="20"/>
                <w:color w:val="auto"/>
              </w:rPr>
            </w:pPr>
            <w:r>
              <w:rPr>
                <w:rFonts w:ascii="Arial" w:cs="Arial" w:eastAsia="Arial" w:hAnsi="Arial"/>
                <w:sz w:val="14"/>
                <w:szCs w:val="14"/>
                <w:b w:val="1"/>
                <w:bCs w:val="1"/>
                <w:color w:val="auto"/>
                <w:w w:val="86"/>
              </w:rPr>
              <w:t>Exercise</w:t>
            </w:r>
          </w:p>
        </w:tc>
        <w:tc>
          <w:tcPr>
            <w:tcW w:w="1820" w:type="dxa"/>
            <w:vAlign w:val="bottom"/>
            <w:gridSpan w:val="2"/>
            <w:vMerge w:val="continue"/>
          </w:tcPr>
          <w:p>
            <w:pPr>
              <w:spacing w:after="0"/>
              <w:rPr>
                <w:sz w:val="5"/>
                <w:szCs w:val="5"/>
                <w:color w:val="auto"/>
              </w:rPr>
            </w:pPr>
          </w:p>
        </w:tc>
        <w:tc>
          <w:tcPr>
            <w:tcW w:w="17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1520" w:type="dxa"/>
            <w:vAlign w:val="bottom"/>
          </w:tcPr>
          <w:p>
            <w:pPr>
              <w:spacing w:after="0"/>
              <w:rPr>
                <w:sz w:val="7"/>
                <w:szCs w:val="7"/>
                <w:color w:val="auto"/>
              </w:rPr>
            </w:pPr>
          </w:p>
        </w:tc>
        <w:tc>
          <w:tcPr>
            <w:tcW w:w="2720" w:type="dxa"/>
            <w:vAlign w:val="bottom"/>
            <w:gridSpan w:val="2"/>
            <w:vMerge w:val="continue"/>
          </w:tcPr>
          <w:p>
            <w:pPr>
              <w:spacing w:after="0"/>
              <w:rPr>
                <w:sz w:val="7"/>
                <w:szCs w:val="7"/>
                <w:color w:val="auto"/>
              </w:rPr>
            </w:pPr>
          </w:p>
        </w:tc>
        <w:tc>
          <w:tcPr>
            <w:tcW w:w="18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Acquired on Exercise (#)</w:t>
            </w:r>
          </w:p>
        </w:tc>
        <w:tc>
          <w:tcPr>
            <w:tcW w:w="500" w:type="dxa"/>
            <w:vAlign w:val="bottom"/>
          </w:tcPr>
          <w:p>
            <w:pPr>
              <w:spacing w:after="0"/>
              <w:rPr>
                <w:sz w:val="7"/>
                <w:szCs w:val="7"/>
                <w:color w:val="auto"/>
              </w:rPr>
            </w:pPr>
          </w:p>
        </w:tc>
        <w:tc>
          <w:tcPr>
            <w:tcW w:w="1300" w:type="dxa"/>
            <w:vAlign w:val="bottom"/>
            <w:gridSpan w:val="2"/>
            <w:vMerge w:val="continue"/>
          </w:tcPr>
          <w:p>
            <w:pPr>
              <w:spacing w:after="0"/>
              <w:rPr>
                <w:sz w:val="7"/>
                <w:szCs w:val="7"/>
                <w:color w:val="auto"/>
              </w:rPr>
            </w:pPr>
          </w:p>
        </w:tc>
        <w:tc>
          <w:tcPr>
            <w:tcW w:w="18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Acquired on Vesting (#)</w:t>
            </w:r>
          </w:p>
        </w:tc>
        <w:tc>
          <w:tcPr>
            <w:tcW w:w="1700" w:type="dxa"/>
            <w:vAlign w:val="bottom"/>
            <w:vMerge w:val="restart"/>
          </w:tcPr>
          <w:p>
            <w:pPr>
              <w:jc w:val="right"/>
              <w:ind w:right="608"/>
              <w:spacing w:after="0"/>
              <w:rPr>
                <w:sz w:val="20"/>
                <w:szCs w:val="20"/>
                <w:color w:val="auto"/>
              </w:rPr>
            </w:pPr>
            <w:r>
              <w:rPr>
                <w:rFonts w:ascii="Arial" w:cs="Arial" w:eastAsia="Arial" w:hAnsi="Arial"/>
                <w:sz w:val="14"/>
                <w:szCs w:val="14"/>
                <w:b w:val="1"/>
                <w:bCs w:val="1"/>
                <w:color w:val="auto"/>
              </w:rPr>
              <w:t>($)(1)</w:t>
            </w:r>
          </w:p>
        </w:tc>
        <w:tc>
          <w:tcPr>
            <w:tcW w:w="0" w:type="dxa"/>
            <w:vAlign w:val="bottom"/>
          </w:tcPr>
          <w:p>
            <w:pPr>
              <w:spacing w:after="0"/>
              <w:rPr>
                <w:sz w:val="1"/>
                <w:szCs w:val="1"/>
                <w:color w:val="auto"/>
              </w:rPr>
            </w:pPr>
          </w:p>
        </w:tc>
      </w:tr>
      <w:tr>
        <w:trPr>
          <w:trHeight w:val="105"/>
        </w:trPr>
        <w:tc>
          <w:tcPr>
            <w:tcW w:w="1520" w:type="dxa"/>
            <w:vAlign w:val="bottom"/>
          </w:tcPr>
          <w:p>
            <w:pPr>
              <w:spacing w:after="0"/>
              <w:rPr>
                <w:sz w:val="9"/>
                <w:szCs w:val="9"/>
                <w:color w:val="auto"/>
              </w:rPr>
            </w:pPr>
          </w:p>
        </w:tc>
        <w:tc>
          <w:tcPr>
            <w:tcW w:w="2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60" w:type="dxa"/>
            <w:vAlign w:val="bottom"/>
            <w:gridSpan w:val="2"/>
            <w:vMerge w:val="continue"/>
          </w:tcPr>
          <w:p>
            <w:pPr>
              <w:spacing w:after="0"/>
              <w:rPr>
                <w:sz w:val="9"/>
                <w:szCs w:val="9"/>
                <w:color w:val="auto"/>
              </w:rPr>
            </w:pPr>
          </w:p>
        </w:tc>
        <w:tc>
          <w:tcPr>
            <w:tcW w:w="500" w:type="dxa"/>
            <w:vAlign w:val="bottom"/>
          </w:tcPr>
          <w:p>
            <w:pPr>
              <w:spacing w:after="0"/>
              <w:rPr>
                <w:sz w:val="9"/>
                <w:szCs w:val="9"/>
                <w:color w:val="auto"/>
              </w:rPr>
            </w:pPr>
          </w:p>
        </w:tc>
        <w:tc>
          <w:tcPr>
            <w:tcW w:w="1200" w:type="dxa"/>
            <w:vAlign w:val="bottom"/>
            <w:vMerge w:val="restart"/>
          </w:tcPr>
          <w:p>
            <w:pPr>
              <w:jc w:val="center"/>
              <w:ind w:right="428"/>
              <w:spacing w:after="0"/>
              <w:rPr>
                <w:sz w:val="20"/>
                <w:szCs w:val="20"/>
                <w:color w:val="auto"/>
              </w:rPr>
            </w:pPr>
            <w:r>
              <w:rPr>
                <w:rFonts w:ascii="Arial" w:cs="Arial" w:eastAsia="Arial" w:hAnsi="Arial"/>
                <w:sz w:val="14"/>
                <w:szCs w:val="14"/>
                <w:b w:val="1"/>
                <w:bCs w:val="1"/>
                <w:color w:val="auto"/>
                <w:w w:val="99"/>
              </w:rPr>
              <w:t>($) (1)</w:t>
            </w:r>
          </w:p>
        </w:tc>
        <w:tc>
          <w:tcPr>
            <w:tcW w:w="100" w:type="dxa"/>
            <w:vAlign w:val="bottom"/>
          </w:tcPr>
          <w:p>
            <w:pPr>
              <w:spacing w:after="0"/>
              <w:rPr>
                <w:sz w:val="9"/>
                <w:szCs w:val="9"/>
                <w:color w:val="auto"/>
              </w:rPr>
            </w:pPr>
          </w:p>
        </w:tc>
        <w:tc>
          <w:tcPr>
            <w:tcW w:w="1820" w:type="dxa"/>
            <w:vAlign w:val="bottom"/>
            <w:gridSpan w:val="2"/>
            <w:vMerge w:val="continue"/>
          </w:tcPr>
          <w:p>
            <w:pPr>
              <w:spacing w:after="0"/>
              <w:rPr>
                <w:sz w:val="9"/>
                <w:szCs w:val="9"/>
                <w:color w:val="auto"/>
              </w:rPr>
            </w:pPr>
          </w:p>
        </w:tc>
        <w:tc>
          <w:tcPr>
            <w:tcW w:w="17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1520" w:type="dxa"/>
            <w:vAlign w:val="bottom"/>
            <w:tcBorders>
              <w:bottom w:val="single" w:sz="8" w:color="auto"/>
            </w:tcBorders>
          </w:tcPr>
          <w:p>
            <w:pPr>
              <w:spacing w:after="0"/>
              <w:rPr>
                <w:sz w:val="7"/>
                <w:szCs w:val="7"/>
                <w:color w:val="auto"/>
              </w:rPr>
            </w:pPr>
          </w:p>
        </w:tc>
        <w:tc>
          <w:tcPr>
            <w:tcW w:w="2600" w:type="dxa"/>
            <w:vAlign w:val="bottom"/>
            <w:tcBorders>
              <w:bottom w:val="single" w:sz="8" w:color="auto"/>
            </w:tcBorders>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1740" w:type="dxa"/>
            <w:vAlign w:val="bottom"/>
            <w:tcBorders>
              <w:bottom w:val="single" w:sz="8" w:color="auto"/>
            </w:tcBorders>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1200" w:type="dxa"/>
            <w:vAlign w:val="bottom"/>
            <w:tcBorders>
              <w:bottom w:val="single" w:sz="8" w:color="auto"/>
            </w:tcBorders>
            <w:vMerge w:val="continue"/>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172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17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56"/>
        </w:trPr>
        <w:tc>
          <w:tcPr>
            <w:tcW w:w="1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Michael T. Dugan</w:t>
            </w:r>
          </w:p>
        </w:tc>
        <w:tc>
          <w:tcPr>
            <w:tcW w:w="26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5,000</w:t>
            </w:r>
          </w:p>
        </w:tc>
        <w:tc>
          <w:tcPr>
            <w:tcW w:w="12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210,502</w:t>
            </w:r>
          </w:p>
        </w:tc>
        <w:tc>
          <w:tcPr>
            <w:tcW w:w="100" w:type="dxa"/>
            <w:vAlign w:val="bottom"/>
            <w:shd w:val="clear" w:color="auto" w:fill="CCEEFF"/>
          </w:tcPr>
          <w:p>
            <w:pPr>
              <w:spacing w:after="0"/>
              <w:rPr>
                <w:sz w:val="22"/>
                <w:szCs w:val="22"/>
                <w:color w:val="auto"/>
              </w:rPr>
            </w:pPr>
          </w:p>
        </w:tc>
        <w:tc>
          <w:tcPr>
            <w:tcW w:w="1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1520" w:type="dxa"/>
            <w:vAlign w:val="bottom"/>
          </w:tcPr>
          <w:p>
            <w:pPr>
              <w:ind w:left="40"/>
              <w:spacing w:after="0"/>
              <w:rPr>
                <w:sz w:val="20"/>
                <w:szCs w:val="20"/>
                <w:color w:val="auto"/>
              </w:rPr>
            </w:pPr>
            <w:r>
              <w:rPr>
                <w:rFonts w:ascii="Arial" w:cs="Arial" w:eastAsia="Arial" w:hAnsi="Arial"/>
                <w:sz w:val="14"/>
                <w:szCs w:val="14"/>
                <w:color w:val="auto"/>
              </w:rPr>
              <w:t>Charles W. Ergen</w:t>
            </w:r>
          </w:p>
        </w:tc>
        <w:tc>
          <w:tcPr>
            <w:tcW w:w="2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22"/>
                <w:szCs w:val="22"/>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7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1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Anders N. Johnson</w:t>
            </w:r>
          </w:p>
        </w:tc>
        <w:tc>
          <w:tcPr>
            <w:tcW w:w="2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1520" w:type="dxa"/>
            <w:vAlign w:val="bottom"/>
          </w:tcPr>
          <w:p>
            <w:pPr>
              <w:ind w:left="40"/>
              <w:spacing w:after="0"/>
              <w:rPr>
                <w:sz w:val="20"/>
                <w:szCs w:val="20"/>
                <w:color w:val="auto"/>
              </w:rPr>
            </w:pPr>
            <w:r>
              <w:rPr>
                <w:rFonts w:ascii="Arial" w:cs="Arial" w:eastAsia="Arial" w:hAnsi="Arial"/>
                <w:sz w:val="14"/>
                <w:szCs w:val="14"/>
                <w:color w:val="auto"/>
              </w:rPr>
              <w:t>Pradman P. Kaul</w:t>
            </w:r>
          </w:p>
        </w:tc>
        <w:tc>
          <w:tcPr>
            <w:tcW w:w="2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40" w:type="dxa"/>
            <w:vAlign w:val="bottom"/>
          </w:tcPr>
          <w:p>
            <w:pPr>
              <w:jc w:val="right"/>
              <w:ind w:right="48"/>
              <w:spacing w:after="0"/>
              <w:rPr>
                <w:sz w:val="20"/>
                <w:szCs w:val="20"/>
                <w:color w:val="auto"/>
              </w:rPr>
            </w:pPr>
            <w:r>
              <w:rPr>
                <w:rFonts w:ascii="Arial" w:cs="Arial" w:eastAsia="Arial" w:hAnsi="Arial"/>
                <w:sz w:val="14"/>
                <w:szCs w:val="14"/>
                <w:color w:val="auto"/>
              </w:rPr>
              <w:t>20,000</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293,702</w:t>
            </w:r>
          </w:p>
        </w:tc>
        <w:tc>
          <w:tcPr>
            <w:tcW w:w="100" w:type="dxa"/>
            <w:vAlign w:val="bottom"/>
          </w:tcPr>
          <w:p>
            <w:pPr>
              <w:spacing w:after="0"/>
              <w:rPr>
                <w:sz w:val="22"/>
                <w:szCs w:val="22"/>
                <w:color w:val="auto"/>
              </w:rPr>
            </w:pPr>
          </w:p>
        </w:tc>
        <w:tc>
          <w:tcPr>
            <w:tcW w:w="1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7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1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David J. Rayner</w:t>
            </w:r>
          </w:p>
        </w:tc>
        <w:tc>
          <w:tcPr>
            <w:tcW w:w="2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10,000</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207,800</w:t>
            </w:r>
          </w:p>
        </w:tc>
        <w:tc>
          <w:tcPr>
            <w:tcW w:w="10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6,667 (2)</w:t>
            </w:r>
          </w:p>
        </w:tc>
        <w:tc>
          <w:tcPr>
            <w:tcW w:w="100" w:type="dxa"/>
            <w:vAlign w:val="bottom"/>
            <w:shd w:val="clear" w:color="auto" w:fill="CCEEFF"/>
          </w:tcPr>
          <w:p>
            <w:pPr>
              <w:spacing w:after="0"/>
              <w:rPr>
                <w:sz w:val="24"/>
                <w:szCs w:val="24"/>
                <w:color w:val="auto"/>
              </w:rPr>
            </w:pPr>
          </w:p>
        </w:tc>
        <w:tc>
          <w:tcPr>
            <w:tcW w:w="1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399,353</w:t>
            </w:r>
          </w:p>
        </w:tc>
        <w:tc>
          <w:tcPr>
            <w:tcW w:w="0" w:type="dxa"/>
            <w:vAlign w:val="bottom"/>
          </w:tcPr>
          <w:p>
            <w:pPr>
              <w:spacing w:after="0"/>
              <w:rPr>
                <w:sz w:val="1"/>
                <w:szCs w:val="1"/>
                <w:color w:val="auto"/>
              </w:rPr>
            </w:pPr>
          </w:p>
        </w:tc>
      </w:tr>
      <w:tr>
        <w:trPr>
          <w:trHeight w:val="156"/>
        </w:trPr>
        <w:tc>
          <w:tcPr>
            <w:tcW w:w="1520" w:type="dxa"/>
            <w:vAlign w:val="bottom"/>
            <w:tcBorders>
              <w:bottom w:val="single" w:sz="8" w:color="9A9A9A"/>
            </w:tcBorders>
          </w:tcPr>
          <w:p>
            <w:pPr>
              <w:spacing w:after="0"/>
              <w:rPr>
                <w:sz w:val="13"/>
                <w:szCs w:val="13"/>
                <w:color w:val="auto"/>
              </w:rPr>
            </w:pPr>
          </w:p>
        </w:tc>
        <w:tc>
          <w:tcPr>
            <w:tcW w:w="260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74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7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7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123" w:lineRule="exact"/>
        <w:rPr>
          <w:sz w:val="20"/>
          <w:szCs w:val="20"/>
          <w:color w:val="auto"/>
        </w:rPr>
      </w:pPr>
    </w:p>
    <w:p>
      <w:pPr>
        <w:jc w:val="both"/>
        <w:ind w:left="340" w:hanging="332"/>
        <w:spacing w:after="0" w:line="247" w:lineRule="auto"/>
        <w:tabs>
          <w:tab w:leader="none" w:pos="3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value realized on exercise is computed by multiplying the difference between (i) for stock options, the exercise price of the stock option and the market price of the shares by the number of shares with respect to which the option was exercised, and (ii) for other stock awards, zero and the closing market price of the shares on the date of acquisition (or the prior trading day if the date of acquisition was not a trading day) by the number of shares acquired.</w:t>
      </w:r>
    </w:p>
    <w:p>
      <w:pPr>
        <w:spacing w:after="0" w:line="1" w:lineRule="exact"/>
        <w:rPr>
          <w:rFonts w:ascii="Arial" w:cs="Arial" w:eastAsia="Arial" w:hAnsi="Arial"/>
          <w:sz w:val="14"/>
          <w:szCs w:val="14"/>
          <w:color w:val="auto"/>
        </w:rPr>
      </w:pPr>
    </w:p>
    <w:p>
      <w:pPr>
        <w:ind w:left="340" w:hanging="332"/>
        <w:spacing w:after="0" w:line="255" w:lineRule="auto"/>
        <w:tabs>
          <w:tab w:leader="none" w:pos="3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Consists of Class A Shares acquired upon the vesting of restricted stock units. On December 31, 2012, Mr. Rayner was granted 33,333 restricted stock units that vested 20% per year, beginning one year following the grant date, with the last tranche vesting on December 31, 2017.</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Nonqualified Deferred Compensation</w:t>
      </w:r>
    </w:p>
    <w:p>
      <w:pPr>
        <w:spacing w:after="0" w:line="198"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 following table summarizes nonqualified deferred compensation earned or contributed by, or on behalf of, our NEOs under our Nonqualified Plan for the year ended December 31, 2017.</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Executive</w:t>
            </w:r>
          </w:p>
        </w:tc>
        <w:tc>
          <w:tcPr>
            <w:tcW w:w="17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5"/>
              </w:rPr>
              <w:t>Registrant</w:t>
            </w:r>
          </w:p>
        </w:tc>
        <w:tc>
          <w:tcPr>
            <w:tcW w:w="17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Aggregate</w:t>
            </w:r>
          </w:p>
        </w:tc>
        <w:tc>
          <w:tcPr>
            <w:tcW w:w="1260" w:type="dxa"/>
            <w:vAlign w:val="bottom"/>
          </w:tcPr>
          <w:p>
            <w:pPr>
              <w:jc w:val="center"/>
              <w:ind w:left="188"/>
              <w:spacing w:after="0"/>
              <w:rPr>
                <w:sz w:val="20"/>
                <w:szCs w:val="20"/>
                <w:color w:val="auto"/>
              </w:rPr>
            </w:pPr>
            <w:r>
              <w:rPr>
                <w:rFonts w:ascii="Arial" w:cs="Arial" w:eastAsia="Arial" w:hAnsi="Arial"/>
                <w:sz w:val="14"/>
                <w:szCs w:val="14"/>
                <w:b w:val="1"/>
                <w:bCs w:val="1"/>
                <w:color w:val="auto"/>
                <w:w w:val="92"/>
              </w:rPr>
              <w:t>Aggregate</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1200" w:type="dxa"/>
            <w:vAlign w:val="bottom"/>
          </w:tcPr>
          <w:p>
            <w:pPr>
              <w:spacing w:after="0"/>
              <w:rPr>
                <w:sz w:val="12"/>
                <w:szCs w:val="12"/>
                <w:color w:val="auto"/>
              </w:rPr>
            </w:pPr>
          </w:p>
        </w:tc>
        <w:tc>
          <w:tcPr>
            <w:tcW w:w="18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Name</w:t>
            </w:r>
          </w:p>
        </w:tc>
        <w:tc>
          <w:tcPr>
            <w:tcW w:w="17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Contributions in</w:t>
            </w:r>
          </w:p>
        </w:tc>
        <w:tc>
          <w:tcPr>
            <w:tcW w:w="17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Contributions in</w:t>
            </w:r>
          </w:p>
        </w:tc>
        <w:tc>
          <w:tcPr>
            <w:tcW w:w="17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Earnings in</w:t>
            </w:r>
          </w:p>
        </w:tc>
        <w:tc>
          <w:tcPr>
            <w:tcW w:w="1260" w:type="dxa"/>
            <w:vAlign w:val="bottom"/>
          </w:tcPr>
          <w:p>
            <w:pPr>
              <w:jc w:val="center"/>
              <w:ind w:left="188"/>
              <w:spacing w:after="0" w:line="149" w:lineRule="exact"/>
              <w:rPr>
                <w:sz w:val="20"/>
                <w:szCs w:val="20"/>
                <w:color w:val="auto"/>
              </w:rPr>
            </w:pPr>
            <w:r>
              <w:rPr>
                <w:rFonts w:ascii="Arial" w:cs="Arial" w:eastAsia="Arial" w:hAnsi="Arial"/>
                <w:sz w:val="14"/>
                <w:szCs w:val="14"/>
                <w:b w:val="1"/>
                <w:bCs w:val="1"/>
                <w:color w:val="auto"/>
                <w:w w:val="97"/>
              </w:rPr>
              <w:t>Withdrawals/</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Balance at</w:t>
            </w:r>
          </w:p>
        </w:tc>
        <w:tc>
          <w:tcPr>
            <w:tcW w:w="0" w:type="dxa"/>
            <w:vAlign w:val="bottom"/>
          </w:tcPr>
          <w:p>
            <w:pPr>
              <w:spacing w:after="0"/>
              <w:rPr>
                <w:sz w:val="1"/>
                <w:szCs w:val="1"/>
                <w:color w:val="auto"/>
              </w:rPr>
            </w:pPr>
          </w:p>
        </w:tc>
      </w:tr>
      <w:tr>
        <w:trPr>
          <w:trHeight w:val="105"/>
        </w:trPr>
        <w:tc>
          <w:tcPr>
            <w:tcW w:w="1200" w:type="dxa"/>
            <w:vAlign w:val="bottom"/>
          </w:tcPr>
          <w:p>
            <w:pPr>
              <w:spacing w:after="0"/>
              <w:rPr>
                <w:sz w:val="9"/>
                <w:szCs w:val="9"/>
                <w:color w:val="auto"/>
              </w:rPr>
            </w:pPr>
          </w:p>
        </w:tc>
        <w:tc>
          <w:tcPr>
            <w:tcW w:w="1800" w:type="dxa"/>
            <w:vAlign w:val="bottom"/>
            <w:gridSpan w:val="2"/>
            <w:vMerge w:val="continue"/>
          </w:tcPr>
          <w:p>
            <w:pPr>
              <w:spacing w:after="0"/>
              <w:rPr>
                <w:sz w:val="9"/>
                <w:szCs w:val="9"/>
                <w:color w:val="auto"/>
              </w:rPr>
            </w:pPr>
          </w:p>
        </w:tc>
        <w:tc>
          <w:tcPr>
            <w:tcW w:w="160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9"/>
              </w:rPr>
              <w:t>2017</w:t>
            </w:r>
          </w:p>
        </w:tc>
        <w:tc>
          <w:tcPr>
            <w:tcW w:w="120" w:type="dxa"/>
            <w:vAlign w:val="bottom"/>
          </w:tcPr>
          <w:p>
            <w:pPr>
              <w:spacing w:after="0"/>
              <w:rPr>
                <w:sz w:val="9"/>
                <w:szCs w:val="9"/>
                <w:color w:val="auto"/>
              </w:rPr>
            </w:pPr>
          </w:p>
        </w:tc>
        <w:tc>
          <w:tcPr>
            <w:tcW w:w="160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6"/>
              </w:rPr>
              <w:t>2017</w:t>
            </w:r>
          </w:p>
        </w:tc>
        <w:tc>
          <w:tcPr>
            <w:tcW w:w="140" w:type="dxa"/>
            <w:vAlign w:val="bottom"/>
          </w:tcPr>
          <w:p>
            <w:pPr>
              <w:spacing w:after="0"/>
              <w:rPr>
                <w:sz w:val="9"/>
                <w:szCs w:val="9"/>
                <w:color w:val="auto"/>
              </w:rPr>
            </w:pPr>
          </w:p>
        </w:tc>
        <w:tc>
          <w:tcPr>
            <w:tcW w:w="158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5"/>
              </w:rPr>
              <w:t>2017 (1)</w:t>
            </w:r>
          </w:p>
        </w:tc>
        <w:tc>
          <w:tcPr>
            <w:tcW w:w="120" w:type="dxa"/>
            <w:vAlign w:val="bottom"/>
          </w:tcPr>
          <w:p>
            <w:pPr>
              <w:spacing w:after="0"/>
              <w:rPr>
                <w:sz w:val="9"/>
                <w:szCs w:val="9"/>
                <w:color w:val="auto"/>
              </w:rPr>
            </w:pPr>
          </w:p>
        </w:tc>
        <w:tc>
          <w:tcPr>
            <w:tcW w:w="1260" w:type="dxa"/>
            <w:vAlign w:val="bottom"/>
            <w:vMerge w:val="restart"/>
          </w:tcPr>
          <w:p>
            <w:pPr>
              <w:jc w:val="center"/>
              <w:ind w:left="188"/>
              <w:spacing w:after="0" w:line="149" w:lineRule="exact"/>
              <w:rPr>
                <w:sz w:val="20"/>
                <w:szCs w:val="20"/>
                <w:color w:val="auto"/>
              </w:rPr>
            </w:pPr>
            <w:r>
              <w:rPr>
                <w:rFonts w:ascii="Arial" w:cs="Arial" w:eastAsia="Arial" w:hAnsi="Arial"/>
                <w:sz w:val="14"/>
                <w:szCs w:val="14"/>
                <w:b w:val="1"/>
                <w:bCs w:val="1"/>
                <w:color w:val="auto"/>
                <w:w w:val="92"/>
              </w:rPr>
              <w:t>Distributions</w:t>
            </w: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8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1"/>
              </w:rPr>
              <w:t>12/31/17</w:t>
            </w:r>
          </w:p>
        </w:tc>
        <w:tc>
          <w:tcPr>
            <w:tcW w:w="0" w:type="dxa"/>
            <w:vAlign w:val="bottom"/>
          </w:tcPr>
          <w:p>
            <w:pPr>
              <w:spacing w:after="0"/>
              <w:rPr>
                <w:sz w:val="1"/>
                <w:szCs w:val="1"/>
                <w:color w:val="auto"/>
              </w:rPr>
            </w:pPr>
          </w:p>
        </w:tc>
      </w:tr>
      <w:tr>
        <w:trPr>
          <w:trHeight w:val="43"/>
        </w:trPr>
        <w:tc>
          <w:tcPr>
            <w:tcW w:w="120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60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158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260" w:type="dxa"/>
            <w:vAlign w:val="bottom"/>
            <w:vMerge w:val="continue"/>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2"/>
        </w:trPr>
        <w:tc>
          <w:tcPr>
            <w:tcW w:w="12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2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4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center"/>
              <w:ind w:left="228"/>
              <w:spacing w:after="0"/>
              <w:rPr>
                <w:sz w:val="20"/>
                <w:szCs w:val="20"/>
                <w:color w:val="auto"/>
              </w:rPr>
            </w:pPr>
            <w:r>
              <w:rPr>
                <w:rFonts w:ascii="Arial" w:cs="Arial" w:eastAsia="Arial" w:hAnsi="Arial"/>
                <w:sz w:val="14"/>
                <w:szCs w:val="14"/>
                <w:b w:val="1"/>
                <w:bCs w:val="1"/>
                <w:color w:val="auto"/>
                <w:w w:val="93"/>
              </w:rPr>
              <w:t>($)</w:t>
            </w:r>
          </w:p>
        </w:tc>
        <w:tc>
          <w:tcPr>
            <w:tcW w:w="3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36"/>
        </w:trPr>
        <w:tc>
          <w:tcPr>
            <w:tcW w:w="1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Michael T. Dugan</w:t>
            </w:r>
          </w:p>
        </w:tc>
        <w:tc>
          <w:tcPr>
            <w:tcW w:w="16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740" w:type="dxa"/>
            <w:vAlign w:val="bottom"/>
            <w:tcBorders>
              <w:bottom w:val="single" w:sz="8" w:color="CCEEFF"/>
            </w:tcBorders>
            <w:gridSpan w:val="2"/>
            <w:shd w:val="clear" w:color="auto" w:fill="CCEEFF"/>
          </w:tcPr>
          <w:p>
            <w:pPr>
              <w:ind w:left="1340"/>
              <w:spacing w:after="0"/>
              <w:rPr>
                <w:sz w:val="20"/>
                <w:szCs w:val="20"/>
                <w:color w:val="auto"/>
              </w:rPr>
            </w:pPr>
            <w:r>
              <w:rPr>
                <w:rFonts w:ascii="Arial" w:cs="Arial" w:eastAsia="Arial" w:hAnsi="Arial"/>
                <w:sz w:val="14"/>
                <w:szCs w:val="14"/>
                <w:color w:val="auto"/>
              </w:rPr>
              <w:t>—</w:t>
            </w:r>
          </w:p>
        </w:tc>
        <w:tc>
          <w:tcPr>
            <w:tcW w:w="15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14,571</w:t>
            </w:r>
          </w:p>
        </w:tc>
        <w:tc>
          <w:tcPr>
            <w:tcW w:w="1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15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108,629</w:t>
            </w:r>
          </w:p>
        </w:tc>
        <w:tc>
          <w:tcPr>
            <w:tcW w:w="0" w:type="dxa"/>
            <w:vAlign w:val="bottom"/>
          </w:tcPr>
          <w:p>
            <w:pPr>
              <w:spacing w:after="0"/>
              <w:rPr>
                <w:sz w:val="1"/>
                <w:szCs w:val="1"/>
                <w:color w:val="auto"/>
              </w:rPr>
            </w:pPr>
          </w:p>
        </w:tc>
      </w:tr>
      <w:tr>
        <w:trPr>
          <w:trHeight w:val="218"/>
        </w:trPr>
        <w:tc>
          <w:tcPr>
            <w:tcW w:w="1200" w:type="dxa"/>
            <w:vAlign w:val="bottom"/>
          </w:tcPr>
          <w:p>
            <w:pPr>
              <w:ind w:left="40"/>
              <w:spacing w:after="0"/>
              <w:rPr>
                <w:sz w:val="20"/>
                <w:szCs w:val="20"/>
                <w:color w:val="auto"/>
              </w:rPr>
            </w:pPr>
            <w:r>
              <w:rPr>
                <w:rFonts w:ascii="Arial" w:cs="Arial" w:eastAsia="Arial" w:hAnsi="Arial"/>
                <w:sz w:val="14"/>
                <w:szCs w:val="14"/>
                <w:color w:val="auto"/>
              </w:rPr>
              <w:t>Charles W. Ergen</w:t>
            </w: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740" w:type="dxa"/>
            <w:vAlign w:val="bottom"/>
            <w:gridSpan w:val="2"/>
          </w:tcPr>
          <w:p>
            <w:pPr>
              <w:ind w:left="1340"/>
              <w:spacing w:after="0"/>
              <w:rPr>
                <w:sz w:val="20"/>
                <w:szCs w:val="20"/>
                <w:color w:val="auto"/>
              </w:rPr>
            </w:pPr>
            <w:r>
              <w:rPr>
                <w:rFonts w:ascii="Arial" w:cs="Arial" w:eastAsia="Arial" w:hAnsi="Arial"/>
                <w:sz w:val="14"/>
                <w:szCs w:val="14"/>
                <w:color w:val="auto"/>
              </w:rPr>
              <w:t>—</w:t>
            </w:r>
          </w:p>
        </w:tc>
        <w:tc>
          <w:tcPr>
            <w:tcW w:w="17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60" w:type="dxa"/>
            <w:vAlign w:val="bottom"/>
          </w:tcPr>
          <w:p>
            <w:pPr>
              <w:spacing w:after="0"/>
              <w:rPr>
                <w:sz w:val="18"/>
                <w:szCs w:val="18"/>
                <w:color w:val="auto"/>
              </w:rPr>
            </w:pPr>
          </w:p>
        </w:tc>
        <w:tc>
          <w:tcPr>
            <w:tcW w:w="42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15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3"/>
        </w:trPr>
        <w:tc>
          <w:tcPr>
            <w:tcW w:w="1200" w:type="dxa"/>
            <w:vAlign w:val="bottom"/>
          </w:tcPr>
          <w:p>
            <w:pPr>
              <w:spacing w:after="0"/>
              <w:rPr>
                <w:sz w:val="4"/>
                <w:szCs w:val="4"/>
                <w:color w:val="auto"/>
              </w:rPr>
            </w:pPr>
          </w:p>
        </w:tc>
        <w:tc>
          <w:tcPr>
            <w:tcW w:w="1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1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w w:val="95"/>
              </w:rPr>
              <w:t>Anders N. Johnson</w:t>
            </w:r>
          </w:p>
        </w:tc>
        <w:tc>
          <w:tcPr>
            <w:tcW w:w="1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740" w:type="dxa"/>
            <w:vAlign w:val="bottom"/>
            <w:tcBorders>
              <w:bottom w:val="single" w:sz="8" w:color="CCEEFF"/>
            </w:tcBorders>
            <w:gridSpan w:val="2"/>
            <w:shd w:val="clear" w:color="auto" w:fill="CCEEFF"/>
          </w:tcPr>
          <w:p>
            <w:pPr>
              <w:ind w:left="1340"/>
              <w:spacing w:after="0"/>
              <w:rPr>
                <w:sz w:val="20"/>
                <w:szCs w:val="20"/>
                <w:color w:val="auto"/>
              </w:rPr>
            </w:pPr>
            <w:r>
              <w:rPr>
                <w:rFonts w:ascii="Arial" w:cs="Arial" w:eastAsia="Arial" w:hAnsi="Arial"/>
                <w:sz w:val="14"/>
                <w:szCs w:val="14"/>
                <w:color w:val="auto"/>
              </w:rPr>
              <w:t>—</w:t>
            </w:r>
          </w:p>
        </w:tc>
        <w:tc>
          <w:tcPr>
            <w:tcW w:w="15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2,203</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15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16,205</w:t>
            </w:r>
          </w:p>
        </w:tc>
        <w:tc>
          <w:tcPr>
            <w:tcW w:w="0" w:type="dxa"/>
            <w:vAlign w:val="bottom"/>
          </w:tcPr>
          <w:p>
            <w:pPr>
              <w:spacing w:after="0"/>
              <w:rPr>
                <w:sz w:val="1"/>
                <w:szCs w:val="1"/>
                <w:color w:val="auto"/>
              </w:rPr>
            </w:pPr>
          </w:p>
        </w:tc>
      </w:tr>
      <w:tr>
        <w:trPr>
          <w:trHeight w:val="218"/>
        </w:trPr>
        <w:tc>
          <w:tcPr>
            <w:tcW w:w="1200" w:type="dxa"/>
            <w:vAlign w:val="bottom"/>
          </w:tcPr>
          <w:p>
            <w:pPr>
              <w:ind w:left="40"/>
              <w:spacing w:after="0"/>
              <w:rPr>
                <w:sz w:val="20"/>
                <w:szCs w:val="20"/>
                <w:color w:val="auto"/>
              </w:rPr>
            </w:pPr>
            <w:r>
              <w:rPr>
                <w:rFonts w:ascii="Arial" w:cs="Arial" w:eastAsia="Arial" w:hAnsi="Arial"/>
                <w:sz w:val="14"/>
                <w:szCs w:val="14"/>
                <w:color w:val="auto"/>
              </w:rPr>
              <w:t>Pradman P. Kaul</w:t>
            </w: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740" w:type="dxa"/>
            <w:vAlign w:val="bottom"/>
            <w:gridSpan w:val="2"/>
          </w:tcPr>
          <w:p>
            <w:pPr>
              <w:ind w:left="1340"/>
              <w:spacing w:after="0"/>
              <w:rPr>
                <w:sz w:val="20"/>
                <w:szCs w:val="20"/>
                <w:color w:val="auto"/>
              </w:rPr>
            </w:pPr>
            <w:r>
              <w:rPr>
                <w:rFonts w:ascii="Arial" w:cs="Arial" w:eastAsia="Arial" w:hAnsi="Arial"/>
                <w:sz w:val="14"/>
                <w:szCs w:val="14"/>
                <w:color w:val="auto"/>
              </w:rPr>
              <w:t>—</w:t>
            </w:r>
          </w:p>
        </w:tc>
        <w:tc>
          <w:tcPr>
            <w:tcW w:w="1580" w:type="dxa"/>
            <w:vAlign w:val="bottom"/>
          </w:tcPr>
          <w:p>
            <w:pPr>
              <w:jc w:val="right"/>
              <w:ind w:right="28"/>
              <w:spacing w:after="0"/>
              <w:rPr>
                <w:sz w:val="20"/>
                <w:szCs w:val="20"/>
                <w:color w:val="auto"/>
              </w:rPr>
            </w:pPr>
            <w:r>
              <w:rPr>
                <w:rFonts w:ascii="Arial" w:cs="Arial" w:eastAsia="Arial" w:hAnsi="Arial"/>
                <w:sz w:val="14"/>
                <w:szCs w:val="14"/>
                <w:color w:val="auto"/>
              </w:rPr>
              <w:t>173,846</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2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1580" w:type="dxa"/>
            <w:vAlign w:val="bottom"/>
          </w:tcPr>
          <w:p>
            <w:pPr>
              <w:jc w:val="right"/>
              <w:ind w:right="28"/>
              <w:spacing w:after="0"/>
              <w:rPr>
                <w:sz w:val="20"/>
                <w:szCs w:val="20"/>
                <w:color w:val="auto"/>
              </w:rPr>
            </w:pPr>
            <w:r>
              <w:rPr>
                <w:rFonts w:ascii="Arial" w:cs="Arial" w:eastAsia="Arial" w:hAnsi="Arial"/>
                <w:sz w:val="14"/>
                <w:szCs w:val="14"/>
                <w:color w:val="auto"/>
              </w:rPr>
              <w:t>837,620</w:t>
            </w:r>
          </w:p>
        </w:tc>
        <w:tc>
          <w:tcPr>
            <w:tcW w:w="0" w:type="dxa"/>
            <w:vAlign w:val="bottom"/>
          </w:tcPr>
          <w:p>
            <w:pPr>
              <w:spacing w:after="0"/>
              <w:rPr>
                <w:sz w:val="1"/>
                <w:szCs w:val="1"/>
                <w:color w:val="auto"/>
              </w:rPr>
            </w:pPr>
          </w:p>
        </w:tc>
      </w:tr>
      <w:tr>
        <w:trPr>
          <w:trHeight w:val="53"/>
        </w:trPr>
        <w:tc>
          <w:tcPr>
            <w:tcW w:w="1200" w:type="dxa"/>
            <w:vAlign w:val="bottom"/>
          </w:tcPr>
          <w:p>
            <w:pPr>
              <w:spacing w:after="0"/>
              <w:rPr>
                <w:sz w:val="4"/>
                <w:szCs w:val="4"/>
                <w:color w:val="auto"/>
              </w:rPr>
            </w:pPr>
          </w:p>
        </w:tc>
        <w:tc>
          <w:tcPr>
            <w:tcW w:w="1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1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David J. Rayner</w:t>
            </w:r>
          </w:p>
        </w:tc>
        <w:tc>
          <w:tcPr>
            <w:tcW w:w="1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70,970</w:t>
            </w: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gridSpan w:val="2"/>
            <w:shd w:val="clear" w:color="auto" w:fill="CCEEFF"/>
          </w:tcPr>
          <w:p>
            <w:pPr>
              <w:ind w:left="1340"/>
              <w:spacing w:after="0"/>
              <w:rPr>
                <w:sz w:val="20"/>
                <w:szCs w:val="20"/>
                <w:color w:val="auto"/>
              </w:rPr>
            </w:pPr>
            <w:r>
              <w:rPr>
                <w:rFonts w:ascii="Arial" w:cs="Arial" w:eastAsia="Arial" w:hAnsi="Arial"/>
                <w:sz w:val="14"/>
                <w:szCs w:val="14"/>
                <w:color w:val="auto"/>
              </w:rPr>
              <w:t>—</w:t>
            </w:r>
          </w:p>
        </w:tc>
        <w:tc>
          <w:tcPr>
            <w:tcW w:w="15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25,095</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15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188,604</w:t>
            </w:r>
          </w:p>
        </w:tc>
        <w:tc>
          <w:tcPr>
            <w:tcW w:w="0" w:type="dxa"/>
            <w:vAlign w:val="bottom"/>
          </w:tcPr>
          <w:p>
            <w:pPr>
              <w:spacing w:after="0"/>
              <w:rPr>
                <w:sz w:val="1"/>
                <w:szCs w:val="1"/>
                <w:color w:val="auto"/>
              </w:rPr>
            </w:pPr>
          </w:p>
        </w:tc>
      </w:tr>
      <w:tr>
        <w:trPr>
          <w:trHeight w:val="115"/>
        </w:trPr>
        <w:tc>
          <w:tcPr>
            <w:tcW w:w="120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83" w:lineRule="exact"/>
        <w:rPr>
          <w:sz w:val="20"/>
          <w:szCs w:val="20"/>
          <w:color w:val="auto"/>
        </w:rPr>
      </w:pPr>
    </w:p>
    <w:p>
      <w:pPr>
        <w:ind w:left="340" w:hanging="332"/>
        <w:spacing w:after="0"/>
        <w:tabs>
          <w:tab w:leader="none" w:pos="3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Aggregate earnings are dependent on the investment decisions made by the executive. All earnings are market earnings, and none are preferential or set by the Corporation.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Potential Payments upon Termination or Following a Change in Control</w:t>
      </w:r>
    </w:p>
    <w:p>
      <w:pPr>
        <w:spacing w:after="0" w:line="198"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As discussed in “Compensation Discussion and Analysis” above, generally our option agreements and restricted stock unit agreements given to our NEOs include acceleration of vesting upon a change in control for those executive officers who are terminated by us or the surviving entity, as applicable, for any reason other than for cause during the twenty-four month period following such change in control. There are no benefits under such agreements triggered solely by a change in control or solely because of termination. However, the option award granted to our Chairman on April 1, 2017 provides that any unvested portion of the option terminates upon a change in control. Mr. Kaul’s option agreement provides for acceleration of vesting upon a change in control only if Mr. Kaul is terminated by us or the surviving entity, as applicable, for any reason other than for cause and ceases to be a member of the Board of Directors, in each case during the twenty-four month period following such change in control.</w:t>
      </w:r>
    </w:p>
    <w:p>
      <w:pPr>
        <w:spacing w:after="0" w:line="167"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Generally a change in control is deemed to occur upon: (i) a transaction or a series of transactions the result of which is that any person (other than Mr. Ergen, our controlling shareholder, or a related party) individually owns more than fifty percent (50%) of the total equity interests of either (a) EchoStar or (b) the surviving entity in any such transaction(s) or a controlling affiliate of such surviving entity in such transaction(s); and (ii) except in the case of Mr. Ergen’s April 1, 2017 award agreement and awards under the 2017 Stock Incentive Plan, the first day on which a majority of the members of the Board are not continuing directors (as such term is used in the individual award agreements).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368" w:right="239" w:bottom="1440" w:gutter="0" w:footer="0" w:header="0"/>
        </w:sectPr>
      </w:pPr>
    </w:p>
    <w:bookmarkStart w:id="32" w:name="page33"/>
    <w:bookmarkEnd w:id="32"/>
    <w:p>
      <w:pPr>
        <w:jc w:val="both"/>
        <w:spacing w:after="0" w:line="248" w:lineRule="auto"/>
        <w:rPr>
          <w:sz w:val="20"/>
          <w:szCs w:val="20"/>
          <w:color w:val="auto"/>
        </w:rPr>
      </w:pPr>
      <w:r>
        <w:rPr>
          <w:rFonts w:ascii="Arial" w:cs="Arial" w:eastAsia="Arial" w:hAnsi="Arial"/>
          <w:sz w:val="18"/>
          <w:szCs w:val="18"/>
          <w:color w:val="auto"/>
        </w:rPr>
        <w:t>Assuming a change in control was to have taken place as of December 31, 2017 and the NEOs had been terminated by EchoStar or the surviving entity other than for cause on December 31, 2017 and Mr. Kaul ceased to be a member of the Board of Directors on December 31, 2017, the estimated benefits that would have been provided to our NEOs are as follows:</w:t>
      </w:r>
    </w:p>
    <w:p>
      <w:pPr>
        <w:spacing w:after="0" w:line="107" w:lineRule="exact"/>
        <w:rPr>
          <w:sz w:val="20"/>
          <w:szCs w:val="20"/>
          <w:color w:val="auto"/>
        </w:rPr>
      </w:pPr>
    </w:p>
    <w:tbl>
      <w:tblPr>
        <w:tblLayout w:type="fixed"/>
        <w:tblInd w:w="1220" w:type="dxa"/>
        <w:tblCellMar>
          <w:top w:w="0" w:type="dxa"/>
          <w:left w:w="0" w:type="dxa"/>
          <w:bottom w:w="0" w:type="dxa"/>
          <w:right w:w="0" w:type="dxa"/>
        </w:tblCellMar>
      </w:tblPr>
      <w:tr>
        <w:trPr>
          <w:trHeight w:val="161"/>
        </w:trPr>
        <w:tc>
          <w:tcPr>
            <w:tcW w:w="5320" w:type="dxa"/>
            <w:vAlign w:val="bottom"/>
            <w:gridSpan w:val="2"/>
            <w:vMerge w:val="restart"/>
          </w:tcPr>
          <w:p>
            <w:pPr>
              <w:ind w:left="2420"/>
              <w:spacing w:after="0"/>
              <w:rPr>
                <w:sz w:val="20"/>
                <w:szCs w:val="20"/>
                <w:color w:val="auto"/>
              </w:rPr>
            </w:pPr>
            <w:r>
              <w:rPr>
                <w:rFonts w:ascii="Arial" w:cs="Arial" w:eastAsia="Arial" w:hAnsi="Arial"/>
                <w:sz w:val="14"/>
                <w:szCs w:val="14"/>
                <w:b w:val="1"/>
                <w:bCs w:val="1"/>
                <w:color w:val="auto"/>
              </w:rPr>
              <w:t>Name</w:t>
            </w:r>
          </w:p>
        </w:tc>
        <w:tc>
          <w:tcPr>
            <w:tcW w:w="3660" w:type="dxa"/>
            <w:vAlign w:val="bottom"/>
          </w:tcPr>
          <w:p>
            <w:pPr>
              <w:jc w:val="center"/>
              <w:spacing w:after="0"/>
              <w:rPr>
                <w:sz w:val="20"/>
                <w:szCs w:val="20"/>
                <w:color w:val="auto"/>
              </w:rPr>
            </w:pPr>
            <w:r>
              <w:rPr>
                <w:rFonts w:ascii="Arial" w:cs="Arial" w:eastAsia="Arial" w:hAnsi="Arial"/>
                <w:sz w:val="14"/>
                <w:szCs w:val="14"/>
                <w:b w:val="1"/>
                <w:bCs w:val="1"/>
                <w:color w:val="auto"/>
                <w:w w:val="94"/>
              </w:rPr>
              <w:t>Maximum Value of Accelerated</w:t>
            </w:r>
          </w:p>
        </w:tc>
        <w:tc>
          <w:tcPr>
            <w:tcW w:w="0" w:type="dxa"/>
            <w:vAlign w:val="bottom"/>
          </w:tcPr>
          <w:p>
            <w:pPr>
              <w:spacing w:after="0"/>
              <w:rPr>
                <w:sz w:val="1"/>
                <w:szCs w:val="1"/>
                <w:color w:val="auto"/>
              </w:rPr>
            </w:pPr>
          </w:p>
        </w:tc>
      </w:tr>
      <w:tr>
        <w:trPr>
          <w:trHeight w:val="149"/>
        </w:trPr>
        <w:tc>
          <w:tcPr>
            <w:tcW w:w="5320" w:type="dxa"/>
            <w:vAlign w:val="bottom"/>
            <w:gridSpan w:val="2"/>
            <w:vMerge w:val="continue"/>
          </w:tcPr>
          <w:p>
            <w:pPr>
              <w:spacing w:after="0"/>
              <w:rPr>
                <w:sz w:val="12"/>
                <w:szCs w:val="12"/>
                <w:color w:val="auto"/>
              </w:rPr>
            </w:pPr>
          </w:p>
        </w:tc>
        <w:tc>
          <w:tcPr>
            <w:tcW w:w="3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Vesting of Options and stock</w:t>
            </w:r>
          </w:p>
        </w:tc>
        <w:tc>
          <w:tcPr>
            <w:tcW w:w="0" w:type="dxa"/>
            <w:vAlign w:val="bottom"/>
          </w:tcPr>
          <w:p>
            <w:pPr>
              <w:spacing w:after="0"/>
              <w:rPr>
                <w:sz w:val="1"/>
                <w:szCs w:val="1"/>
                <w:color w:val="auto"/>
              </w:rPr>
            </w:pPr>
          </w:p>
        </w:tc>
      </w:tr>
      <w:tr>
        <w:trPr>
          <w:trHeight w:val="192"/>
        </w:trPr>
        <w:tc>
          <w:tcPr>
            <w:tcW w:w="52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6"/>
        </w:trPr>
        <w:tc>
          <w:tcPr>
            <w:tcW w:w="53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Michael T. Dugan</w:t>
            </w:r>
          </w:p>
        </w:tc>
        <w:tc>
          <w:tcPr>
            <w:tcW w:w="3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5320" w:type="dxa"/>
            <w:vAlign w:val="bottom"/>
            <w:gridSpan w:val="2"/>
          </w:tcPr>
          <w:p>
            <w:pPr>
              <w:ind w:left="40"/>
              <w:spacing w:after="0"/>
              <w:rPr>
                <w:sz w:val="20"/>
                <w:szCs w:val="20"/>
                <w:color w:val="auto"/>
              </w:rPr>
            </w:pPr>
            <w:r>
              <w:rPr>
                <w:rFonts w:ascii="Arial" w:cs="Arial" w:eastAsia="Arial" w:hAnsi="Arial"/>
                <w:sz w:val="14"/>
                <w:szCs w:val="14"/>
                <w:color w:val="auto"/>
              </w:rPr>
              <w:t>Charles W. Ergen</w:t>
            </w:r>
          </w:p>
        </w:tc>
        <w:tc>
          <w:tcPr>
            <w:tcW w:w="3660" w:type="dxa"/>
            <w:vAlign w:val="bottom"/>
          </w:tcPr>
          <w:p>
            <w:pPr>
              <w:jc w:val="right"/>
              <w:ind w:right="8"/>
              <w:spacing w:after="0"/>
              <w:rPr>
                <w:sz w:val="20"/>
                <w:szCs w:val="20"/>
                <w:color w:val="auto"/>
              </w:rPr>
            </w:pPr>
            <w:r>
              <w:rPr>
                <w:rFonts w:ascii="Arial" w:cs="Arial" w:eastAsia="Arial" w:hAnsi="Arial"/>
                <w:sz w:val="14"/>
                <w:szCs w:val="14"/>
                <w:color w:val="auto"/>
              </w:rPr>
              <w:t>3,012,800</w:t>
            </w:r>
          </w:p>
        </w:tc>
        <w:tc>
          <w:tcPr>
            <w:tcW w:w="0" w:type="dxa"/>
            <w:vAlign w:val="bottom"/>
          </w:tcPr>
          <w:p>
            <w:pPr>
              <w:spacing w:after="0"/>
              <w:rPr>
                <w:sz w:val="1"/>
                <w:szCs w:val="1"/>
                <w:color w:val="auto"/>
              </w:rPr>
            </w:pPr>
          </w:p>
        </w:tc>
      </w:tr>
      <w:tr>
        <w:trPr>
          <w:trHeight w:val="276"/>
        </w:trPr>
        <w:tc>
          <w:tcPr>
            <w:tcW w:w="53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Anders N. Johnson</w:t>
            </w:r>
          </w:p>
        </w:tc>
        <w:tc>
          <w:tcPr>
            <w:tcW w:w="3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1,205,700</w:t>
            </w:r>
          </w:p>
        </w:tc>
        <w:tc>
          <w:tcPr>
            <w:tcW w:w="0" w:type="dxa"/>
            <w:vAlign w:val="bottom"/>
          </w:tcPr>
          <w:p>
            <w:pPr>
              <w:spacing w:after="0"/>
              <w:rPr>
                <w:sz w:val="1"/>
                <w:szCs w:val="1"/>
                <w:color w:val="auto"/>
              </w:rPr>
            </w:pPr>
          </w:p>
        </w:tc>
      </w:tr>
      <w:tr>
        <w:trPr>
          <w:trHeight w:val="264"/>
        </w:trPr>
        <w:tc>
          <w:tcPr>
            <w:tcW w:w="5320" w:type="dxa"/>
            <w:vAlign w:val="bottom"/>
            <w:gridSpan w:val="2"/>
          </w:tcPr>
          <w:p>
            <w:pPr>
              <w:ind w:left="40"/>
              <w:spacing w:after="0"/>
              <w:rPr>
                <w:sz w:val="20"/>
                <w:szCs w:val="20"/>
                <w:color w:val="auto"/>
              </w:rPr>
            </w:pPr>
            <w:r>
              <w:rPr>
                <w:rFonts w:ascii="Arial" w:cs="Arial" w:eastAsia="Arial" w:hAnsi="Arial"/>
                <w:sz w:val="14"/>
                <w:szCs w:val="14"/>
                <w:color w:val="auto"/>
              </w:rPr>
              <w:t>Pradman P. Kaul</w:t>
            </w:r>
          </w:p>
        </w:tc>
        <w:tc>
          <w:tcPr>
            <w:tcW w:w="3660" w:type="dxa"/>
            <w:vAlign w:val="bottom"/>
          </w:tcPr>
          <w:p>
            <w:pPr>
              <w:jc w:val="right"/>
              <w:ind w:right="8"/>
              <w:spacing w:after="0"/>
              <w:rPr>
                <w:sz w:val="20"/>
                <w:szCs w:val="20"/>
                <w:color w:val="auto"/>
              </w:rPr>
            </w:pPr>
            <w:r>
              <w:rPr>
                <w:rFonts w:ascii="Arial" w:cs="Arial" w:eastAsia="Arial" w:hAnsi="Arial"/>
                <w:sz w:val="14"/>
                <w:szCs w:val="14"/>
                <w:color w:val="auto"/>
              </w:rPr>
              <w:t>1,276,800</w:t>
            </w:r>
          </w:p>
        </w:tc>
        <w:tc>
          <w:tcPr>
            <w:tcW w:w="0" w:type="dxa"/>
            <w:vAlign w:val="bottom"/>
          </w:tcPr>
          <w:p>
            <w:pPr>
              <w:spacing w:after="0"/>
              <w:rPr>
                <w:sz w:val="1"/>
                <w:szCs w:val="1"/>
                <w:color w:val="auto"/>
              </w:rPr>
            </w:pPr>
          </w:p>
        </w:tc>
      </w:tr>
      <w:tr>
        <w:trPr>
          <w:trHeight w:val="276"/>
        </w:trPr>
        <w:tc>
          <w:tcPr>
            <w:tcW w:w="53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David J. Rayner</w:t>
            </w:r>
          </w:p>
        </w:tc>
        <w:tc>
          <w:tcPr>
            <w:tcW w:w="3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622,470</w:t>
            </w: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Mr. Kaul’s termination benefits were set by Hughes prior to the Hughes Acquisition and were amended in 2016. Other than as set forth above, Mr. Kaul does not have any benefits triggered by a change in control of EchoStar.</w:t>
      </w:r>
    </w:p>
    <w:p>
      <w:pPr>
        <w:spacing w:after="0" w:line="156"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Pursuant to his employment agreement (the “Employment Agreement”), if Mr. Kaul’s employment is terminated by us for cause, Mr. Kaul terminates his employment without good reason or provides notice to us of non-renewal of the Employment Agreement, Mr. Kaul becomes permanently disabled and is terminated by us, or Mr. Kaul dies during the term of the Employment Agreement, then, subject in certain circumstances to the execution of a waiver and release of claims in favor of Hughes and its affiliates and Mr. Kaul making himself reasonably available to provide transition services and consultation to Hughes for a period of time, Mr. Kaul will receive his: (i) earned but unpaid base salary; (ii) any bonus earned in accordance with the terms of the applicable bonus plan but which has not been paid; (iii) accrued but unused vacation; and (iv) accrued but unreimbursed documented business expenses (subject to company policies), in each case through the date of termination (collectively, the “Accrued Amounts”). If Mr. Kaul’s employment is terminated by us without cause, terminated by him for good reason, or if we provide him with notice of non-renewal of his employment agreement, subject to his execution of a waiver and release of claims in favor of Hughes and its affiliates and Mr. Kaul making himself reasonably available to provide transition services and consultation to Hughes for a period of time, Mr. Kaul would receive: (i) the Accrued Amounts; plus (ii) a percentage of Severance Payments depending on the date of termination or non-renewal as outlined in the chart below. The Severance Payments equal: (i) a lump sum amount equal to three times the sum of (x) and (y), where (x) is Mr. Kaul’s annual base salary (in effect on the date of termination) and (y) is 100% of Mr. Kaul’s base salary which represents Mr. Kaul’s target bonus amount, (ii) cash payments equal to 1.5 times the monthly COBRA premium paid by Mr. Kaul, and (iii) reasonable outplacement benefits.</w:t>
      </w:r>
    </w:p>
    <w:p>
      <w:pPr>
        <w:spacing w:after="0" w:line="111" w:lineRule="exact"/>
        <w:rPr>
          <w:sz w:val="20"/>
          <w:szCs w:val="20"/>
          <w:color w:val="auto"/>
        </w:rPr>
      </w:pPr>
    </w:p>
    <w:tbl>
      <w:tblPr>
        <w:tblLayout w:type="fixed"/>
        <w:tblInd w:w="1820" w:type="dxa"/>
        <w:tblCellMar>
          <w:top w:w="0" w:type="dxa"/>
          <w:left w:w="0" w:type="dxa"/>
          <w:bottom w:w="0" w:type="dxa"/>
          <w:right w:w="0" w:type="dxa"/>
        </w:tblCellMar>
      </w:tblPr>
      <w:tr>
        <w:trPr>
          <w:trHeight w:val="234"/>
        </w:trPr>
        <w:tc>
          <w:tcPr>
            <w:tcW w:w="4520" w:type="dxa"/>
            <w:vAlign w:val="bottom"/>
            <w:gridSpan w:val="2"/>
          </w:tcPr>
          <w:p>
            <w:pPr>
              <w:ind w:left="20"/>
              <w:spacing w:after="0"/>
              <w:rPr>
                <w:sz w:val="20"/>
                <w:szCs w:val="20"/>
                <w:color w:val="auto"/>
              </w:rPr>
            </w:pPr>
            <w:r>
              <w:rPr>
                <w:rFonts w:ascii="Arial" w:cs="Arial" w:eastAsia="Arial" w:hAnsi="Arial"/>
                <w:sz w:val="18"/>
                <w:szCs w:val="18"/>
                <w:b w:val="1"/>
                <w:bCs w:val="1"/>
                <w:color w:val="auto"/>
              </w:rPr>
              <w:t>Termination or Non-Renewal Date</w:t>
            </w:r>
          </w:p>
        </w:tc>
        <w:tc>
          <w:tcPr>
            <w:tcW w:w="3280" w:type="dxa"/>
            <w:vAlign w:val="bottom"/>
          </w:tcPr>
          <w:p>
            <w:pPr>
              <w:ind w:left="20"/>
              <w:spacing w:after="0"/>
              <w:rPr>
                <w:sz w:val="20"/>
                <w:szCs w:val="20"/>
                <w:color w:val="auto"/>
              </w:rPr>
            </w:pPr>
            <w:r>
              <w:rPr>
                <w:rFonts w:ascii="Arial" w:cs="Arial" w:eastAsia="Arial" w:hAnsi="Arial"/>
                <w:sz w:val="18"/>
                <w:szCs w:val="18"/>
                <w:b w:val="1"/>
                <w:bCs w:val="1"/>
                <w:color w:val="auto"/>
              </w:rPr>
              <w:t>Percentage of Severance Payments</w:t>
            </w:r>
          </w:p>
        </w:tc>
      </w:tr>
      <w:tr>
        <w:trPr>
          <w:trHeight w:val="27"/>
        </w:trPr>
        <w:tc>
          <w:tcPr>
            <w:tcW w:w="4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80" w:type="dxa"/>
            <w:vAlign w:val="bottom"/>
            <w:tcBorders>
              <w:bottom w:val="single" w:sz="8" w:color="auto"/>
            </w:tcBorders>
          </w:tcPr>
          <w:p>
            <w:pPr>
              <w:spacing w:after="0"/>
              <w:rPr>
                <w:sz w:val="2"/>
                <w:szCs w:val="2"/>
                <w:color w:val="auto"/>
              </w:rPr>
            </w:pPr>
          </w:p>
        </w:tc>
      </w:tr>
      <w:tr>
        <w:trPr>
          <w:trHeight w:val="244"/>
        </w:trPr>
        <w:tc>
          <w:tcPr>
            <w:tcW w:w="4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Before April 1, 2017</w:t>
            </w:r>
          </w:p>
        </w:tc>
        <w:tc>
          <w:tcPr>
            <w:tcW w:w="3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100%</w:t>
            </w:r>
          </w:p>
        </w:tc>
      </w:tr>
      <w:tr>
        <w:trPr>
          <w:trHeight w:val="243"/>
        </w:trPr>
        <w:tc>
          <w:tcPr>
            <w:tcW w:w="4520" w:type="dxa"/>
            <w:vAlign w:val="bottom"/>
            <w:gridSpan w:val="2"/>
          </w:tcPr>
          <w:p>
            <w:pPr>
              <w:ind w:left="20"/>
              <w:spacing w:after="0"/>
              <w:rPr>
                <w:sz w:val="20"/>
                <w:szCs w:val="20"/>
                <w:color w:val="auto"/>
              </w:rPr>
            </w:pPr>
            <w:r>
              <w:rPr>
                <w:rFonts w:ascii="Arial" w:cs="Arial" w:eastAsia="Arial" w:hAnsi="Arial"/>
                <w:sz w:val="18"/>
                <w:szCs w:val="18"/>
                <w:color w:val="auto"/>
              </w:rPr>
              <w:t>On or after April 1, 2017, and before April 1, 2018</w:t>
            </w:r>
          </w:p>
        </w:tc>
        <w:tc>
          <w:tcPr>
            <w:tcW w:w="3280" w:type="dxa"/>
            <w:vAlign w:val="bottom"/>
          </w:tcPr>
          <w:p>
            <w:pPr>
              <w:ind w:left="20"/>
              <w:spacing w:after="0"/>
              <w:rPr>
                <w:sz w:val="20"/>
                <w:szCs w:val="20"/>
                <w:color w:val="auto"/>
              </w:rPr>
            </w:pPr>
            <w:r>
              <w:rPr>
                <w:rFonts w:ascii="Arial" w:cs="Arial" w:eastAsia="Arial" w:hAnsi="Arial"/>
                <w:sz w:val="18"/>
                <w:szCs w:val="18"/>
                <w:color w:val="auto"/>
              </w:rPr>
              <w:t>80%</w:t>
            </w:r>
          </w:p>
        </w:tc>
      </w:tr>
      <w:tr>
        <w:trPr>
          <w:trHeight w:val="27"/>
        </w:trPr>
        <w:tc>
          <w:tcPr>
            <w:tcW w:w="4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80" w:type="dxa"/>
            <w:vAlign w:val="bottom"/>
          </w:tcPr>
          <w:p>
            <w:pPr>
              <w:spacing w:after="0"/>
              <w:rPr>
                <w:sz w:val="2"/>
                <w:szCs w:val="2"/>
                <w:color w:val="auto"/>
              </w:rPr>
            </w:pPr>
          </w:p>
        </w:tc>
      </w:tr>
      <w:tr>
        <w:trPr>
          <w:trHeight w:val="250"/>
        </w:trPr>
        <w:tc>
          <w:tcPr>
            <w:tcW w:w="4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On or after April 1, 2018, and before April 1, 2019</w:t>
            </w:r>
          </w:p>
        </w:tc>
        <w:tc>
          <w:tcPr>
            <w:tcW w:w="3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60%</w:t>
            </w:r>
          </w:p>
        </w:tc>
      </w:tr>
      <w:tr>
        <w:trPr>
          <w:trHeight w:val="243"/>
        </w:trPr>
        <w:tc>
          <w:tcPr>
            <w:tcW w:w="4520" w:type="dxa"/>
            <w:vAlign w:val="bottom"/>
            <w:gridSpan w:val="2"/>
          </w:tcPr>
          <w:p>
            <w:pPr>
              <w:ind w:left="20"/>
              <w:spacing w:after="0"/>
              <w:rPr>
                <w:sz w:val="20"/>
                <w:szCs w:val="20"/>
                <w:color w:val="auto"/>
              </w:rPr>
            </w:pPr>
            <w:r>
              <w:rPr>
                <w:rFonts w:ascii="Arial" w:cs="Arial" w:eastAsia="Arial" w:hAnsi="Arial"/>
                <w:sz w:val="18"/>
                <w:szCs w:val="18"/>
                <w:color w:val="auto"/>
              </w:rPr>
              <w:t>On or after April 1, 2019, and before April 1, 2020</w:t>
            </w:r>
          </w:p>
        </w:tc>
        <w:tc>
          <w:tcPr>
            <w:tcW w:w="3280" w:type="dxa"/>
            <w:vAlign w:val="bottom"/>
          </w:tcPr>
          <w:p>
            <w:pPr>
              <w:ind w:left="20"/>
              <w:spacing w:after="0"/>
              <w:rPr>
                <w:sz w:val="20"/>
                <w:szCs w:val="20"/>
                <w:color w:val="auto"/>
              </w:rPr>
            </w:pPr>
            <w:r>
              <w:rPr>
                <w:rFonts w:ascii="Arial" w:cs="Arial" w:eastAsia="Arial" w:hAnsi="Arial"/>
                <w:sz w:val="18"/>
                <w:szCs w:val="18"/>
                <w:color w:val="auto"/>
              </w:rPr>
              <w:t>40%</w:t>
            </w:r>
          </w:p>
        </w:tc>
      </w:tr>
      <w:tr>
        <w:trPr>
          <w:trHeight w:val="27"/>
        </w:trPr>
        <w:tc>
          <w:tcPr>
            <w:tcW w:w="4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80" w:type="dxa"/>
            <w:vAlign w:val="bottom"/>
          </w:tcPr>
          <w:p>
            <w:pPr>
              <w:spacing w:after="0"/>
              <w:rPr>
                <w:sz w:val="2"/>
                <w:szCs w:val="2"/>
                <w:color w:val="auto"/>
              </w:rPr>
            </w:pPr>
          </w:p>
        </w:tc>
      </w:tr>
      <w:tr>
        <w:trPr>
          <w:trHeight w:val="250"/>
        </w:trPr>
        <w:tc>
          <w:tcPr>
            <w:tcW w:w="4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On or after April 1, 2020, and before April 1, 2021</w:t>
            </w:r>
          </w:p>
        </w:tc>
        <w:tc>
          <w:tcPr>
            <w:tcW w:w="3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w:t>
            </w:r>
          </w:p>
        </w:tc>
      </w:tr>
      <w:tr>
        <w:trPr>
          <w:trHeight w:val="243"/>
        </w:trPr>
        <w:tc>
          <w:tcPr>
            <w:tcW w:w="4520" w:type="dxa"/>
            <w:vAlign w:val="bottom"/>
            <w:gridSpan w:val="2"/>
          </w:tcPr>
          <w:p>
            <w:pPr>
              <w:ind w:left="20"/>
              <w:spacing w:after="0"/>
              <w:rPr>
                <w:sz w:val="20"/>
                <w:szCs w:val="20"/>
                <w:color w:val="auto"/>
              </w:rPr>
            </w:pPr>
            <w:r>
              <w:rPr>
                <w:rFonts w:ascii="Arial" w:cs="Arial" w:eastAsia="Arial" w:hAnsi="Arial"/>
                <w:sz w:val="18"/>
                <w:szCs w:val="18"/>
                <w:color w:val="auto"/>
              </w:rPr>
              <w:t>On or after April 1, 2021</w:t>
            </w:r>
          </w:p>
        </w:tc>
        <w:tc>
          <w:tcPr>
            <w:tcW w:w="3280" w:type="dxa"/>
            <w:vAlign w:val="bottom"/>
          </w:tcPr>
          <w:p>
            <w:pPr>
              <w:ind w:left="20"/>
              <w:spacing w:after="0"/>
              <w:rPr>
                <w:sz w:val="20"/>
                <w:szCs w:val="20"/>
                <w:color w:val="auto"/>
              </w:rPr>
            </w:pPr>
            <w:r>
              <w:rPr>
                <w:rFonts w:ascii="Arial" w:cs="Arial" w:eastAsia="Arial" w:hAnsi="Arial"/>
                <w:sz w:val="18"/>
                <w:szCs w:val="18"/>
                <w:color w:val="auto"/>
              </w:rPr>
              <w:t>0%</w:t>
            </w:r>
          </w:p>
        </w:tc>
      </w:tr>
    </w:tbl>
    <w:p>
      <w:pPr>
        <w:spacing w:after="0" w:line="215"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Mr. Kaul’s Employment Agreement will terminate on April 1, 2021 and any employment of Mr. Kaul by Hughes or any of its affiliates after that date will be at-will employment.</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368" w:right="239" w:bottom="1440" w:gutter="0" w:footer="0" w:header="0"/>
        </w:sectPr>
      </w:pPr>
    </w:p>
    <w:bookmarkStart w:id="33" w:name="page34"/>
    <w:bookmarkEnd w:id="33"/>
    <w:p>
      <w:pPr>
        <w:spacing w:after="0" w:line="262" w:lineRule="auto"/>
        <w:rPr>
          <w:sz w:val="20"/>
          <w:szCs w:val="20"/>
          <w:color w:val="auto"/>
        </w:rPr>
      </w:pPr>
      <w:r>
        <w:rPr>
          <w:rFonts w:ascii="Arial" w:cs="Arial" w:eastAsia="Arial" w:hAnsi="Arial"/>
          <w:sz w:val="18"/>
          <w:szCs w:val="18"/>
          <w:color w:val="auto"/>
        </w:rPr>
        <w:t>Assuming Mr. Kaul’s employment was terminated under any of the following circumstances as of December 31, 2017, the payments and benefits that would have been provided to Mr. Kaul are as follows: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Pradman Kaul – Payments upon 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Value of Accelerated</w:t>
            </w: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7"/>
              </w:rPr>
              <w:t>Medical</w:t>
            </w:r>
          </w:p>
        </w:tc>
        <w:tc>
          <w:tcPr>
            <w:tcW w:w="1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Equity and</w:t>
            </w: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Outplacement</w:t>
            </w:r>
          </w:p>
        </w:tc>
        <w:tc>
          <w:tcPr>
            <w:tcW w:w="0" w:type="dxa"/>
            <w:vAlign w:val="bottom"/>
          </w:tcPr>
          <w:p>
            <w:pPr>
              <w:spacing w:after="0"/>
              <w:rPr>
                <w:sz w:val="1"/>
                <w:szCs w:val="1"/>
                <w:color w:val="auto"/>
              </w:rPr>
            </w:pPr>
          </w:p>
        </w:tc>
      </w:tr>
      <w:tr>
        <w:trPr>
          <w:trHeight w:val="68"/>
        </w:trPr>
        <w:tc>
          <w:tcPr>
            <w:tcW w:w="29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0" w:type="dxa"/>
            <w:vAlign w:val="bottom"/>
            <w:gridSpan w:val="2"/>
            <w:vMerge w:val="restart"/>
          </w:tcPr>
          <w:p>
            <w:pPr>
              <w:ind w:left="40"/>
              <w:spacing w:after="0" w:line="149" w:lineRule="exact"/>
              <w:rPr>
                <w:sz w:val="20"/>
                <w:szCs w:val="20"/>
                <w:color w:val="auto"/>
              </w:rPr>
            </w:pPr>
            <w:r>
              <w:rPr>
                <w:rFonts w:ascii="Arial" w:cs="Arial" w:eastAsia="Arial" w:hAnsi="Arial"/>
                <w:sz w:val="14"/>
                <w:szCs w:val="14"/>
                <w:b w:val="1"/>
                <w:bCs w:val="1"/>
                <w:color w:val="auto"/>
              </w:rPr>
              <w:t>Cash Severance ($)</w:t>
            </w:r>
          </w:p>
        </w:tc>
        <w:tc>
          <w:tcPr>
            <w:tcW w:w="1380" w:type="dxa"/>
            <w:vAlign w:val="bottom"/>
            <w:gridSpan w:val="2"/>
            <w:vMerge w:val="restart"/>
          </w:tcPr>
          <w:p>
            <w:pPr>
              <w:ind w:left="420"/>
              <w:spacing w:after="0" w:line="149" w:lineRule="exact"/>
              <w:rPr>
                <w:sz w:val="20"/>
                <w:szCs w:val="20"/>
                <w:color w:val="auto"/>
              </w:rPr>
            </w:pPr>
            <w:r>
              <w:rPr>
                <w:rFonts w:ascii="Arial" w:cs="Arial" w:eastAsia="Arial" w:hAnsi="Arial"/>
                <w:sz w:val="14"/>
                <w:szCs w:val="14"/>
                <w:b w:val="1"/>
                <w:bCs w:val="1"/>
                <w:color w:val="auto"/>
              </w:rPr>
              <w:t>Bonus</w:t>
            </w:r>
          </w:p>
        </w:tc>
        <w:tc>
          <w:tcPr>
            <w:tcW w:w="1360" w:type="dxa"/>
            <w:vAlign w:val="bottom"/>
            <w:gridSpan w:val="2"/>
            <w:vMerge w:val="continue"/>
          </w:tcPr>
          <w:p>
            <w:pPr>
              <w:spacing w:after="0"/>
              <w:rPr>
                <w:sz w:val="5"/>
                <w:szCs w:val="5"/>
                <w:color w:val="auto"/>
              </w:rPr>
            </w:pPr>
          </w:p>
        </w:tc>
        <w:tc>
          <w:tcPr>
            <w:tcW w:w="1580" w:type="dxa"/>
            <w:vAlign w:val="bottom"/>
            <w:gridSpan w:val="2"/>
            <w:vMerge w:val="restart"/>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Performance Awards</w:t>
            </w:r>
          </w:p>
        </w:tc>
        <w:tc>
          <w:tcPr>
            <w:tcW w:w="1360" w:type="dxa"/>
            <w:vAlign w:val="bottom"/>
            <w:gridSpan w:val="2"/>
            <w:vMerge w:val="restart"/>
          </w:tcPr>
          <w:p>
            <w:pPr>
              <w:ind w:left="60"/>
              <w:spacing w:after="0" w:line="149" w:lineRule="exact"/>
              <w:rPr>
                <w:sz w:val="20"/>
                <w:szCs w:val="20"/>
                <w:color w:val="auto"/>
              </w:rPr>
            </w:pPr>
            <w:r>
              <w:rPr>
                <w:rFonts w:ascii="Arial" w:cs="Arial" w:eastAsia="Arial" w:hAnsi="Arial"/>
                <w:sz w:val="14"/>
                <w:szCs w:val="14"/>
                <w:b w:val="1"/>
                <w:bCs w:val="1"/>
                <w:color w:val="auto"/>
              </w:rPr>
              <w:t>Accrued Vacation</w:t>
            </w:r>
          </w:p>
        </w:tc>
        <w:tc>
          <w:tcPr>
            <w:tcW w:w="12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3100" w:type="dxa"/>
            <w:vAlign w:val="bottom"/>
            <w:gridSpan w:val="2"/>
            <w:vMerge w:val="restart"/>
          </w:tcPr>
          <w:p>
            <w:pPr>
              <w:ind w:left="1060"/>
              <w:spacing w:after="0" w:line="149" w:lineRule="exact"/>
              <w:rPr>
                <w:sz w:val="20"/>
                <w:szCs w:val="20"/>
                <w:color w:val="auto"/>
              </w:rPr>
            </w:pPr>
            <w:r>
              <w:rPr>
                <w:rFonts w:ascii="Arial" w:cs="Arial" w:eastAsia="Arial" w:hAnsi="Arial"/>
                <w:sz w:val="14"/>
                <w:szCs w:val="14"/>
                <w:b w:val="1"/>
                <w:bCs w:val="1"/>
                <w:color w:val="auto"/>
              </w:rPr>
              <w:t>Circumstance</w:t>
            </w:r>
          </w:p>
        </w:tc>
        <w:tc>
          <w:tcPr>
            <w:tcW w:w="1400" w:type="dxa"/>
            <w:vAlign w:val="bottom"/>
            <w:gridSpan w:val="2"/>
            <w:vMerge w:val="continue"/>
          </w:tcPr>
          <w:p>
            <w:pPr>
              <w:spacing w:after="0"/>
              <w:rPr>
                <w:sz w:val="7"/>
                <w:szCs w:val="7"/>
                <w:color w:val="auto"/>
              </w:rPr>
            </w:pPr>
          </w:p>
        </w:tc>
        <w:tc>
          <w:tcPr>
            <w:tcW w:w="1380" w:type="dxa"/>
            <w:vAlign w:val="bottom"/>
            <w:gridSpan w:val="2"/>
            <w:vMerge w:val="continue"/>
          </w:tcPr>
          <w:p>
            <w:pPr>
              <w:spacing w:after="0"/>
              <w:rPr>
                <w:sz w:val="7"/>
                <w:szCs w:val="7"/>
                <w:color w:val="auto"/>
              </w:rPr>
            </w:pPr>
          </w:p>
        </w:tc>
        <w:tc>
          <w:tcPr>
            <w:tcW w:w="1360" w:type="dxa"/>
            <w:vAlign w:val="bottom"/>
            <w:gridSpan w:val="2"/>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Continuation</w:t>
            </w:r>
          </w:p>
        </w:tc>
        <w:tc>
          <w:tcPr>
            <w:tcW w:w="1580" w:type="dxa"/>
            <w:vAlign w:val="bottom"/>
            <w:gridSpan w:val="2"/>
            <w:vMerge w:val="continue"/>
          </w:tcPr>
          <w:p>
            <w:pPr>
              <w:spacing w:after="0"/>
              <w:rPr>
                <w:sz w:val="7"/>
                <w:szCs w:val="7"/>
                <w:color w:val="auto"/>
              </w:rPr>
            </w:pPr>
          </w:p>
        </w:tc>
        <w:tc>
          <w:tcPr>
            <w:tcW w:w="1360" w:type="dxa"/>
            <w:vAlign w:val="bottom"/>
            <w:gridSpan w:val="2"/>
            <w:vMerge w:val="continue"/>
          </w:tcPr>
          <w:p>
            <w:pPr>
              <w:spacing w:after="0"/>
              <w:rPr>
                <w:sz w:val="7"/>
                <w:szCs w:val="7"/>
                <w:color w:val="auto"/>
              </w:rPr>
            </w:pPr>
          </w:p>
        </w:tc>
        <w:tc>
          <w:tcPr>
            <w:tcW w:w="124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6"/>
              </w:rPr>
              <w:t>Benefits</w:t>
            </w:r>
          </w:p>
        </w:tc>
        <w:tc>
          <w:tcPr>
            <w:tcW w:w="0" w:type="dxa"/>
            <w:vAlign w:val="bottom"/>
          </w:tcPr>
          <w:p>
            <w:pPr>
              <w:spacing w:after="0"/>
              <w:rPr>
                <w:sz w:val="1"/>
                <w:szCs w:val="1"/>
                <w:color w:val="auto"/>
              </w:rPr>
            </w:pPr>
          </w:p>
        </w:tc>
      </w:tr>
      <w:tr>
        <w:trPr>
          <w:trHeight w:val="68"/>
        </w:trPr>
        <w:tc>
          <w:tcPr>
            <w:tcW w:w="3100" w:type="dxa"/>
            <w:vAlign w:val="bottom"/>
            <w:gridSpan w:val="2"/>
            <w:vMerge w:val="continue"/>
          </w:tcPr>
          <w:p>
            <w:pPr>
              <w:spacing w:after="0"/>
              <w:rPr>
                <w:sz w:val="5"/>
                <w:szCs w:val="5"/>
                <w:color w:val="auto"/>
              </w:rPr>
            </w:pPr>
          </w:p>
        </w:tc>
        <w:tc>
          <w:tcPr>
            <w:tcW w:w="1280" w:type="dxa"/>
            <w:vAlign w:val="bottom"/>
            <w:vMerge w:val="restart"/>
          </w:tcPr>
          <w:p>
            <w:pPr>
              <w:jc w:val="right"/>
              <w:ind w:right="488"/>
              <w:spacing w:after="0" w:line="149" w:lineRule="exact"/>
              <w:rPr>
                <w:sz w:val="20"/>
                <w:szCs w:val="20"/>
                <w:color w:val="auto"/>
              </w:rPr>
            </w:pPr>
            <w:r>
              <w:rPr>
                <w:rFonts w:ascii="Arial" w:cs="Arial" w:eastAsia="Arial" w:hAnsi="Arial"/>
                <w:sz w:val="14"/>
                <w:szCs w:val="14"/>
                <w:b w:val="1"/>
                <w:bCs w:val="1"/>
                <w:color w:val="auto"/>
              </w:rPr>
              <w:t>(1)</w:t>
            </w:r>
          </w:p>
        </w:tc>
        <w:tc>
          <w:tcPr>
            <w:tcW w:w="120" w:type="dxa"/>
            <w:vAlign w:val="bottom"/>
          </w:tcPr>
          <w:p>
            <w:pPr>
              <w:spacing w:after="0"/>
              <w:rPr>
                <w:sz w:val="5"/>
                <w:szCs w:val="5"/>
                <w:color w:val="auto"/>
              </w:rPr>
            </w:pPr>
          </w:p>
        </w:tc>
        <w:tc>
          <w:tcPr>
            <w:tcW w:w="1260" w:type="dxa"/>
            <w:vAlign w:val="bottom"/>
            <w:vMerge w:val="restart"/>
          </w:tcPr>
          <w:p>
            <w:pPr>
              <w:jc w:val="right"/>
              <w:ind w:right="368"/>
              <w:spacing w:after="0" w:line="149" w:lineRule="exact"/>
              <w:rPr>
                <w:sz w:val="20"/>
                <w:szCs w:val="20"/>
                <w:color w:val="auto"/>
              </w:rPr>
            </w:pPr>
            <w:r>
              <w:rPr>
                <w:rFonts w:ascii="Arial" w:cs="Arial" w:eastAsia="Arial" w:hAnsi="Arial"/>
                <w:sz w:val="14"/>
                <w:szCs w:val="14"/>
                <w:b w:val="1"/>
                <w:bCs w:val="1"/>
                <w:color w:val="auto"/>
              </w:rPr>
              <w:t>($) (2)</w:t>
            </w:r>
          </w:p>
        </w:tc>
        <w:tc>
          <w:tcPr>
            <w:tcW w:w="120" w:type="dxa"/>
            <w:vAlign w:val="bottom"/>
          </w:tcPr>
          <w:p>
            <w:pPr>
              <w:spacing w:after="0"/>
              <w:rPr>
                <w:sz w:val="5"/>
                <w:szCs w:val="5"/>
                <w:color w:val="auto"/>
              </w:rPr>
            </w:pPr>
          </w:p>
        </w:tc>
        <w:tc>
          <w:tcPr>
            <w:tcW w:w="1360" w:type="dxa"/>
            <w:vAlign w:val="bottom"/>
            <w:gridSpan w:val="2"/>
            <w:vMerge w:val="continue"/>
          </w:tcPr>
          <w:p>
            <w:pPr>
              <w:spacing w:after="0"/>
              <w:rPr>
                <w:sz w:val="5"/>
                <w:szCs w:val="5"/>
                <w:color w:val="auto"/>
              </w:rPr>
            </w:pPr>
          </w:p>
        </w:tc>
        <w:tc>
          <w:tcPr>
            <w:tcW w:w="1580" w:type="dxa"/>
            <w:vAlign w:val="bottom"/>
            <w:gridSpan w:val="2"/>
            <w:vMerge w:val="restart"/>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and Nonqualified Plan</w:t>
            </w:r>
          </w:p>
        </w:tc>
        <w:tc>
          <w:tcPr>
            <w:tcW w:w="1240" w:type="dxa"/>
            <w:vAlign w:val="bottom"/>
            <w:vMerge w:val="restart"/>
          </w:tcPr>
          <w:p>
            <w:pPr>
              <w:jc w:val="right"/>
              <w:ind w:right="448"/>
              <w:spacing w:after="0" w:line="149"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5"/>
                <w:szCs w:val="5"/>
                <w:color w:val="auto"/>
              </w:rPr>
            </w:pPr>
          </w:p>
        </w:tc>
        <w:tc>
          <w:tcPr>
            <w:tcW w:w="12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9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2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9"/>
              </w:rPr>
              <w:t>($) (3)</w:t>
            </w:r>
          </w:p>
        </w:tc>
        <w:tc>
          <w:tcPr>
            <w:tcW w:w="100" w:type="dxa"/>
            <w:vAlign w:val="bottom"/>
          </w:tcPr>
          <w:p>
            <w:pPr>
              <w:spacing w:after="0"/>
              <w:rPr>
                <w:sz w:val="7"/>
                <w:szCs w:val="7"/>
                <w:color w:val="auto"/>
              </w:rPr>
            </w:pPr>
          </w:p>
        </w:tc>
        <w:tc>
          <w:tcPr>
            <w:tcW w:w="1580" w:type="dxa"/>
            <w:vAlign w:val="bottom"/>
            <w:gridSpan w:val="2"/>
            <w:vMerge w:val="continue"/>
          </w:tcPr>
          <w:p>
            <w:pPr>
              <w:spacing w:after="0"/>
              <w:rPr>
                <w:sz w:val="7"/>
                <w:szCs w:val="7"/>
                <w:color w:val="auto"/>
              </w:rPr>
            </w:pPr>
          </w:p>
        </w:tc>
        <w:tc>
          <w:tcPr>
            <w:tcW w:w="12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2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w:t>
            </w:r>
          </w:p>
        </w:tc>
        <w:tc>
          <w:tcPr>
            <w:tcW w:w="0" w:type="dxa"/>
            <w:vAlign w:val="bottom"/>
          </w:tcPr>
          <w:p>
            <w:pPr>
              <w:spacing w:after="0"/>
              <w:rPr>
                <w:sz w:val="1"/>
                <w:szCs w:val="1"/>
                <w:color w:val="auto"/>
              </w:rPr>
            </w:pPr>
          </w:p>
        </w:tc>
      </w:tr>
      <w:tr>
        <w:trPr>
          <w:trHeight w:val="105"/>
        </w:trPr>
        <w:tc>
          <w:tcPr>
            <w:tcW w:w="2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580" w:type="dxa"/>
            <w:vAlign w:val="bottom"/>
            <w:gridSpan w:val="2"/>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Accounts</w:t>
            </w:r>
          </w:p>
        </w:tc>
        <w:tc>
          <w:tcPr>
            <w:tcW w:w="1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3"/>
        </w:trPr>
        <w:tc>
          <w:tcPr>
            <w:tcW w:w="2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80" w:type="dxa"/>
            <w:vAlign w:val="bottom"/>
            <w:gridSpan w:val="2"/>
            <w:vMerge w:val="continue"/>
          </w:tcPr>
          <w:p>
            <w:pPr>
              <w:spacing w:after="0"/>
              <w:rPr>
                <w:sz w:val="3"/>
                <w:szCs w:val="3"/>
                <w:color w:val="auto"/>
              </w:rPr>
            </w:pPr>
          </w:p>
        </w:tc>
        <w:tc>
          <w:tcPr>
            <w:tcW w:w="1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2"/>
        </w:trPr>
        <w:tc>
          <w:tcPr>
            <w:tcW w:w="29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31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For cause</w:t>
            </w: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696,000</w:t>
            </w:r>
          </w:p>
        </w:tc>
        <w:tc>
          <w:tcPr>
            <w:tcW w:w="12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69,109</w:t>
            </w:r>
          </w:p>
        </w:tc>
        <w:tc>
          <w:tcPr>
            <w:tcW w:w="12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3100" w:type="dxa"/>
            <w:vAlign w:val="bottom"/>
            <w:gridSpan w:val="2"/>
          </w:tcPr>
          <w:p>
            <w:pPr>
              <w:ind w:left="40"/>
              <w:spacing w:after="0" w:line="157" w:lineRule="exact"/>
              <w:rPr>
                <w:sz w:val="20"/>
                <w:szCs w:val="20"/>
                <w:color w:val="auto"/>
              </w:rPr>
            </w:pPr>
            <w:r>
              <w:rPr>
                <w:rFonts w:ascii="Arial" w:cs="Arial" w:eastAsia="Arial" w:hAnsi="Arial"/>
                <w:sz w:val="14"/>
                <w:szCs w:val="14"/>
                <w:color w:val="auto"/>
                <w:w w:val="98"/>
              </w:rPr>
              <w:t>Without cause, for good reason or non-renewal of</w:t>
            </w: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100" w:type="dxa"/>
            <w:vAlign w:val="bottom"/>
            <w:gridSpan w:val="2"/>
          </w:tcPr>
          <w:p>
            <w:pPr>
              <w:ind w:left="40"/>
              <w:spacing w:after="0"/>
              <w:rPr>
                <w:sz w:val="20"/>
                <w:szCs w:val="20"/>
                <w:color w:val="auto"/>
              </w:rPr>
            </w:pPr>
            <w:r>
              <w:rPr>
                <w:rFonts w:ascii="Arial" w:cs="Arial" w:eastAsia="Arial" w:hAnsi="Arial"/>
                <w:sz w:val="14"/>
                <w:szCs w:val="14"/>
                <w:color w:val="auto"/>
              </w:rPr>
              <w:t>agreement by us</w:t>
            </w:r>
          </w:p>
        </w:tc>
        <w:tc>
          <w:tcPr>
            <w:tcW w:w="1280" w:type="dxa"/>
            <w:vAlign w:val="bottom"/>
          </w:tcPr>
          <w:p>
            <w:pPr>
              <w:jc w:val="right"/>
              <w:ind w:right="68"/>
              <w:spacing w:after="0"/>
              <w:rPr>
                <w:sz w:val="20"/>
                <w:szCs w:val="20"/>
                <w:color w:val="auto"/>
              </w:rPr>
            </w:pPr>
            <w:r>
              <w:rPr>
                <w:rFonts w:ascii="Arial" w:cs="Arial" w:eastAsia="Arial" w:hAnsi="Arial"/>
                <w:sz w:val="14"/>
                <w:szCs w:val="14"/>
                <w:color w:val="auto"/>
              </w:rPr>
              <w:t>3,840,000 (1)</w:t>
            </w:r>
          </w:p>
        </w:tc>
        <w:tc>
          <w:tcPr>
            <w:tcW w:w="120" w:type="dxa"/>
            <w:vAlign w:val="bottom"/>
          </w:tcPr>
          <w:p>
            <w:pPr>
              <w:spacing w:after="0"/>
              <w:rPr>
                <w:sz w:val="16"/>
                <w:szCs w:val="16"/>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696,000</w:t>
            </w:r>
          </w:p>
        </w:tc>
        <w:tc>
          <w:tcPr>
            <w:tcW w:w="120" w:type="dxa"/>
            <w:vAlign w:val="bottom"/>
          </w:tcPr>
          <w:p>
            <w:pPr>
              <w:spacing w:after="0"/>
              <w:rPr>
                <w:sz w:val="16"/>
                <w:szCs w:val="16"/>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22,004 (1)</w:t>
            </w:r>
          </w:p>
        </w:tc>
        <w:tc>
          <w:tcPr>
            <w:tcW w:w="100" w:type="dxa"/>
            <w:vAlign w:val="bottom"/>
          </w:tcPr>
          <w:p>
            <w:pPr>
              <w:spacing w:after="0"/>
              <w:rPr>
                <w:sz w:val="16"/>
                <w:szCs w:val="16"/>
                <w:color w:val="auto"/>
              </w:rPr>
            </w:pP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1,276,800</w:t>
            </w:r>
          </w:p>
        </w:tc>
        <w:tc>
          <w:tcPr>
            <w:tcW w:w="100" w:type="dxa"/>
            <w:vAlign w:val="bottom"/>
          </w:tcPr>
          <w:p>
            <w:pPr>
              <w:spacing w:after="0"/>
              <w:rPr>
                <w:sz w:val="16"/>
                <w:szCs w:val="16"/>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69,109</w:t>
            </w:r>
          </w:p>
        </w:tc>
        <w:tc>
          <w:tcPr>
            <w:tcW w:w="120" w:type="dxa"/>
            <w:vAlign w:val="bottom"/>
          </w:tcPr>
          <w:p>
            <w:pPr>
              <w:spacing w:after="0"/>
              <w:rPr>
                <w:sz w:val="16"/>
                <w:szCs w:val="16"/>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16,000 (1)</w:t>
            </w:r>
          </w:p>
        </w:tc>
        <w:tc>
          <w:tcPr>
            <w:tcW w:w="0" w:type="dxa"/>
            <w:vAlign w:val="bottom"/>
          </w:tcPr>
          <w:p>
            <w:pPr>
              <w:spacing w:after="0"/>
              <w:rPr>
                <w:sz w:val="1"/>
                <w:szCs w:val="1"/>
                <w:color w:val="auto"/>
              </w:rPr>
            </w:pPr>
          </w:p>
        </w:tc>
      </w:tr>
      <w:tr>
        <w:trPr>
          <w:trHeight w:val="163"/>
        </w:trPr>
        <w:tc>
          <w:tcPr>
            <w:tcW w:w="31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w w:val="97"/>
              </w:rPr>
              <w:t>Without good reason or non-renewal of agreement</w:t>
            </w:r>
          </w:p>
        </w:tc>
        <w:tc>
          <w:tcPr>
            <w:tcW w:w="1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1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by executive</w:t>
            </w: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696,000</w:t>
            </w:r>
          </w:p>
        </w:tc>
        <w:tc>
          <w:tcPr>
            <w:tcW w:w="12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69,109</w:t>
            </w: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8"/>
        </w:trPr>
        <w:tc>
          <w:tcPr>
            <w:tcW w:w="3100" w:type="dxa"/>
            <w:vAlign w:val="bottom"/>
            <w:gridSpan w:val="2"/>
          </w:tcPr>
          <w:p>
            <w:pPr>
              <w:ind w:left="40"/>
              <w:spacing w:after="0"/>
              <w:rPr>
                <w:sz w:val="20"/>
                <w:szCs w:val="20"/>
                <w:color w:val="auto"/>
              </w:rPr>
            </w:pPr>
            <w:r>
              <w:rPr>
                <w:rFonts w:ascii="Arial" w:cs="Arial" w:eastAsia="Arial" w:hAnsi="Arial"/>
                <w:sz w:val="14"/>
                <w:szCs w:val="14"/>
                <w:color w:val="auto"/>
              </w:rPr>
              <w:t>Disability or death</w:t>
            </w:r>
          </w:p>
        </w:tc>
        <w:tc>
          <w:tcPr>
            <w:tcW w:w="14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696,000</w:t>
            </w:r>
          </w:p>
        </w:tc>
        <w:tc>
          <w:tcPr>
            <w:tcW w:w="120" w:type="dxa"/>
            <w:vAlign w:val="bottom"/>
          </w:tcPr>
          <w:p>
            <w:pPr>
              <w:spacing w:after="0"/>
              <w:rPr>
                <w:sz w:val="22"/>
                <w:szCs w:val="22"/>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5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69,109</w:t>
            </w:r>
          </w:p>
        </w:tc>
        <w:tc>
          <w:tcPr>
            <w:tcW w:w="120" w:type="dxa"/>
            <w:vAlign w:val="bottom"/>
          </w:tcPr>
          <w:p>
            <w:pPr>
              <w:spacing w:after="0"/>
              <w:rPr>
                <w:sz w:val="22"/>
                <w:szCs w:val="22"/>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720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30" w:lineRule="exact"/>
        <w:rPr>
          <w:sz w:val="20"/>
          <w:szCs w:val="20"/>
          <w:color w:val="auto"/>
        </w:rPr>
      </w:pPr>
    </w:p>
    <w:p>
      <w:pPr>
        <w:ind w:left="340" w:hanging="332"/>
        <w:spacing w:after="0"/>
        <w:tabs>
          <w:tab w:leader="none" w:pos="3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These amounts represent 80% of the Severance Payments as defined above.</w:t>
      </w:r>
    </w:p>
    <w:p>
      <w:pPr>
        <w:spacing w:after="0" w:line="13" w:lineRule="exact"/>
        <w:rPr>
          <w:rFonts w:ascii="Arial" w:cs="Arial" w:eastAsia="Arial" w:hAnsi="Arial"/>
          <w:sz w:val="14"/>
          <w:szCs w:val="14"/>
          <w:color w:val="auto"/>
        </w:rPr>
      </w:pPr>
    </w:p>
    <w:p>
      <w:pPr>
        <w:ind w:left="340" w:hanging="332"/>
        <w:spacing w:after="0"/>
        <w:tabs>
          <w:tab w:leader="none" w:pos="3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This amount represents Mr. Kaul’s cash incentive payment for 2017 under our Executive Officer Bonus Incentive Plan.</w:t>
      </w: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02" w:lineRule="exact"/>
        <w:rPr>
          <w:sz w:val="20"/>
          <w:szCs w:val="20"/>
          <w:color w:val="auto"/>
        </w:rPr>
      </w:pPr>
    </w:p>
    <w:p>
      <w:pPr>
        <w:spacing w:after="0" w:line="324" w:lineRule="auto"/>
        <w:rPr>
          <w:sz w:val="20"/>
          <w:szCs w:val="20"/>
          <w:color w:val="auto"/>
        </w:rPr>
      </w:pPr>
      <w:r>
        <w:rPr>
          <w:rFonts w:ascii="Arial" w:cs="Arial" w:eastAsia="Arial" w:hAnsi="Arial"/>
          <w:sz w:val="16"/>
          <w:szCs w:val="16"/>
          <w:color w:val="auto"/>
        </w:rPr>
        <w:t>The following table sets forth information regarding outstanding exercisable stock options and vested restricted stock unit awards and the Class A Shares reserved for future issuance under our equity compensation plans, including the Stock Incentive Plans and Director Plans, as of December 31, 2017:</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00" w:type="dxa"/>
            <w:vAlign w:val="bottom"/>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6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4"/>
              </w:rPr>
              <w:t>Number of</w:t>
            </w:r>
          </w:p>
        </w:tc>
        <w:tc>
          <w:tcPr>
            <w:tcW w:w="380" w:type="dxa"/>
            <w:vAlign w:val="bottom"/>
          </w:tcPr>
          <w:p>
            <w:pPr>
              <w:spacing w:after="0"/>
              <w:rPr>
                <w:sz w:val="12"/>
                <w:szCs w:val="12"/>
                <w:color w:val="auto"/>
              </w:rPr>
            </w:pPr>
          </w:p>
        </w:tc>
        <w:tc>
          <w:tcPr>
            <w:tcW w:w="1840" w:type="dxa"/>
            <w:vAlign w:val="bottom"/>
            <w:gridSpan w:val="2"/>
            <w:vMerge w:val="restart"/>
          </w:tcPr>
          <w:p>
            <w:pPr>
              <w:jc w:val="center"/>
              <w:ind w:right="540"/>
              <w:spacing w:after="0"/>
              <w:rPr>
                <w:sz w:val="20"/>
                <w:szCs w:val="20"/>
                <w:color w:val="auto"/>
              </w:rPr>
            </w:pPr>
            <w:r>
              <w:rPr>
                <w:rFonts w:ascii="Arial" w:cs="Arial" w:eastAsia="Arial" w:hAnsi="Arial"/>
                <w:sz w:val="14"/>
                <w:szCs w:val="14"/>
                <w:b w:val="1"/>
                <w:bCs w:val="1"/>
                <w:color w:val="auto"/>
                <w:w w:val="91"/>
              </w:rPr>
              <w:t>Weighted</w:t>
            </w:r>
          </w:p>
        </w:tc>
        <w:tc>
          <w:tcPr>
            <w:tcW w:w="2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Securities</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2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840" w:type="dxa"/>
            <w:vAlign w:val="bottom"/>
            <w:gridSpan w:val="2"/>
            <w:vMerge w:val="continue"/>
          </w:tcPr>
          <w:p>
            <w:pPr>
              <w:spacing w:after="0"/>
              <w:rPr>
                <w:sz w:val="12"/>
                <w:szCs w:val="12"/>
                <w:color w:val="auto"/>
              </w:rPr>
            </w:pPr>
          </w:p>
        </w:tc>
        <w:tc>
          <w:tcPr>
            <w:tcW w:w="2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Securities to</w:t>
            </w:r>
          </w:p>
        </w:tc>
        <w:tc>
          <w:tcPr>
            <w:tcW w:w="380" w:type="dxa"/>
            <w:vAlign w:val="bottom"/>
          </w:tcPr>
          <w:p>
            <w:pPr>
              <w:spacing w:after="0"/>
              <w:rPr>
                <w:sz w:val="12"/>
                <w:szCs w:val="12"/>
                <w:color w:val="auto"/>
              </w:rPr>
            </w:pPr>
          </w:p>
        </w:tc>
        <w:tc>
          <w:tcPr>
            <w:tcW w:w="184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0"/>
              </w:rPr>
              <w:t>Average</w:t>
            </w:r>
          </w:p>
        </w:tc>
        <w:tc>
          <w:tcPr>
            <w:tcW w:w="2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Available for</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be Issued</w:t>
            </w:r>
          </w:p>
        </w:tc>
        <w:tc>
          <w:tcPr>
            <w:tcW w:w="380" w:type="dxa"/>
            <w:vAlign w:val="bottom"/>
          </w:tcPr>
          <w:p>
            <w:pPr>
              <w:spacing w:after="0"/>
              <w:rPr>
                <w:sz w:val="12"/>
                <w:szCs w:val="12"/>
                <w:color w:val="auto"/>
              </w:rPr>
            </w:pPr>
          </w:p>
        </w:tc>
        <w:tc>
          <w:tcPr>
            <w:tcW w:w="184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0"/>
              </w:rPr>
              <w:t>Exercise</w:t>
            </w:r>
          </w:p>
        </w:tc>
        <w:tc>
          <w:tcPr>
            <w:tcW w:w="2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Future Issuance</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Upon</w:t>
            </w:r>
          </w:p>
        </w:tc>
        <w:tc>
          <w:tcPr>
            <w:tcW w:w="380" w:type="dxa"/>
            <w:vAlign w:val="bottom"/>
          </w:tcPr>
          <w:p>
            <w:pPr>
              <w:spacing w:after="0"/>
              <w:rPr>
                <w:sz w:val="12"/>
                <w:szCs w:val="12"/>
                <w:color w:val="auto"/>
              </w:rPr>
            </w:pPr>
          </w:p>
        </w:tc>
        <w:tc>
          <w:tcPr>
            <w:tcW w:w="184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9"/>
              </w:rPr>
              <w:t>Price of</w:t>
            </w:r>
          </w:p>
        </w:tc>
        <w:tc>
          <w:tcPr>
            <w:tcW w:w="2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Under Equity</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Exercise of</w:t>
            </w:r>
          </w:p>
        </w:tc>
        <w:tc>
          <w:tcPr>
            <w:tcW w:w="380" w:type="dxa"/>
            <w:vAlign w:val="bottom"/>
          </w:tcPr>
          <w:p>
            <w:pPr>
              <w:spacing w:after="0"/>
              <w:rPr>
                <w:sz w:val="12"/>
                <w:szCs w:val="12"/>
                <w:color w:val="auto"/>
              </w:rPr>
            </w:pPr>
          </w:p>
        </w:tc>
        <w:tc>
          <w:tcPr>
            <w:tcW w:w="184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4"/>
              </w:rPr>
              <w:t>Outstanding</w:t>
            </w:r>
          </w:p>
        </w:tc>
        <w:tc>
          <w:tcPr>
            <w:tcW w:w="2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Outstanding</w:t>
            </w:r>
          </w:p>
        </w:tc>
        <w:tc>
          <w:tcPr>
            <w:tcW w:w="380" w:type="dxa"/>
            <w:vAlign w:val="bottom"/>
          </w:tcPr>
          <w:p>
            <w:pPr>
              <w:spacing w:after="0"/>
              <w:rPr>
                <w:sz w:val="12"/>
                <w:szCs w:val="12"/>
                <w:color w:val="auto"/>
              </w:rPr>
            </w:pPr>
          </w:p>
        </w:tc>
        <w:tc>
          <w:tcPr>
            <w:tcW w:w="184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5"/>
              </w:rPr>
              <w:t>Options,</w:t>
            </w:r>
          </w:p>
        </w:tc>
        <w:tc>
          <w:tcPr>
            <w:tcW w:w="2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Plans (excluding</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Options, Warrants</w:t>
            </w:r>
          </w:p>
        </w:tc>
        <w:tc>
          <w:tcPr>
            <w:tcW w:w="380" w:type="dxa"/>
            <w:vAlign w:val="bottom"/>
          </w:tcPr>
          <w:p>
            <w:pPr>
              <w:spacing w:after="0"/>
              <w:rPr>
                <w:sz w:val="12"/>
                <w:szCs w:val="12"/>
                <w:color w:val="auto"/>
              </w:rPr>
            </w:pPr>
          </w:p>
        </w:tc>
        <w:tc>
          <w:tcPr>
            <w:tcW w:w="184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5"/>
              </w:rPr>
              <w:t>Warrants</w:t>
            </w:r>
          </w:p>
        </w:tc>
        <w:tc>
          <w:tcPr>
            <w:tcW w:w="2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securities reflected</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0" w:type="dxa"/>
            <w:vAlign w:val="bottom"/>
          </w:tcPr>
          <w:p>
            <w:pPr>
              <w:spacing w:after="0"/>
              <w:rPr>
                <w:sz w:val="12"/>
                <w:szCs w:val="12"/>
                <w:color w:val="auto"/>
              </w:rPr>
            </w:pPr>
          </w:p>
        </w:tc>
        <w:tc>
          <w:tcPr>
            <w:tcW w:w="4460" w:type="dxa"/>
            <w:vAlign w:val="bottom"/>
            <w:vMerge w:val="restart"/>
          </w:tcPr>
          <w:p>
            <w:pPr>
              <w:ind w:left="1780"/>
              <w:spacing w:after="0"/>
              <w:rPr>
                <w:sz w:val="20"/>
                <w:szCs w:val="20"/>
                <w:color w:val="auto"/>
              </w:rPr>
            </w:pPr>
            <w:r>
              <w:rPr>
                <w:rFonts w:ascii="Arial" w:cs="Arial" w:eastAsia="Arial" w:hAnsi="Arial"/>
                <w:sz w:val="14"/>
                <w:szCs w:val="14"/>
                <w:b w:val="1"/>
                <w:bCs w:val="1"/>
                <w:color w:val="auto"/>
              </w:rPr>
              <w:t>Plan Category</w:t>
            </w:r>
          </w:p>
        </w:tc>
        <w:tc>
          <w:tcPr>
            <w:tcW w:w="120" w:type="dxa"/>
            <w:vAlign w:val="bottom"/>
            <w:vMerge w:val="restart"/>
          </w:tcPr>
          <w:p>
            <w:pPr>
              <w:spacing w:after="0"/>
              <w:rPr>
                <w:sz w:val="12"/>
                <w:szCs w:val="12"/>
                <w:color w:val="auto"/>
              </w:rPr>
            </w:pPr>
          </w:p>
        </w:tc>
        <w:tc>
          <w:tcPr>
            <w:tcW w:w="22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and Rights</w:t>
            </w:r>
          </w:p>
        </w:tc>
        <w:tc>
          <w:tcPr>
            <w:tcW w:w="380" w:type="dxa"/>
            <w:vAlign w:val="bottom"/>
          </w:tcPr>
          <w:p>
            <w:pPr>
              <w:spacing w:after="0"/>
              <w:rPr>
                <w:sz w:val="12"/>
                <w:szCs w:val="12"/>
                <w:color w:val="auto"/>
              </w:rPr>
            </w:pPr>
          </w:p>
        </w:tc>
        <w:tc>
          <w:tcPr>
            <w:tcW w:w="184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1"/>
              </w:rPr>
              <w:t>and Rights</w:t>
            </w:r>
          </w:p>
        </w:tc>
        <w:tc>
          <w:tcPr>
            <w:tcW w:w="2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in column (a))</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60" w:type="dxa"/>
            <w:vAlign w:val="bottom"/>
          </w:tcPr>
          <w:p>
            <w:pPr>
              <w:spacing w:after="0"/>
              <w:rPr>
                <w:sz w:val="16"/>
                <w:szCs w:val="16"/>
                <w:color w:val="auto"/>
              </w:rPr>
            </w:pPr>
          </w:p>
        </w:tc>
        <w:tc>
          <w:tcPr>
            <w:tcW w:w="44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center"/>
              <w:ind w:right="328"/>
              <w:spacing w:after="0"/>
              <w:rPr>
                <w:sz w:val="20"/>
                <w:szCs w:val="20"/>
                <w:color w:val="auto"/>
              </w:rPr>
            </w:pPr>
            <w:r>
              <w:rPr>
                <w:rFonts w:ascii="Arial" w:cs="Arial" w:eastAsia="Arial" w:hAnsi="Arial"/>
                <w:sz w:val="14"/>
                <w:szCs w:val="14"/>
                <w:b w:val="1"/>
                <w:bCs w:val="1"/>
                <w:color w:val="auto"/>
                <w:w w:val="97"/>
              </w:rPr>
              <w:t>(b)(1)</w:t>
            </w:r>
          </w:p>
        </w:tc>
        <w:tc>
          <w:tcPr>
            <w:tcW w:w="100" w:type="dxa"/>
            <w:vAlign w:val="bottom"/>
            <w:tcBorders>
              <w:bottom w:val="single" w:sz="8" w:color="CCEEFF"/>
            </w:tcBorders>
          </w:tcPr>
          <w:p>
            <w:pPr>
              <w:spacing w:after="0"/>
              <w:rPr>
                <w:sz w:val="16"/>
                <w:szCs w:val="16"/>
                <w:color w:val="auto"/>
              </w:rPr>
            </w:pPr>
          </w:p>
        </w:tc>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(c) (2)</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160" w:type="dxa"/>
            <w:vAlign w:val="bottom"/>
          </w:tcPr>
          <w:p>
            <w:pPr>
              <w:spacing w:after="0"/>
              <w:rPr>
                <w:sz w:val="22"/>
                <w:szCs w:val="22"/>
                <w:color w:val="auto"/>
              </w:rPr>
            </w:pPr>
          </w:p>
        </w:tc>
        <w:tc>
          <w:tcPr>
            <w:tcW w:w="45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Equity compensation plans approved by shareholders</w:t>
            </w:r>
          </w:p>
        </w:tc>
        <w:tc>
          <w:tcPr>
            <w:tcW w:w="2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3,143,656</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36.98</w:t>
            </w:r>
          </w:p>
        </w:tc>
        <w:tc>
          <w:tcPr>
            <w:tcW w:w="100" w:type="dxa"/>
            <w:vAlign w:val="bottom"/>
            <w:shd w:val="clear" w:color="auto" w:fill="CCEEFF"/>
          </w:tcPr>
          <w:p>
            <w:pPr>
              <w:spacing w:after="0"/>
              <w:rPr>
                <w:sz w:val="22"/>
                <w:szCs w:val="22"/>
                <w:color w:val="auto"/>
              </w:rPr>
            </w:pPr>
          </w:p>
        </w:tc>
        <w:tc>
          <w:tcPr>
            <w:tcW w:w="2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8,140,060</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60" w:type="dxa"/>
            <w:vAlign w:val="bottom"/>
          </w:tcPr>
          <w:p>
            <w:pPr>
              <w:spacing w:after="0"/>
              <w:rPr>
                <w:sz w:val="22"/>
                <w:szCs w:val="22"/>
                <w:color w:val="auto"/>
              </w:rPr>
            </w:pPr>
          </w:p>
        </w:tc>
        <w:tc>
          <w:tcPr>
            <w:tcW w:w="4580" w:type="dxa"/>
            <w:vAlign w:val="bottom"/>
            <w:gridSpan w:val="2"/>
          </w:tcPr>
          <w:p>
            <w:pPr>
              <w:ind w:left="20"/>
              <w:spacing w:after="0"/>
              <w:rPr>
                <w:sz w:val="20"/>
                <w:szCs w:val="20"/>
                <w:color w:val="auto"/>
              </w:rPr>
            </w:pPr>
            <w:r>
              <w:rPr>
                <w:rFonts w:ascii="Arial" w:cs="Arial" w:eastAsia="Arial" w:hAnsi="Arial"/>
                <w:sz w:val="14"/>
                <w:szCs w:val="14"/>
                <w:color w:val="auto"/>
              </w:rPr>
              <w:t>Equity compensation plans not approved by shareholders</w:t>
            </w:r>
          </w:p>
        </w:tc>
        <w:tc>
          <w:tcPr>
            <w:tcW w:w="22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22"/>
                <w:szCs w:val="22"/>
                <w:color w:val="auto"/>
              </w:rPr>
            </w:pPr>
          </w:p>
        </w:tc>
        <w:tc>
          <w:tcPr>
            <w:tcW w:w="18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210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0" w:type="dxa"/>
            <w:vAlign w:val="bottom"/>
          </w:tcPr>
          <w:p>
            <w:pPr>
              <w:spacing w:after="0"/>
              <w:rPr>
                <w:sz w:val="21"/>
                <w:szCs w:val="21"/>
                <w:color w:val="auto"/>
              </w:rPr>
            </w:pPr>
          </w:p>
        </w:tc>
        <w:tc>
          <w:tcPr>
            <w:tcW w:w="45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21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3,143,656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74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36.98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1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8,140,060</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160" w:type="dxa"/>
            <w:vAlign w:val="bottom"/>
            <w:tcBorders>
              <w:bottom w:val="single" w:sz="8" w:color="9A9A9A"/>
            </w:tcBorders>
          </w:tcPr>
          <w:p>
            <w:pPr>
              <w:spacing w:after="0"/>
              <w:rPr>
                <w:sz w:val="8"/>
                <w:szCs w:val="8"/>
                <w:color w:val="auto"/>
              </w:rPr>
            </w:pPr>
          </w:p>
        </w:tc>
        <w:tc>
          <w:tcPr>
            <w:tcW w:w="446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1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17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1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123" w:lineRule="exact"/>
        <w:rPr>
          <w:sz w:val="20"/>
          <w:szCs w:val="20"/>
          <w:color w:val="auto"/>
        </w:rPr>
      </w:pPr>
    </w:p>
    <w:p>
      <w:pPr>
        <w:jc w:val="both"/>
        <w:ind w:left="340" w:right="20" w:hanging="332"/>
        <w:spacing w:after="0" w:line="247" w:lineRule="auto"/>
        <w:tabs>
          <w:tab w:leader="none" w:pos="3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calculation of the weighted-average exercise price of outstanding options, warrants and rights excludes options and restricted stock units that provide for the issuance of Class A Shares upon vesting and awards under our Employee Innovator Recognition Program because these awards do not require payment of an exercise price in order to obtain the underlying shares. There were no restricted stock units outstanding as of December 31, 2017.</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shares available for issuance under the 2008 Class B Chairman Stock Option Plan are not included.</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368" w:right="2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02"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Our Board of Directors has adopted a written policy for the review and approval of transactions involving EchoStar or our subsidiaries, on the one hand, and related parties, such as directors or executive officers and their immediate family members, and DISH and its subsidiaries (collectively, “DISH Network”), on the other hand. We distribute questionnaires to our officers and directors on a quarterly basis. Our General Counsel directs the appropriate review of all potential related-party transactions and schedules their presentation at meetings of the Audit Committee and the Board of Directors, as applicable. Both the Audit Committee and the Board of Directors must approve these transactions, with all interested parties abstaining from the vote. Once each calendar year, the Audit Committee and the Board of Directors undertake a review of all recurring potential related-party transactions and must approve the continuation of each such transaction, with all interested parties abstaining. In addition, transactions involving DISH Network also are subject to the approval of a committee of non-interlocking directors. Our Board of Directors, however, has delegated authority to approve certain transactions with DISH Network to non-interlocking management which reports such approvals to the Board of Directors.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 with DISH Network</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Following the Spin-off, we and DISH Network have operated as separate publicly-traded companies.</w:t>
      </w:r>
    </w:p>
    <w:p>
      <w:pPr>
        <w:spacing w:after="0" w:line="198"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On January 31, 2017, we and certain of our subsidiaries entered into a Share Exchange Agreement (the “Share Exchange Agreement”) with DISH and certain of its subsidiaries. Pursuant to the Share Exchange Agreement, on February 28, 2017, among other things, we and certain of our subsidiaries received the Preferred Tracking Stock in exchange for the equity interests of certain of our subsidiaries that held substantially all of our EchoStar Technologies businesses and certain other assets (the “Share Exchange”). On March 1, 2017, we and our subsidiary retired the Preferred Tracking Stock. Prior to the consummation of the Share Exchange, DISH Network owned the Preferred Tracking Stock which represented an aggregate 80% economic interest in the residential retail satellite broadband business of our Hughes segment. In addition, a substantial majority of the voting power of the shares of each of EchoStar Corporation and DISH is owned beneficially by Charles W. Ergen, our Chairman, and by certain trusts established by Mr. Ergen for the benefit of his family.</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In connection with and following both the Spin-off and the Share Exchange, we and DISH Network entered into certain agreements pursuant to which we obtain certain products, services and rights from DISH Network; DISH Network obtains certain products, services and rights from us; and we and DISH Network indemnify each other against certain liabilities arising from our respective businesses. We also may enter into additional agreements with DISH Network in the future. Generally, the amounts we or DISH Network pay for products and services provided under the agreements are based on cost plus a fixed margin (unless noted differently below), which varies depending on the nature of the products and services provided.</w:t>
      </w:r>
    </w:p>
    <w:p>
      <w:pPr>
        <w:spacing w:after="0" w:line="161" w:lineRule="exact"/>
        <w:rPr>
          <w:sz w:val="20"/>
          <w:szCs w:val="20"/>
          <w:color w:val="auto"/>
        </w:rPr>
      </w:pPr>
    </w:p>
    <w:p>
      <w:pPr>
        <w:jc w:val="both"/>
        <w:spacing w:after="0" w:line="255" w:lineRule="auto"/>
        <w:rPr>
          <w:sz w:val="20"/>
          <w:szCs w:val="20"/>
          <w:color w:val="auto"/>
        </w:rPr>
      </w:pPr>
      <w:r>
        <w:rPr>
          <w:rFonts w:ascii="Arial" w:cs="Arial" w:eastAsia="Arial" w:hAnsi="Arial"/>
          <w:sz w:val="17"/>
          <w:szCs w:val="17"/>
          <w:b w:val="1"/>
          <w:bCs w:val="1"/>
          <w:i w:val="1"/>
          <w:iCs w:val="1"/>
          <w:color w:val="auto"/>
        </w:rPr>
        <w:t>Broadcast Agreement</w:t>
      </w:r>
      <w:r>
        <w:rPr>
          <w:rFonts w:ascii="Arial" w:cs="Arial" w:eastAsia="Arial" w:hAnsi="Arial"/>
          <w:sz w:val="17"/>
          <w:szCs w:val="17"/>
          <w:color w:val="auto"/>
        </w:rPr>
        <w:t>. Effective January 2012, one of our former subsidiaries and DISH Network entered into a broadcast agreement (the “2012 Broadcast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Agreement”), pursuant to which we provided certain broadcast services to DISH Network, including teleport services such as transmission and downlinking, channel origination services and channel management services. The fees for the services provided under the 2012 Broadcast Agreement were calculated at either: (a) our cost of providing the relevant service plus a fixed dollar fee, which was subject to certain adjustments; or (b) our cost of providing the relevant service plus a fixed margin, depending on the nature of the services provided. This agreement was transferred to DISH Network as part of the Share Exchange and we have no further obligations and have earned no additional revenue under this agreement after February 2017. We earned revenue of approximately $35.6 million from DISH Network under this agreement for the year ended December 31, 2017.</w:t>
      </w:r>
    </w:p>
    <w:p>
      <w:pPr>
        <w:spacing w:after="0" w:line="167" w:lineRule="exact"/>
        <w:rPr>
          <w:sz w:val="20"/>
          <w:szCs w:val="20"/>
          <w:color w:val="auto"/>
        </w:rPr>
      </w:pPr>
    </w:p>
    <w:p>
      <w:pPr>
        <w:jc w:val="both"/>
        <w:spacing w:after="0"/>
        <w:rPr>
          <w:sz w:val="20"/>
          <w:szCs w:val="20"/>
          <w:color w:val="auto"/>
        </w:rPr>
      </w:pPr>
      <w:r>
        <w:rPr>
          <w:rFonts w:ascii="Arial" w:cs="Arial" w:eastAsia="Arial" w:hAnsi="Arial"/>
          <w:sz w:val="18"/>
          <w:szCs w:val="18"/>
          <w:b w:val="1"/>
          <w:bCs w:val="1"/>
          <w:i w:val="1"/>
          <w:iCs w:val="1"/>
          <w:color w:val="auto"/>
        </w:rPr>
        <w:t>Broadcast Agreement for Certain Sports Related Programming</w:t>
      </w:r>
      <w:r>
        <w:rPr>
          <w:rFonts w:ascii="Arial" w:cs="Arial" w:eastAsia="Arial" w:hAnsi="Arial"/>
          <w:sz w:val="18"/>
          <w:szCs w:val="18"/>
          <w:color w:val="auto"/>
        </w:rPr>
        <w:t>. In May 2010, one of our former subsidiaries and DISH Network entered into a broadcast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agreement pursuant to which we provided certain broadcast services to DISH Network in connection with its carriage of certain sports related programming. The fees for the broadcast services provided under this agreement depended, among other things, upon the cost to develop and provide such services. This agreement was transferred to DISH Network as part of the Share Exchange and we have no further obligations and have earned no additional revenue under this agreement after February 2017. We earned revenue of approximately $0.2 million from DISH Network under this agreement for the year ended December 31, 2017.</w:t>
      </w:r>
    </w:p>
    <w:p>
      <w:pPr>
        <w:spacing w:after="0" w:line="17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b w:val="1"/>
          <w:bCs w:val="1"/>
          <w:i w:val="1"/>
          <w:iCs w:val="1"/>
          <w:color w:val="auto"/>
        </w:rPr>
        <w:t>Collocation and Antenna Space Agreements</w:t>
      </w:r>
      <w:r>
        <w:rPr>
          <w:rFonts w:ascii="Arial" w:cs="Arial" w:eastAsia="Arial" w:hAnsi="Arial"/>
          <w:sz w:val="18"/>
          <w:szCs w:val="18"/>
          <w:color w:val="auto"/>
        </w:rPr>
        <w:t>. We and DISH Network have entered into an agreement pursuant to which DISH Network provides us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collocation space in El Paso, Texas. This agreement was for an initial period ending in August 2015, and provides us with renewal options for four consecutive years. Effective August 2015, we exercised our first renewal option for a period ending in August 2018. In connection with the Share Exchange, effective March 2017, we also entered into certain agreements pursuant to which DISH Network provides collocation and antenna space to EchoStar through February 2022 at the following locations: Cheyenne, Wyoming; Gilbert, Arizona; New Braunfels, Texas; Monee, Illinois; Spokane, Washington; and Englewood, Colorado. In August 2017, we and DISH Network also entered into certain other agreements pursuant to which DISH Network provides additional collocation and antenna space to EchoStar in Monee, Illinois and Spokane, Washington through August 2022. We may renew each of these agreements for four</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567" w:right="239" w:bottom="1440" w:gutter="0" w:footer="0" w:header="0"/>
        </w:sectPr>
      </w:pPr>
    </w:p>
    <w:bookmarkStart w:id="35" w:name="page36"/>
    <w:bookmarkEnd w:id="35"/>
    <w:p>
      <w:pPr>
        <w:jc w:val="both"/>
        <w:spacing w:after="0" w:line="243" w:lineRule="auto"/>
        <w:rPr>
          <w:sz w:val="20"/>
          <w:szCs w:val="20"/>
          <w:color w:val="auto"/>
        </w:rPr>
      </w:pPr>
      <w:r>
        <w:rPr>
          <w:rFonts w:ascii="Arial" w:cs="Arial" w:eastAsia="Arial" w:hAnsi="Arial"/>
          <w:sz w:val="18"/>
          <w:szCs w:val="18"/>
          <w:color w:val="auto"/>
        </w:rPr>
        <w:t>three-year periods by providing DISH Network with prior written notice no more than 120 days but no less than 90 days prior to the end of the then-current term. We may terminate certain of these agreements with 180 days’ prior written notice. The fees for the services provided under these agreements depend on the number of racks leased at the location. We incurred expenses of approximately $1.2 million payable to DISH Network under these agreements for the year ended December 31, 2017.</w:t>
      </w:r>
    </w:p>
    <w:p>
      <w:pPr>
        <w:spacing w:after="0" w:line="175" w:lineRule="exact"/>
        <w:rPr>
          <w:sz w:val="20"/>
          <w:szCs w:val="20"/>
          <w:color w:val="auto"/>
        </w:rPr>
      </w:pPr>
    </w:p>
    <w:p>
      <w:pPr>
        <w:jc w:val="both"/>
        <w:spacing w:after="0" w:line="252" w:lineRule="auto"/>
        <w:rPr>
          <w:sz w:val="20"/>
          <w:szCs w:val="20"/>
          <w:color w:val="auto"/>
        </w:rPr>
      </w:pPr>
      <w:r>
        <w:rPr>
          <w:rFonts w:ascii="Arial" w:cs="Arial" w:eastAsia="Arial" w:hAnsi="Arial"/>
          <w:sz w:val="17"/>
          <w:szCs w:val="17"/>
          <w:b w:val="1"/>
          <w:bCs w:val="1"/>
          <w:i w:val="1"/>
          <w:iCs w:val="1"/>
          <w:color w:val="auto"/>
        </w:rPr>
        <w:t>DBSD North America Agreement</w:t>
      </w:r>
      <w:r>
        <w:rPr>
          <w:rFonts w:ascii="Arial" w:cs="Arial" w:eastAsia="Arial" w:hAnsi="Arial"/>
          <w:sz w:val="17"/>
          <w:szCs w:val="17"/>
          <w:color w:val="auto"/>
        </w:rPr>
        <w:t>. In March 2012, DISH Network completed its acquisition of 100% of the equity of reorganized DBSD North America, Inc.</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(“DBSD North America”). Prior to DISH Network’s acquisition of DBSD North America and our completion of the Hughes Acquisition, DBSD North America and HNS entered into various agreements pursuant to which our Hughes segment provides, among other things, warranty, operations and maintenance and hosting services of DBSD North America’s gateway and ground-based communications equipment. In December 2017, we and DBSD amended these agreements, effective as of January 1, 2018, to reduce certain pricing terms through December 31, 2023 and to modify certain termination provisions. DBSD North America generally has the right to continue to receive warranty services from us on a month-to-month basis until February 2019, unless terminated by DBSD upon at least 21 days’ written notice to us, and the right to continue to receive operations and maintenance services from us on a quarter-to-quarter basis, unless terminated by DBSD North America upon at least 120 days’ written notice to us. The provision of hosting services will continue until February 2022 and will automatically renew for an additional five-year period until February 2027 unless terminated by DBSD North America upon at least 180 days’ written notice to us. In addition, DBSD North America generally may terminate any and all such services for convenience, subject to providing us with prior notice and/or payment of termination charges. We earned revenue of approximately $2.3 million from DBSD North America under this agreement for the year ended December 31, 2017.</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7"/>
          <w:szCs w:val="17"/>
          <w:b w:val="1"/>
          <w:bCs w:val="1"/>
          <w:i w:val="1"/>
          <w:iCs w:val="1"/>
          <w:color w:val="auto"/>
        </w:rPr>
        <w:t>DISHOnline.com Services Agreement</w:t>
      </w:r>
      <w:r>
        <w:rPr>
          <w:rFonts w:ascii="Arial" w:cs="Arial" w:eastAsia="Arial" w:hAnsi="Arial"/>
          <w:sz w:val="17"/>
          <w:szCs w:val="17"/>
          <w:color w:val="auto"/>
        </w:rPr>
        <w:t>. Effective January 2010, DISH Network entered into a two-year agreement with one of our former subsidiaries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pursuant to which DISH Network received certain services associated with an online video portal. The fees for the services provided under this services agreement depended, among other things, upon the cost to develop and operate such services. This agreement was transferred to DISH Network as part of the Share Exchange and we have no further obligations and have earned no additional revenue under this agreement after February 2017. We earned revenue of approximately $0.8 million from DISH Network under this agreement for the year ended December 31, 2017.</w:t>
      </w:r>
    </w:p>
    <w:p>
      <w:pPr>
        <w:spacing w:after="0" w:line="161" w:lineRule="exact"/>
        <w:rPr>
          <w:sz w:val="20"/>
          <w:szCs w:val="20"/>
          <w:color w:val="auto"/>
        </w:rPr>
      </w:pPr>
    </w:p>
    <w:p>
      <w:pPr>
        <w:jc w:val="both"/>
        <w:spacing w:after="0" w:line="279" w:lineRule="auto"/>
        <w:rPr>
          <w:sz w:val="20"/>
          <w:szCs w:val="20"/>
          <w:color w:val="auto"/>
        </w:rPr>
      </w:pPr>
      <w:r>
        <w:rPr>
          <w:rFonts w:ascii="Arial" w:cs="Arial" w:eastAsia="Arial" w:hAnsi="Arial"/>
          <w:sz w:val="16"/>
          <w:szCs w:val="16"/>
          <w:b w:val="1"/>
          <w:bCs w:val="1"/>
          <w:i w:val="1"/>
          <w:iCs w:val="1"/>
          <w:color w:val="auto"/>
        </w:rPr>
        <w:t>DISH Remote Access Services Agreement</w:t>
      </w:r>
      <w:r>
        <w:rPr>
          <w:rFonts w:ascii="Arial" w:cs="Arial" w:eastAsia="Arial" w:hAnsi="Arial"/>
          <w:sz w:val="16"/>
          <w:szCs w:val="16"/>
          <w:color w:val="auto"/>
        </w:rPr>
        <w:t>. Effective February 2010, one of our former subsidiaries entered into an agreement with DISH Network pursuant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which DISH Network received, among other things, certain remote digital video recorder (“DVR”) management services. The fees for the services provided under this services agreement depended, among other things, upon the cost to develop and operate such services. This agreement was transferred to DISH Network as part of the Share Exchange and we have no further obligations and have earned no additional revenue under this agreement after February 2017. We earned revenue of approximately $0.4 million from DISH Network under this agreement for the year ended December 31, 2017.</w:t>
      </w:r>
    </w:p>
    <w:p>
      <w:pPr>
        <w:spacing w:after="0" w:line="14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b w:val="1"/>
          <w:bCs w:val="1"/>
          <w:i w:val="1"/>
          <w:iCs w:val="1"/>
          <w:color w:val="auto"/>
        </w:rPr>
        <w:t>Employee Matters Agreement</w:t>
      </w:r>
      <w:r>
        <w:rPr>
          <w:rFonts w:ascii="Arial" w:cs="Arial" w:eastAsia="Arial" w:hAnsi="Arial"/>
          <w:sz w:val="18"/>
          <w:szCs w:val="18"/>
          <w:color w:val="auto"/>
        </w:rPr>
        <w:t>. Effective March 2017 in connection with the Share Exchange, we and DISH Network entered into an Employee Matters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Agreement that addressed the transfer of employees from EchoStar to DISH Network, including certain benefit and compensation matters and the allocation of responsibility for employee related liabilities relating to current and past employees of the transferred businesses. DISH Network assumed employee-related liabilities relating to the transferred businesses as part of the Share Exchange, except that we are responsible for certain existing employee related litigation as well as certain pre-Share Exchange compensation and benefits for employees transferring to DISH Network in connection with the Share Exchange. There were no revenue, expenses or payments between us and DISH Network under or relating to this agreement for the year ended December 31, 2017.</w:t>
      </w:r>
    </w:p>
    <w:p>
      <w:pPr>
        <w:spacing w:after="0" w:line="178" w:lineRule="exact"/>
        <w:rPr>
          <w:sz w:val="20"/>
          <w:szCs w:val="20"/>
          <w:color w:val="auto"/>
        </w:rPr>
      </w:pPr>
    </w:p>
    <w:p>
      <w:pPr>
        <w:jc w:val="both"/>
        <w:spacing w:after="0" w:line="276" w:lineRule="auto"/>
        <w:rPr>
          <w:sz w:val="20"/>
          <w:szCs w:val="20"/>
          <w:color w:val="auto"/>
        </w:rPr>
      </w:pPr>
      <w:r>
        <w:rPr>
          <w:rFonts w:ascii="Arial" w:cs="Arial" w:eastAsia="Arial" w:hAnsi="Arial"/>
          <w:sz w:val="16"/>
          <w:szCs w:val="16"/>
          <w:b w:val="1"/>
          <w:bCs w:val="1"/>
          <w:i w:val="1"/>
          <w:iCs w:val="1"/>
          <w:color w:val="auto"/>
        </w:rPr>
        <w:t>gTLD Bidding Agreement</w:t>
      </w:r>
      <w:r>
        <w:rPr>
          <w:rFonts w:ascii="Arial" w:cs="Arial" w:eastAsia="Arial" w:hAnsi="Arial"/>
          <w:sz w:val="16"/>
          <w:szCs w:val="16"/>
          <w:color w:val="auto"/>
        </w:rPr>
        <w:t>. In April 2015, we and DISH Network entered into a gTLD Bidding Agreement whereby, among other things: (i) DISH Network</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obtained rights from us to participate in a generic top level domain (“gTLD”) auction, assuming all rights and obligations from us related to our application with the Internet Corporation for Assigned Names and Numbers (“ICANN”) for a particular gTLD; (ii) DISH Network agreed to reimburse us for our ICANN application fee and certain out-of-pocket expenses related to the application and the auction; and (iii) we and DISH Network agreed to split equally the net proceeds obtained by DISH Network as the losing bidder in the auction, less such fee reimbursement and out-of-pocket expenses. There were no revenue, expenses or payments between us and DISH Network under or relating to this agreement for the year ended December 31, 2017.</w:t>
      </w:r>
    </w:p>
    <w:p>
      <w:pPr>
        <w:spacing w:after="0" w:line="149" w:lineRule="exact"/>
        <w:rPr>
          <w:sz w:val="20"/>
          <w:szCs w:val="20"/>
          <w:color w:val="auto"/>
        </w:rPr>
      </w:pPr>
    </w:p>
    <w:p>
      <w:pPr>
        <w:jc w:val="both"/>
        <w:spacing w:after="0" w:line="271" w:lineRule="auto"/>
        <w:rPr>
          <w:sz w:val="20"/>
          <w:szCs w:val="20"/>
          <w:color w:val="auto"/>
        </w:rPr>
      </w:pPr>
      <w:r>
        <w:rPr>
          <w:rFonts w:ascii="Arial" w:cs="Arial" w:eastAsia="Arial" w:hAnsi="Arial"/>
          <w:sz w:val="16"/>
          <w:szCs w:val="16"/>
          <w:b w:val="1"/>
          <w:bCs w:val="1"/>
          <w:i w:val="1"/>
          <w:iCs w:val="1"/>
          <w:color w:val="auto"/>
        </w:rPr>
        <w:t>Hughes Broadband Distribution Agreement</w:t>
      </w:r>
      <w:r>
        <w:rPr>
          <w:rFonts w:ascii="Arial" w:cs="Arial" w:eastAsia="Arial" w:hAnsi="Arial"/>
          <w:sz w:val="16"/>
          <w:szCs w:val="16"/>
          <w:color w:val="auto"/>
        </w:rPr>
        <w:t>. Effective October 2012, HNS and dishNET Satellite Broadband L.L.C. (“dishNET”), a wholly-owned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subsidiary of DISH, entered into a distribution agreement (the “Distribution Agreement”) pursuant to which dishNET has the right, but not the obligation, to market, sell and distribute the Hughes satellite internet service (the “Hughes service”). dishNET pays HNS a monthly per subscriber wholesale service fee for the Hughes service based upon a subscriber’s service level and based upon certain volume subscription thresholds. The Distribution Agreement also provides that dishNET has the right, but not the obligation, to purchase certain broadband equipment from us to support the sale of the Hughes service. The Distribution Agreement had an initial term of five years with automatic renewal for successive one-year terms unless terminated by either party with a written notice at least 180 days before the expiration of the then-current term. In February 2014, HNS and dishNET entered into an amendment to the Distribution Agreement which, among other things, extended the initial term of the Distribution Agreement until March 2024. Upon expiration or termination of the Distribution Agreement, the parties will continue to provide the Hughes service to the then-current dishNET subscribers pursuant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368" w:right="239" w:bottom="1440" w:gutter="0" w:footer="0" w:header="0"/>
        </w:sectPr>
      </w:pPr>
    </w:p>
    <w:bookmarkStart w:id="36" w:name="page37"/>
    <w:bookmarkEnd w:id="36"/>
    <w:p>
      <w:pPr>
        <w:jc w:val="both"/>
        <w:spacing w:after="0" w:line="262" w:lineRule="auto"/>
        <w:rPr>
          <w:sz w:val="20"/>
          <w:szCs w:val="20"/>
          <w:color w:val="auto"/>
        </w:rPr>
      </w:pPr>
      <w:r>
        <w:rPr>
          <w:rFonts w:ascii="Arial" w:cs="Arial" w:eastAsia="Arial" w:hAnsi="Arial"/>
          <w:sz w:val="18"/>
          <w:szCs w:val="18"/>
          <w:color w:val="auto"/>
        </w:rPr>
        <w:t>to the terms and conditions of the Distribution Agreement. We earned revenue of approximately $74.1 million from dishNET under this agreement for the year ended December 31, 2017.</w:t>
      </w:r>
    </w:p>
    <w:p>
      <w:pPr>
        <w:spacing w:after="0" w:line="15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b w:val="1"/>
          <w:bCs w:val="1"/>
          <w:i w:val="1"/>
          <w:iCs w:val="1"/>
          <w:color w:val="auto"/>
        </w:rPr>
        <w:t xml:space="preserve">Hughes Broadband Master Services Agreement. </w:t>
      </w:r>
      <w:r>
        <w:rPr>
          <w:rFonts w:ascii="Arial" w:cs="Arial" w:eastAsia="Arial" w:hAnsi="Arial"/>
          <w:sz w:val="18"/>
          <w:szCs w:val="18"/>
          <w:color w:val="auto"/>
        </w:rPr>
        <w:t>In March 2017, HNS and DISH Network L.L.C. (“DNLLC”), a wholly-owned subsidiary of DISH, entered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into a master service agreement (the “MSA”) pursuant to which DNLLC, among other things: (i) has the right, but not the obligation, to market, promote and solicit orders and upgrades for the Hughes service and related equipment and other telecommunication services and (ii) installs Hughes service equipment with respect to activations generated by DNLLC. Under the MSA, HNS and DNLLC will make certain payments to each other relating to sales, upgrades, purchases and installation services. The MSA has an initial term of five years until March 2022 with automatic renewal for successive one-year terms. After the first anniversary, either party has the ability to terminate the MSA, in whole or in part, for any reason upon at least 90 days’ notice to the other party. Upon expiration or termination of the MSA, HNS will continue to provide the Hughes service to subscribers and make certain payments to DNLLC pursuant to the terms and conditions of the MSA. We incurred expenses of approximately $29.3 million payable to DISH Network under this agreement for the year ended December 31, 2017.</w:t>
      </w:r>
    </w:p>
    <w:p>
      <w:pPr>
        <w:spacing w:after="0" w:line="178" w:lineRule="exact"/>
        <w:rPr>
          <w:sz w:val="20"/>
          <w:szCs w:val="20"/>
          <w:color w:val="auto"/>
        </w:rPr>
      </w:pPr>
    </w:p>
    <w:p>
      <w:pPr>
        <w:jc w:val="both"/>
        <w:spacing w:after="0" w:line="270" w:lineRule="auto"/>
        <w:rPr>
          <w:sz w:val="20"/>
          <w:szCs w:val="20"/>
          <w:color w:val="auto"/>
        </w:rPr>
      </w:pPr>
      <w:r>
        <w:rPr>
          <w:rFonts w:ascii="Arial" w:cs="Arial" w:eastAsia="Arial" w:hAnsi="Arial"/>
          <w:sz w:val="16"/>
          <w:szCs w:val="16"/>
          <w:b w:val="1"/>
          <w:bCs w:val="1"/>
          <w:i w:val="1"/>
          <w:iCs w:val="1"/>
          <w:color w:val="auto"/>
        </w:rPr>
        <w:t>Intellectual Property Matters Agreement</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entered into an Intellectual Property Matters Agreement with DISH Network in connection with the Spin-off.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Intellectual Property Matters Agreement governed our relationship with DISH Network with respect to patents, trademarks and other intellectual property. Pursuant to the Intellectual Property Matters Agreement, DISH Network irrevocably assigned to us all right, title and interest in certain patents, trademarks and other intellectual property necessary for the operation of our set-top box business. In addition, the agreement permitted us to use, in the operation of our set-top box business, certain other intellectual property currently owned or licensed by DISH Network. In addition, DISH Network was prohibited from using the “EchoStar” name as a trademark, except in certain limited circumstances. Similarly, the Intellectual Property Matters Agreement provided that we would not make any use of the name or trademark “DISH Network” or any other trademark owned by DISH Network, except in certain circumstances. Effective March 2017 in connection with the Share Exchange, we and DISH Network terminated this agreement and we have no further obligations and have earned no additional revenue nor incurred additional expenses under this agreement after February 2017. There were no revenue, expenses or payments between us and DISH Network under or relating to this agreement for the year ended December 31, 2017.</w:t>
      </w:r>
    </w:p>
    <w:p>
      <w:pPr>
        <w:spacing w:after="0" w:line="159" w:lineRule="exact"/>
        <w:rPr>
          <w:sz w:val="20"/>
          <w:szCs w:val="20"/>
          <w:color w:val="auto"/>
        </w:rPr>
      </w:pPr>
    </w:p>
    <w:p>
      <w:pPr>
        <w:jc w:val="both"/>
        <w:spacing w:after="0" w:line="254" w:lineRule="auto"/>
        <w:rPr>
          <w:sz w:val="20"/>
          <w:szCs w:val="20"/>
          <w:color w:val="auto"/>
        </w:rPr>
      </w:pPr>
      <w:r>
        <w:rPr>
          <w:rFonts w:ascii="Arial" w:cs="Arial" w:eastAsia="Arial" w:hAnsi="Arial"/>
          <w:sz w:val="17"/>
          <w:szCs w:val="17"/>
          <w:b w:val="1"/>
          <w:bCs w:val="1"/>
          <w:i w:val="1"/>
          <w:iCs w:val="1"/>
          <w:color w:val="auto"/>
        </w:rPr>
        <w:t>Intellectual Property and Technology License Agreement</w:t>
      </w:r>
      <w:r>
        <w:rPr>
          <w:rFonts w:ascii="Arial" w:cs="Arial" w:eastAsia="Arial" w:hAnsi="Arial"/>
          <w:sz w:val="17"/>
          <w:szCs w:val="17"/>
          <w:color w:val="auto"/>
        </w:rPr>
        <w:t>. Effective March 2017 in connection with the Share Exchange, we and DISH Network entered into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 Intellectual Property and Technology License Agreement (“IPTLA”) pursuant to which we and DISH and our and their respective subsidiaries license to each other certain intellectual property and technology. The IPTLA will continue in perpetuity, unless mutually terminated by the parties. Pursuant to the IPTLA, we granted to DISH Network a license to our intellectual property and technology for use by DISH Network, among other things, in connection with its continued operation of the businesses acquired pursuant to the Share Exchange, including a limited license to use the “ECHOSTAR” trademark during a transition period. EchoStar retains full ownership of the “ECHOSTAR” trademark. In addition, DISH Network granted a license back to us, among other things, for the continued use of all intellectual property and technology that is used in our retained businesses but the ownership of which was transferred to DISH Network pursuant to the Share Exchange. There were no revenue, expenses or payments between us and DISH Network under or relating to this agreement for the year ended December 31, 2017.</w:t>
      </w:r>
    </w:p>
    <w:p>
      <w:pPr>
        <w:spacing w:after="0" w:line="164" w:lineRule="exact"/>
        <w:rPr>
          <w:sz w:val="20"/>
          <w:szCs w:val="20"/>
          <w:color w:val="auto"/>
        </w:rPr>
      </w:pPr>
    </w:p>
    <w:p>
      <w:pPr>
        <w:jc w:val="both"/>
        <w:spacing w:after="0" w:line="241" w:lineRule="auto"/>
        <w:rPr>
          <w:sz w:val="20"/>
          <w:szCs w:val="20"/>
          <w:color w:val="auto"/>
        </w:rPr>
      </w:pPr>
      <w:r>
        <w:rPr>
          <w:rFonts w:ascii="Arial" w:cs="Arial" w:eastAsia="Arial" w:hAnsi="Arial"/>
          <w:sz w:val="18"/>
          <w:szCs w:val="18"/>
          <w:b w:val="1"/>
          <w:bCs w:val="1"/>
          <w:i w:val="1"/>
          <w:iCs w:val="1"/>
          <w:color w:val="auto"/>
        </w:rPr>
        <w:t>Invidi</w:t>
      </w:r>
      <w:r>
        <w:rPr>
          <w:rFonts w:ascii="Arial" w:cs="Arial" w:eastAsia="Arial" w:hAnsi="Arial"/>
          <w:sz w:val="18"/>
          <w:szCs w:val="18"/>
          <w:color w:val="auto"/>
        </w:rPr>
        <w:t>. In November 2010 and April 2011, we made investments in Invidi Technologies Corporation (“Invidi”) in exchange for shares of Invidi’s Series 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Preferred Stock. In November 2016, DIRECTV, LLC, a wholly owned indirect subsidiary of AT&amp;T Inc., DISH Network and Cavendish Square Holding B.V., an affiliate of WPP plc, entered into a series of agreements to acquire Invidi. As a result of the transaction, we sold our ownership interest in Invidi on the same terms offered to the other shareholders of Invidi. The transaction closed in January 2017. We received cash proceeds of $17.8 million in 2017 from the sale of our investment in Invidi to an entity owned in part by DISH.</w:t>
      </w:r>
    </w:p>
    <w:p>
      <w:pPr>
        <w:spacing w:after="0" w:line="176" w:lineRule="exact"/>
        <w:rPr>
          <w:sz w:val="20"/>
          <w:szCs w:val="20"/>
          <w:color w:val="auto"/>
        </w:rPr>
      </w:pPr>
    </w:p>
    <w:p>
      <w:pPr>
        <w:jc w:val="both"/>
        <w:spacing w:after="0" w:line="274" w:lineRule="auto"/>
        <w:rPr>
          <w:sz w:val="20"/>
          <w:szCs w:val="20"/>
          <w:color w:val="auto"/>
        </w:rPr>
      </w:pPr>
      <w:r>
        <w:rPr>
          <w:rFonts w:ascii="Arial" w:cs="Arial" w:eastAsia="Arial" w:hAnsi="Arial"/>
          <w:sz w:val="16"/>
          <w:szCs w:val="16"/>
          <w:b w:val="1"/>
          <w:bCs w:val="1"/>
          <w:i w:val="1"/>
          <w:iCs w:val="1"/>
          <w:color w:val="auto"/>
        </w:rPr>
        <w:t>Product Support Agreement</w:t>
      </w:r>
      <w:r>
        <w:rPr>
          <w:rFonts w:ascii="Arial" w:cs="Arial" w:eastAsia="Arial" w:hAnsi="Arial"/>
          <w:sz w:val="16"/>
          <w:szCs w:val="16"/>
          <w:color w:val="auto"/>
        </w:rPr>
        <w:t>. In connection with the Spin-off, one of our former subsidiaries entered into a product support agreement pursuant to which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DISH Network had the right, but not the obligation, to receive product support from us (including certain engineering and technical support services) for all set-top boxes and related accessories that we had previously sold to DISH Network. The fees for the services provided under the product support agreement were calculated at cost plus a fixed margin, which varied depending on the nature of the services provided. The term of the product support agreement was the economic life of such set-top boxes and related accessories, unless terminated earlier. This agreement was transferred to DISH Network as part of the Share Exchange and we have no further obligations and have earned no additional revenue under this agreement after February 2017. We earned revenue of approximately $12.4 million from DISH Network under this agreement for the year ended December 31, 2017.</w:t>
      </w:r>
    </w:p>
    <w:p>
      <w:pPr>
        <w:spacing w:after="0" w:line="150" w:lineRule="exact"/>
        <w:rPr>
          <w:sz w:val="20"/>
          <w:szCs w:val="20"/>
          <w:color w:val="auto"/>
        </w:rPr>
      </w:pPr>
    </w:p>
    <w:p>
      <w:pPr>
        <w:jc w:val="both"/>
        <w:spacing w:after="0"/>
        <w:rPr>
          <w:sz w:val="20"/>
          <w:szCs w:val="20"/>
          <w:color w:val="auto"/>
        </w:rPr>
      </w:pPr>
      <w:r>
        <w:rPr>
          <w:rFonts w:ascii="Arial" w:cs="Arial" w:eastAsia="Arial" w:hAnsi="Arial"/>
          <w:sz w:val="18"/>
          <w:szCs w:val="18"/>
          <w:b w:val="1"/>
          <w:bCs w:val="1"/>
          <w:i w:val="1"/>
          <w:iCs w:val="1"/>
          <w:color w:val="auto"/>
        </w:rPr>
        <w:t>Amended and Restated Professional Services Agreement</w:t>
      </w:r>
      <w:r>
        <w:rPr>
          <w:rFonts w:ascii="Arial" w:cs="Arial" w:eastAsia="Arial" w:hAnsi="Arial"/>
          <w:sz w:val="18"/>
          <w:szCs w:val="18"/>
          <w:color w:val="auto"/>
        </w:rPr>
        <w:t>. In connection with the Spin-off, we entered into various agreements with DISH Network including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Transition Services Agreement, Satellite Procurement Agreement and Services Agreement, which all expired in January 2010 and were replaced by a Professional Services Agreement. In January 2010, we and DISH Network agreed that we shall continue to have the right, but not the obligation, to receive the following services from DISH Network, among others, certain of which were previously provided under the Transition Services Agreement: information technology, travel and event coordination, internal audit, legal, accounting and tax, benefits administration, program acquisition services and other support services. Mr. Vivek Khemka, who</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368" w:right="239" w:bottom="1440" w:gutter="0" w:footer="0" w:header="0"/>
        </w:sectPr>
      </w:pPr>
    </w:p>
    <w:bookmarkStart w:id="37" w:name="page38"/>
    <w:bookmarkEnd w:id="37"/>
    <w:p>
      <w:pPr>
        <w:jc w:val="both"/>
        <w:spacing w:after="0" w:line="268" w:lineRule="auto"/>
        <w:rPr>
          <w:sz w:val="20"/>
          <w:szCs w:val="20"/>
          <w:color w:val="auto"/>
        </w:rPr>
      </w:pPr>
      <w:r>
        <w:rPr>
          <w:rFonts w:ascii="Arial" w:cs="Arial" w:eastAsia="Arial" w:hAnsi="Arial"/>
          <w:sz w:val="16"/>
          <w:szCs w:val="16"/>
          <w:color w:val="auto"/>
        </w:rPr>
        <w:t>remained employed as DISH Network’s Executive Vice President and Chief Technology Officer, provided services to us during portions of 2016 and through February 2017 pursuant to the Professional Services Agreement as President -- EchoStar Technologies L.L.C. Additionally, we and DISH Network agreed that DISH Network would continue to have the right, but not the obligation, to engage us to manage the process of procuring new satellite capacity for DISH Network (previously provided under the Satellite Procurement Agreement), receive logistics, procurement and quality assurance services from us (previously provided under the Services Agreement) and other support services. In connection with the consummation of the Share Exchange, we and DISH amended and restated the Professional Services Agreement to provide that we and DISH Network shall have the right to receive additional services that either we or DISH Network may require as a result of the Share Exchange, including access to antennas owned by DISH Network for our use in performing TT&amp;C services and maintenance and support services for our antennas. The term of the Amended and Restated Professional Services Agreement is through January 2019 and renews automatically for successive one-year periods thereafter, unless the agreement is terminated earlier by either party upon at least 60 days’ notice. However, either party may generally terminate the Amended and Restated Professional Services Agreement in part with respect to any particular service it receives for any reason upon at least 30 days’ notice, unless the statement of work for particular services states otherwise. Certain services being provided for under the Amended and Restated Professional Services Agreement may survive the termination of the agreement. We incurred expenses of approximately $3.4 million payable to DISH Network under this agreement for the year ended December 31, 2017. We had cost reimbursements and earned revenue of approximately $11.8 million and $4.0 million, respectively, from DISH Network under this agreement for the year ended December 31, 2017.</w:t>
      </w:r>
    </w:p>
    <w:p>
      <w:pPr>
        <w:spacing w:after="0" w:line="16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i w:val="1"/>
          <w:iCs w:val="1"/>
          <w:color w:val="auto"/>
        </w:rPr>
        <w:t>Real Estate Leases from DISH Network</w:t>
      </w:r>
      <w:r>
        <w:rPr>
          <w:rFonts w:ascii="Arial" w:cs="Arial" w:eastAsia="Arial" w:hAnsi="Arial"/>
          <w:sz w:val="17"/>
          <w:szCs w:val="17"/>
          <w:color w:val="auto"/>
        </w:rPr>
        <w:t>. We have entered into lease agreements pursuant to which we lease certain real estate from DISH Network. The rent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on a per square foot basis is comparable to per square foot rental rates of similar commercial property in the same geographic area at the time of the leases, and for certain properties, we are responsible for our portion of the taxes, insurance, utilities and maintenance of the premises.</w:t>
      </w:r>
    </w:p>
    <w:p>
      <w:pPr>
        <w:spacing w:after="0" w:line="151" w:lineRule="exact"/>
        <w:rPr>
          <w:sz w:val="20"/>
          <w:szCs w:val="20"/>
          <w:color w:val="auto"/>
        </w:rPr>
      </w:pPr>
    </w:p>
    <w:p>
      <w:pPr>
        <w:jc w:val="both"/>
        <w:ind w:left="340"/>
        <w:spacing w:after="0" w:line="294" w:lineRule="auto"/>
        <w:rPr>
          <w:sz w:val="20"/>
          <w:szCs w:val="20"/>
          <w:color w:val="auto"/>
        </w:rPr>
      </w:pPr>
      <w:r>
        <w:rPr>
          <w:rFonts w:ascii="Arial" w:cs="Arial" w:eastAsia="Arial" w:hAnsi="Arial"/>
          <w:sz w:val="16"/>
          <w:szCs w:val="16"/>
          <w:i w:val="1"/>
          <w:iCs w:val="1"/>
          <w:color w:val="auto"/>
        </w:rPr>
        <w:t>Cheyenne Lease Agreement</w:t>
      </w:r>
      <w:r>
        <w:rPr>
          <w:rFonts w:ascii="Arial" w:cs="Arial" w:eastAsia="Arial" w:hAnsi="Arial"/>
          <w:sz w:val="16"/>
          <w:szCs w:val="16"/>
          <w:color w:val="auto"/>
        </w:rPr>
        <w:t>. In connection with the Share Exchange, effective March 2017 we lease from DISH Network certain space at 530 EchoStar</w:t>
      </w:r>
      <w:r>
        <w:rPr>
          <w:rFonts w:ascii="Arial" w:cs="Arial" w:eastAsia="Arial" w:hAnsi="Arial"/>
          <w:sz w:val="16"/>
          <w:szCs w:val="16"/>
          <w:i w:val="1"/>
          <w:iCs w:val="1"/>
          <w:color w:val="auto"/>
        </w:rPr>
        <w:t xml:space="preserve"> </w:t>
      </w:r>
      <w:r>
        <w:rPr>
          <w:rFonts w:ascii="Arial" w:cs="Arial" w:eastAsia="Arial" w:hAnsi="Arial"/>
          <w:sz w:val="16"/>
          <w:szCs w:val="16"/>
          <w:color w:val="auto"/>
        </w:rPr>
        <w:t>Drive in Cheyenne, Wyoming for a period ending in February 2019. EchoStar has the option to renew this lease for thirteen one-year periods. We incurred expenses of approximately $0.4 million payable to DISH Network under this agreement for the year ended December 31, 2017.</w:t>
      </w:r>
    </w:p>
    <w:p>
      <w:pPr>
        <w:spacing w:after="0" w:line="134" w:lineRule="exact"/>
        <w:rPr>
          <w:sz w:val="20"/>
          <w:szCs w:val="20"/>
          <w:color w:val="auto"/>
        </w:rPr>
      </w:pPr>
    </w:p>
    <w:p>
      <w:pPr>
        <w:jc w:val="both"/>
        <w:ind w:left="340"/>
        <w:spacing w:after="0" w:line="270" w:lineRule="auto"/>
        <w:rPr>
          <w:sz w:val="20"/>
          <w:szCs w:val="20"/>
          <w:color w:val="auto"/>
        </w:rPr>
      </w:pPr>
      <w:r>
        <w:rPr>
          <w:rFonts w:ascii="Arial" w:cs="Arial" w:eastAsia="Arial" w:hAnsi="Arial"/>
          <w:sz w:val="17"/>
          <w:szCs w:val="17"/>
          <w:i w:val="1"/>
          <w:iCs w:val="1"/>
          <w:color w:val="auto"/>
        </w:rPr>
        <w:t>Gilbert Lease Agreement</w:t>
      </w:r>
      <w:r>
        <w:rPr>
          <w:rFonts w:ascii="Arial" w:cs="Arial" w:eastAsia="Arial" w:hAnsi="Arial"/>
          <w:sz w:val="17"/>
          <w:szCs w:val="17"/>
          <w:color w:val="auto"/>
        </w:rPr>
        <w:t>. In connection with the Share Exchange, effective March 2017 we lease from DISH Network certain space at 801 N. DISH Dr.</w:t>
      </w:r>
      <w:r>
        <w:rPr>
          <w:rFonts w:ascii="Arial" w:cs="Arial" w:eastAsia="Arial" w:hAnsi="Arial"/>
          <w:sz w:val="17"/>
          <w:szCs w:val="17"/>
          <w:i w:val="1"/>
          <w:iCs w:val="1"/>
          <w:color w:val="auto"/>
        </w:rPr>
        <w:t xml:space="preserve"> </w:t>
      </w:r>
      <w:r>
        <w:rPr>
          <w:rFonts w:ascii="Arial" w:cs="Arial" w:eastAsia="Arial" w:hAnsi="Arial"/>
          <w:sz w:val="17"/>
          <w:szCs w:val="17"/>
          <w:color w:val="auto"/>
        </w:rPr>
        <w:t>in Gilbert, Arizona for a period ending in February 2019. EchoStar has the option to renew this lease for thirteen one-year periods. We incurred expenses of approximately $0.4 million payable to DISH Network under this agreement for the year ended December 31, 2017.</w:t>
      </w:r>
    </w:p>
    <w:p>
      <w:pPr>
        <w:spacing w:after="0" w:line="151" w:lineRule="exact"/>
        <w:rPr>
          <w:sz w:val="20"/>
          <w:szCs w:val="20"/>
          <w:color w:val="auto"/>
        </w:rPr>
      </w:pPr>
    </w:p>
    <w:p>
      <w:pPr>
        <w:jc w:val="both"/>
        <w:ind w:left="340"/>
        <w:spacing w:after="0" w:line="243" w:lineRule="auto"/>
        <w:rPr>
          <w:sz w:val="20"/>
          <w:szCs w:val="20"/>
          <w:color w:val="auto"/>
        </w:rPr>
      </w:pPr>
      <w:r>
        <w:rPr>
          <w:rFonts w:ascii="Arial" w:cs="Arial" w:eastAsia="Arial" w:hAnsi="Arial"/>
          <w:sz w:val="18"/>
          <w:szCs w:val="18"/>
          <w:i w:val="1"/>
          <w:iCs w:val="1"/>
          <w:color w:val="auto"/>
        </w:rPr>
        <w:t>American Fork Occupancy License Agreement</w:t>
      </w:r>
      <w:r>
        <w:rPr>
          <w:rFonts w:ascii="Arial" w:cs="Arial" w:eastAsia="Arial" w:hAnsi="Arial"/>
          <w:sz w:val="18"/>
          <w:szCs w:val="18"/>
          <w:color w:val="auto"/>
        </w:rPr>
        <w:t>. In connection with the Share Exchange, effective March 2017, we subleased from DISH Network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space at 796 East Utah Valley Drive in American Fork, Utah for a period ending in August 2017. We have exercised our option to renew this sublease for a five-year period ending in August 2022. We incurred expenses of approximately $0.2 million payable to DISH Network under this agreement for the year ended December 31, 2017.</w:t>
      </w:r>
    </w:p>
    <w:p>
      <w:pPr>
        <w:spacing w:after="0" w:line="175" w:lineRule="exact"/>
        <w:rPr>
          <w:sz w:val="20"/>
          <w:szCs w:val="20"/>
          <w:color w:val="auto"/>
        </w:rPr>
      </w:pPr>
    </w:p>
    <w:p>
      <w:pPr>
        <w:jc w:val="both"/>
        <w:spacing w:after="0" w:line="243" w:lineRule="auto"/>
        <w:rPr>
          <w:sz w:val="20"/>
          <w:szCs w:val="20"/>
          <w:color w:val="auto"/>
        </w:rPr>
      </w:pPr>
      <w:r>
        <w:rPr>
          <w:rFonts w:ascii="Arial" w:cs="Arial" w:eastAsia="Arial" w:hAnsi="Arial"/>
          <w:sz w:val="18"/>
          <w:szCs w:val="18"/>
          <w:b w:val="1"/>
          <w:bCs w:val="1"/>
          <w:i w:val="1"/>
          <w:iCs w:val="1"/>
          <w:color w:val="auto"/>
        </w:rPr>
        <w:t>Real Estate Leases to DISH Network</w:t>
      </w:r>
      <w:r>
        <w:rPr>
          <w:rFonts w:ascii="Arial" w:cs="Arial" w:eastAsia="Arial" w:hAnsi="Arial"/>
          <w:sz w:val="18"/>
          <w:szCs w:val="18"/>
          <w:color w:val="auto"/>
        </w:rPr>
        <w:t>. We have entered into lease agreements pursuant to which DISH Network leases certain real estate from us. The rent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 per square foot basis for each of the leases is comparable to per square foot rental rates of similar commercial property in the same geographic area at the time of the lease, and DISH Network is responsible for its portion of the taxes, insurance, utilities and maintenance of the premises. The term of each of the leases is set forth below:</w:t>
      </w:r>
    </w:p>
    <w:p>
      <w:pPr>
        <w:spacing w:after="0" w:line="175" w:lineRule="exact"/>
        <w:rPr>
          <w:sz w:val="20"/>
          <w:szCs w:val="20"/>
          <w:color w:val="auto"/>
        </w:rPr>
      </w:pPr>
    </w:p>
    <w:p>
      <w:pPr>
        <w:jc w:val="both"/>
        <w:ind w:left="340"/>
        <w:spacing w:after="0" w:line="241" w:lineRule="auto"/>
        <w:rPr>
          <w:sz w:val="20"/>
          <w:szCs w:val="20"/>
          <w:color w:val="auto"/>
        </w:rPr>
      </w:pPr>
      <w:r>
        <w:rPr>
          <w:rFonts w:ascii="Arial" w:cs="Arial" w:eastAsia="Arial" w:hAnsi="Arial"/>
          <w:sz w:val="18"/>
          <w:szCs w:val="18"/>
          <w:i w:val="1"/>
          <w:iCs w:val="1"/>
          <w:color w:val="auto"/>
        </w:rPr>
        <w:t>100 Inverness Lease Agreement</w:t>
      </w:r>
      <w:r>
        <w:rPr>
          <w:rFonts w:ascii="Arial" w:cs="Arial" w:eastAsia="Arial" w:hAnsi="Arial"/>
          <w:sz w:val="18"/>
          <w:szCs w:val="18"/>
          <w:color w:val="auto"/>
        </w:rPr>
        <w:t>. In connection with the Share Exchange, effective March 2017, DISH Network leases from us certain space at 100</w:t>
      </w:r>
      <w:r>
        <w:rPr>
          <w:rFonts w:ascii="Arial" w:cs="Arial" w:eastAsia="Arial" w:hAnsi="Arial"/>
          <w:sz w:val="18"/>
          <w:szCs w:val="18"/>
          <w:i w:val="1"/>
          <w:iCs w:val="1"/>
          <w:color w:val="auto"/>
        </w:rPr>
        <w:t xml:space="preserve"> </w:t>
      </w:r>
      <w:r>
        <w:rPr>
          <w:rFonts w:ascii="Arial" w:cs="Arial" w:eastAsia="Arial" w:hAnsi="Arial"/>
          <w:sz w:val="18"/>
          <w:szCs w:val="18"/>
          <w:color w:val="auto"/>
        </w:rPr>
        <w:t>Inverness Terrace East, Englewood, Colorado for a period ending in December 2020. This agreement may be terminated by either party upon 180 days’ prior notice. This agreement may be extended by mutual consent, in which case this agreement will be converted to a month-to-month lease agreement. Upon extension, either party has the right to terminate this agreement upon 30 days’ notice. We earned revenue of approximately $0.4 million from DISH Network under this agreement for the year ended December 31, 2017.</w:t>
      </w:r>
    </w:p>
    <w:p>
      <w:pPr>
        <w:spacing w:after="0" w:line="176" w:lineRule="exact"/>
        <w:rPr>
          <w:sz w:val="20"/>
          <w:szCs w:val="20"/>
          <w:color w:val="auto"/>
        </w:rPr>
      </w:pPr>
    </w:p>
    <w:p>
      <w:pPr>
        <w:jc w:val="both"/>
        <w:ind w:left="340"/>
        <w:spacing w:after="0" w:line="259" w:lineRule="auto"/>
        <w:rPr>
          <w:sz w:val="20"/>
          <w:szCs w:val="20"/>
          <w:color w:val="auto"/>
        </w:rPr>
      </w:pPr>
      <w:r>
        <w:rPr>
          <w:rFonts w:ascii="Arial" w:cs="Arial" w:eastAsia="Arial" w:hAnsi="Arial"/>
          <w:sz w:val="17"/>
          <w:szCs w:val="17"/>
          <w:i w:val="1"/>
          <w:iCs w:val="1"/>
          <w:color w:val="auto"/>
        </w:rPr>
        <w:t>Meridian Lease Agreement</w:t>
      </w:r>
      <w:r>
        <w:rPr>
          <w:rFonts w:ascii="Arial" w:cs="Arial" w:eastAsia="Arial" w:hAnsi="Arial"/>
          <w:sz w:val="17"/>
          <w:szCs w:val="17"/>
          <w:color w:val="auto"/>
        </w:rPr>
        <w:t>. The lease for all of 9601 S. Meridian Blvd., Englewood, Colorado was for a period ending in December 2016. Effective</w:t>
      </w:r>
      <w:r>
        <w:rPr>
          <w:rFonts w:ascii="Arial" w:cs="Arial" w:eastAsia="Arial" w:hAnsi="Arial"/>
          <w:sz w:val="17"/>
          <w:szCs w:val="17"/>
          <w:i w:val="1"/>
          <w:iCs w:val="1"/>
          <w:color w:val="auto"/>
        </w:rPr>
        <w:t xml:space="preserve"> </w:t>
      </w:r>
      <w:r>
        <w:rPr>
          <w:rFonts w:ascii="Arial" w:cs="Arial" w:eastAsia="Arial" w:hAnsi="Arial"/>
          <w:sz w:val="17"/>
          <w:szCs w:val="17"/>
          <w:color w:val="auto"/>
        </w:rPr>
        <w:t>December 2016, we and DISH Network amended this lease to, among other things, extend the term for one year through December 2017. In December 2017, we and DISH Network further amended this lease to, among other things, extend the term for one year through December 2018. This agreement may be converted by mutual consent to a month-to-month lease agreement with either party having the right to terminate upon 30 days’ notice. We earned revenue of approximately $7.2 million from DISH Network under this agreement for the year ended December 31, 2017.</w:t>
      </w:r>
    </w:p>
    <w:p>
      <w:pPr>
        <w:spacing w:after="0" w:line="161" w:lineRule="exact"/>
        <w:rPr>
          <w:sz w:val="20"/>
          <w:szCs w:val="20"/>
          <w:color w:val="auto"/>
        </w:rPr>
      </w:pPr>
    </w:p>
    <w:p>
      <w:pPr>
        <w:jc w:val="both"/>
        <w:ind w:left="340"/>
        <w:spacing w:after="0" w:line="262" w:lineRule="auto"/>
        <w:rPr>
          <w:sz w:val="20"/>
          <w:szCs w:val="20"/>
          <w:color w:val="auto"/>
        </w:rPr>
      </w:pPr>
      <w:r>
        <w:rPr>
          <w:rFonts w:ascii="Arial" w:cs="Arial" w:eastAsia="Arial" w:hAnsi="Arial"/>
          <w:sz w:val="18"/>
          <w:szCs w:val="18"/>
          <w:i w:val="1"/>
          <w:iCs w:val="1"/>
          <w:color w:val="auto"/>
        </w:rPr>
        <w:t>Santa Fe Lease Agreement</w:t>
      </w:r>
      <w:r>
        <w:rPr>
          <w:rFonts w:ascii="Arial" w:cs="Arial" w:eastAsia="Arial" w:hAnsi="Arial"/>
          <w:sz w:val="18"/>
          <w:szCs w:val="18"/>
          <w:color w:val="auto"/>
        </w:rPr>
        <w:t>. The lease for all of 5701 S. Santa Fe Dr., Littleton, Colorado was for a period ending in December 2016. Effective December</w:t>
      </w:r>
      <w:r>
        <w:rPr>
          <w:rFonts w:ascii="Arial" w:cs="Arial" w:eastAsia="Arial" w:hAnsi="Arial"/>
          <w:sz w:val="18"/>
          <w:szCs w:val="18"/>
          <w:i w:val="1"/>
          <w:iCs w:val="1"/>
          <w:color w:val="auto"/>
        </w:rPr>
        <w:t xml:space="preserve"> </w:t>
      </w:r>
      <w:r>
        <w:rPr>
          <w:rFonts w:ascii="Arial" w:cs="Arial" w:eastAsia="Arial" w:hAnsi="Arial"/>
          <w:sz w:val="18"/>
          <w:szCs w:val="18"/>
          <w:color w:val="auto"/>
        </w:rPr>
        <w:t>2016, we and DISH Network amended this lease to, among other things, extend the term for one year through</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368" w:right="239" w:bottom="1440" w:gutter="0" w:footer="0" w:header="0"/>
        </w:sectPr>
      </w:pPr>
    </w:p>
    <w:bookmarkStart w:id="38" w:name="page39"/>
    <w:bookmarkEnd w:id="38"/>
    <w:p>
      <w:pPr>
        <w:jc w:val="both"/>
        <w:ind w:left="340"/>
        <w:spacing w:after="0" w:line="243" w:lineRule="auto"/>
        <w:rPr>
          <w:sz w:val="20"/>
          <w:szCs w:val="20"/>
          <w:color w:val="auto"/>
        </w:rPr>
      </w:pPr>
      <w:r>
        <w:rPr>
          <w:rFonts w:ascii="Arial" w:cs="Arial" w:eastAsia="Arial" w:hAnsi="Arial"/>
          <w:sz w:val="18"/>
          <w:szCs w:val="18"/>
          <w:color w:val="auto"/>
        </w:rPr>
        <w:t>December 2017. In December 2017, we and DISH Network further amended this lease to, among other things, extend the term for one year through December 2018. This agreement may be converted by mutual consent to a month-to-month lease agreement with either party having the right to terminate upon 30 days’ notice. We earned revenue of approximately $2.0 million from DISH Network under this agreement for the year ended December 31, 2017.</w:t>
      </w:r>
    </w:p>
    <w:p>
      <w:pPr>
        <w:spacing w:after="0" w:line="175" w:lineRule="exact"/>
        <w:rPr>
          <w:sz w:val="20"/>
          <w:szCs w:val="20"/>
          <w:color w:val="auto"/>
        </w:rPr>
      </w:pPr>
    </w:p>
    <w:p>
      <w:pPr>
        <w:jc w:val="both"/>
        <w:ind w:left="340"/>
        <w:spacing w:after="0"/>
        <w:rPr>
          <w:sz w:val="20"/>
          <w:szCs w:val="20"/>
          <w:color w:val="auto"/>
        </w:rPr>
      </w:pPr>
      <w:r>
        <w:rPr>
          <w:rFonts w:ascii="Arial" w:cs="Arial" w:eastAsia="Arial" w:hAnsi="Arial"/>
          <w:sz w:val="18"/>
          <w:szCs w:val="18"/>
          <w:i w:val="1"/>
          <w:iCs w:val="1"/>
          <w:color w:val="auto"/>
        </w:rPr>
        <w:t>Cheyenne Lease Agreement</w:t>
      </w:r>
      <w:r>
        <w:rPr>
          <w:rFonts w:ascii="Arial" w:cs="Arial" w:eastAsia="Arial" w:hAnsi="Arial"/>
          <w:sz w:val="18"/>
          <w:szCs w:val="18"/>
          <w:color w:val="auto"/>
        </w:rPr>
        <w:t>. Prior to the Share Exchange, we leased to DISH Network certain space at 530 EchoStar Drive, Cheyenne, Wyoming. In</w:t>
      </w:r>
      <w:r>
        <w:rPr>
          <w:rFonts w:ascii="Arial" w:cs="Arial" w:eastAsia="Arial" w:hAnsi="Arial"/>
          <w:sz w:val="18"/>
          <w:szCs w:val="18"/>
          <w:i w:val="1"/>
          <w:iCs w:val="1"/>
          <w:color w:val="auto"/>
        </w:rPr>
        <w:t xml:space="preserve"> </w:t>
      </w:r>
      <w:r>
        <w:rPr>
          <w:rFonts w:ascii="Arial" w:cs="Arial" w:eastAsia="Arial" w:hAnsi="Arial"/>
          <w:sz w:val="18"/>
          <w:szCs w:val="18"/>
          <w:color w:val="auto"/>
        </w:rPr>
        <w:t>connection with the Share Exchange, we transferred ownership of a portion of this property to DISH Network and we and DISH Network amended this agreement to: (i) terminate the lease for the transferred space and (ii) provide for a continued lease to DISH Network of the portion of the property we retained for a period ending in December 2031. This agreement may be converted by mutual consent to a month-to-month lease agreement with either party having the right to terminate upon 30 days’ notice. We earned revenue of approximately $5.8 million from DISH Network under this agreement for the year ended December 31, 2017.</w:t>
      </w:r>
    </w:p>
    <w:p>
      <w:pPr>
        <w:spacing w:after="0" w:line="176" w:lineRule="exact"/>
        <w:rPr>
          <w:sz w:val="20"/>
          <w:szCs w:val="20"/>
          <w:color w:val="auto"/>
        </w:rPr>
      </w:pPr>
    </w:p>
    <w:p>
      <w:pPr>
        <w:jc w:val="both"/>
        <w:spacing w:after="0" w:line="253" w:lineRule="auto"/>
        <w:rPr>
          <w:sz w:val="20"/>
          <w:szCs w:val="20"/>
          <w:color w:val="auto"/>
        </w:rPr>
      </w:pPr>
      <w:r>
        <w:rPr>
          <w:rFonts w:ascii="Arial" w:cs="Arial" w:eastAsia="Arial" w:hAnsi="Arial"/>
          <w:sz w:val="17"/>
          <w:szCs w:val="17"/>
          <w:b w:val="1"/>
          <w:bCs w:val="1"/>
          <w:i w:val="1"/>
          <w:iCs w:val="1"/>
          <w:color w:val="auto"/>
        </w:rPr>
        <w:t>Receiver Agreement</w:t>
      </w:r>
      <w:r>
        <w:rPr>
          <w:rFonts w:ascii="Arial" w:cs="Arial" w:eastAsia="Arial" w:hAnsi="Arial"/>
          <w:sz w:val="17"/>
          <w:szCs w:val="17"/>
          <w:color w:val="auto"/>
        </w:rPr>
        <w:t>. Effective January 2012, one of our former subsidiaries and DISH Network entered into a receiver agreement (the “2012 Receiver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Agreement”), pursuant to which DISH Network had the right, but not the obligation, to purchase digital set-top boxes, related accessories, and other equipment from us. The 2012 Receiver Agreement replaced the receiver agreement one of our former subsidiaries entered into with DISH Network in connection with the Spin-off. The 2012 Receiver Agreement allowed DISH Network to purchase digital set-top boxes, related accessories, and other equipment from us either: (i) at cost (decreasing as we reduced costs and increasing as costs increased) plus a dollar mark-up which depended upon the cost of the product subject to a collar on our mark-up; or (ii) at cost plus a fixed margin, which depended on the nature of the equipment purchased. One of our former subsidiaries provided DISH Network with standard manufacturer warranties for the goods sold under the 2012 Receiver Agreement. Additionally, the 2012 Receiver Agreement included an indemnification provision, whereby the parties agreed to indemnify each other for certain intellectual property matters. This agreement was transferred to DISH Network as part of the Share Exchange and we have no further obligations and have earned no additional revenue under this agreement after February 2017. We earned revenue of approximately $66.7 million from DISH Network under this agreement for the year ended December 31, 2017</w:t>
      </w:r>
    </w:p>
    <w:p>
      <w:pPr>
        <w:spacing w:after="0" w:line="164" w:lineRule="exact"/>
        <w:rPr>
          <w:sz w:val="20"/>
          <w:szCs w:val="20"/>
          <w:color w:val="auto"/>
        </w:rPr>
      </w:pPr>
    </w:p>
    <w:p>
      <w:pPr>
        <w:jc w:val="both"/>
        <w:spacing w:after="0" w:line="255" w:lineRule="auto"/>
        <w:rPr>
          <w:sz w:val="20"/>
          <w:szCs w:val="20"/>
          <w:color w:val="auto"/>
        </w:rPr>
      </w:pPr>
      <w:r>
        <w:rPr>
          <w:rFonts w:ascii="Arial" w:cs="Arial" w:eastAsia="Arial" w:hAnsi="Arial"/>
          <w:sz w:val="17"/>
          <w:szCs w:val="17"/>
          <w:b w:val="1"/>
          <w:bCs w:val="1"/>
          <w:i w:val="1"/>
          <w:iCs w:val="1"/>
          <w:color w:val="auto"/>
        </w:rPr>
        <w:t>RUS Implementation Agreement</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 September 2010, DISH Broadband L.L.C. (“DISH Broadband”), DISH’s indirect, wholly-owned subsidiary, was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selected by the Rural Utilities Service (“RUS”) of the United States Department of Agriculture to receive up to approximately $14.1 million in broadband stimulus grant funds (the “Grant Funds”). Effective November 2011, HNS and DISH Broadband entered into a RUS Implementation Agreement (the “RUS Agreement”) pursuant to which HNS provided certain portions of the equipment and broadband service used to implement DISH Broadband’s RUS program. While the RUS Agreement expired in June 2013 when the Grant Funds were exhausted, HNS is required to continue providing services to DISH Broadband’s customers activated prior to the expiration of the RUS Agreement in accordance with the terms and conditions of the RUS Agreement. We recognized no revenue from DISH Broadband under this agreement for the year ended December 31, 2017.</w:t>
      </w:r>
    </w:p>
    <w:p>
      <w:pPr>
        <w:spacing w:after="0" w:line="167" w:lineRule="exact"/>
        <w:rPr>
          <w:sz w:val="20"/>
          <w:szCs w:val="20"/>
          <w:color w:val="auto"/>
        </w:rPr>
      </w:pPr>
    </w:p>
    <w:p>
      <w:pPr>
        <w:jc w:val="both"/>
        <w:spacing w:after="0" w:line="263" w:lineRule="auto"/>
        <w:rPr>
          <w:sz w:val="20"/>
          <w:szCs w:val="20"/>
          <w:color w:val="auto"/>
        </w:rPr>
      </w:pPr>
      <w:r>
        <w:rPr>
          <w:rFonts w:ascii="Arial" w:cs="Arial" w:eastAsia="Arial" w:hAnsi="Arial"/>
          <w:sz w:val="17"/>
          <w:szCs w:val="17"/>
          <w:b w:val="1"/>
          <w:bCs w:val="1"/>
          <w:i w:val="1"/>
          <w:iCs w:val="1"/>
          <w:color w:val="auto"/>
        </w:rPr>
        <w:t>Satellite Services Provided to DISH Network</w:t>
      </w:r>
      <w:r>
        <w:rPr>
          <w:rFonts w:ascii="Arial" w:cs="Arial" w:eastAsia="Arial" w:hAnsi="Arial"/>
          <w:sz w:val="17"/>
          <w:szCs w:val="17"/>
          <w:color w:val="auto"/>
        </w:rPr>
        <w:t>. Since the Spin-off, we have entered into certain satellite service agreements pursuant to which DISH Network</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receives satellite services on certain satellites owned or leased by us. The fees for the services provided under these satellite service agreements depend, among other things, upon the orbital location of the applicable satellite, the number of transponders that are providing services on the applicable satellite and the length of the service arrangements. The terms of each service arrangement is set forth below:</w:t>
      </w:r>
    </w:p>
    <w:p>
      <w:pPr>
        <w:spacing w:after="0" w:line="156" w:lineRule="exact"/>
        <w:rPr>
          <w:sz w:val="20"/>
          <w:szCs w:val="20"/>
          <w:color w:val="auto"/>
        </w:rPr>
      </w:pPr>
    </w:p>
    <w:p>
      <w:pPr>
        <w:jc w:val="both"/>
        <w:ind w:left="340"/>
        <w:spacing w:after="0" w:line="254" w:lineRule="auto"/>
        <w:rPr>
          <w:sz w:val="20"/>
          <w:szCs w:val="20"/>
          <w:color w:val="auto"/>
        </w:rPr>
      </w:pPr>
      <w:r>
        <w:rPr>
          <w:rFonts w:ascii="Arial" w:cs="Arial" w:eastAsia="Arial" w:hAnsi="Arial"/>
          <w:sz w:val="17"/>
          <w:szCs w:val="17"/>
          <w:i w:val="1"/>
          <w:iCs w:val="1"/>
          <w:color w:val="auto"/>
        </w:rPr>
        <w:t xml:space="preserve">EchoStar VII, EchoStar X, EchoStar XI and EchoStar XIV. </w:t>
      </w:r>
      <w:r>
        <w:rPr>
          <w:rFonts w:ascii="Arial" w:cs="Arial" w:eastAsia="Arial" w:hAnsi="Arial"/>
          <w:sz w:val="17"/>
          <w:szCs w:val="17"/>
          <w:color w:val="auto"/>
        </w:rPr>
        <w:t>As part of the Satellite and Tracking Stock Transaction described below, in March 2014, we</w:t>
      </w:r>
      <w:r>
        <w:rPr>
          <w:rFonts w:ascii="Arial" w:cs="Arial" w:eastAsia="Arial" w:hAnsi="Arial"/>
          <w:sz w:val="17"/>
          <w:szCs w:val="17"/>
          <w:i w:val="1"/>
          <w:iCs w:val="1"/>
          <w:color w:val="auto"/>
        </w:rPr>
        <w:t xml:space="preserve"> </w:t>
      </w:r>
      <w:r>
        <w:rPr>
          <w:rFonts w:ascii="Arial" w:cs="Arial" w:eastAsia="Arial" w:hAnsi="Arial"/>
          <w:sz w:val="17"/>
          <w:szCs w:val="17"/>
          <w:color w:val="auto"/>
        </w:rPr>
        <w:t>began providing certain satellite services to DISH Network on the EchoStar VII, EchoStar X, EchoStar XI and EchoStar XIV satellites. The term of each satellite services agreement generally terminates upon the earlier of: (i) the end of life of the satellite; (ii) the date the satellite fails; or (iii) a certain date, which depends upon, among other things, the estimated useful life of the satellite. DISH Network generally has the option to renew each satellite service agreement on a year-to-year basis through the end of the respective satellite’s life. There can be no assurance that any options to renew such agreements will be exercised. In December 2016, DISH Network renewed the satellite services agreement relative to the EchoStar VII satellite for one year to June 2018. DISH Network has not renewed the agreement relative to the EchoStar VII satellite past such date. We earned revenue of approximately $42.8 million, $20.2 million, $38.8 million, and $42.8 million from DISH Network for each of the EchoStar VII, EchoStar X, EchoStar XI and EchoStar XIV satellites, respectively, under these agreements for the year ended December 31, 2017.</w:t>
      </w:r>
    </w:p>
    <w:p>
      <w:pPr>
        <w:spacing w:after="0" w:line="164" w:lineRule="exact"/>
        <w:rPr>
          <w:sz w:val="20"/>
          <w:szCs w:val="20"/>
          <w:color w:val="auto"/>
        </w:rPr>
      </w:pPr>
    </w:p>
    <w:p>
      <w:pPr>
        <w:jc w:val="both"/>
        <w:ind w:left="340"/>
        <w:spacing w:after="0" w:line="270" w:lineRule="auto"/>
        <w:rPr>
          <w:sz w:val="20"/>
          <w:szCs w:val="20"/>
          <w:color w:val="auto"/>
        </w:rPr>
      </w:pPr>
      <w:r>
        <w:rPr>
          <w:rFonts w:ascii="Arial" w:cs="Arial" w:eastAsia="Arial" w:hAnsi="Arial"/>
          <w:sz w:val="17"/>
          <w:szCs w:val="17"/>
          <w:i w:val="1"/>
          <w:iCs w:val="1"/>
          <w:color w:val="auto"/>
        </w:rPr>
        <w:t>EchoStar IX</w:t>
      </w:r>
      <w:r>
        <w:rPr>
          <w:rFonts w:ascii="Arial" w:cs="Arial" w:eastAsia="Arial" w:hAnsi="Arial"/>
          <w:sz w:val="17"/>
          <w:szCs w:val="17"/>
          <w:color w:val="auto"/>
        </w:rPr>
        <w:t>. Effective January 2008, DISH Network began receiving satellite services from us on the EchoStar IX satellite. Subject to availability, DISH</w:t>
      </w:r>
      <w:r>
        <w:rPr>
          <w:rFonts w:ascii="Arial" w:cs="Arial" w:eastAsia="Arial" w:hAnsi="Arial"/>
          <w:sz w:val="17"/>
          <w:szCs w:val="17"/>
          <w:i w:val="1"/>
          <w:iCs w:val="1"/>
          <w:color w:val="auto"/>
        </w:rPr>
        <w:t xml:space="preserve"> </w:t>
      </w:r>
      <w:r>
        <w:rPr>
          <w:rFonts w:ascii="Arial" w:cs="Arial" w:eastAsia="Arial" w:hAnsi="Arial"/>
          <w:sz w:val="17"/>
          <w:szCs w:val="17"/>
          <w:color w:val="auto"/>
        </w:rPr>
        <w:t>Network generally has the right to continue to receive satellite services from us on the EchoStar IX satellite on a month-to-month basis. We earned revenue of approximately $7.2 million from DISH Network under this agreement for the year ended December 31, 2017.</w:t>
      </w:r>
    </w:p>
    <w:p>
      <w:pPr>
        <w:spacing w:after="0" w:line="151" w:lineRule="exact"/>
        <w:rPr>
          <w:sz w:val="20"/>
          <w:szCs w:val="20"/>
          <w:color w:val="auto"/>
        </w:rPr>
      </w:pPr>
    </w:p>
    <w:p>
      <w:pPr>
        <w:jc w:val="both"/>
        <w:ind w:left="340"/>
        <w:spacing w:after="0" w:line="248" w:lineRule="auto"/>
        <w:rPr>
          <w:sz w:val="20"/>
          <w:szCs w:val="20"/>
          <w:color w:val="auto"/>
        </w:rPr>
      </w:pPr>
      <w:r>
        <w:rPr>
          <w:rFonts w:ascii="Arial" w:cs="Arial" w:eastAsia="Arial" w:hAnsi="Arial"/>
          <w:sz w:val="18"/>
          <w:szCs w:val="18"/>
          <w:i w:val="1"/>
          <w:iCs w:val="1"/>
          <w:color w:val="auto"/>
        </w:rPr>
        <w:t>EchoStar XII</w:t>
      </w:r>
      <w:r>
        <w:rPr>
          <w:rFonts w:ascii="Arial" w:cs="Arial" w:eastAsia="Arial" w:hAnsi="Arial"/>
          <w:sz w:val="18"/>
          <w:szCs w:val="18"/>
          <w:color w:val="auto"/>
        </w:rPr>
        <w:t>. DISH Network received satellite services from us on the EchoStar XII satellite. The term of the satellite services agreement expired at the</w:t>
      </w:r>
      <w:r>
        <w:rPr>
          <w:rFonts w:ascii="Arial" w:cs="Arial" w:eastAsia="Arial" w:hAnsi="Arial"/>
          <w:sz w:val="18"/>
          <w:szCs w:val="18"/>
          <w:i w:val="1"/>
          <w:iCs w:val="1"/>
          <w:color w:val="auto"/>
        </w:rPr>
        <w:t xml:space="preserve"> </w:t>
      </w:r>
      <w:r>
        <w:rPr>
          <w:rFonts w:ascii="Arial" w:cs="Arial" w:eastAsia="Arial" w:hAnsi="Arial"/>
          <w:sz w:val="18"/>
          <w:szCs w:val="18"/>
          <w:color w:val="auto"/>
        </w:rPr>
        <w:t>end of September 2017. We earned revenue of approximately $7.1 million from DISH Network under this agreement for the year ended December 31, 2017.</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368" w:right="239" w:bottom="1440" w:gutter="0" w:footer="0" w:header="0"/>
        </w:sectPr>
      </w:pPr>
    </w:p>
    <w:bookmarkStart w:id="39" w:name="page40"/>
    <w:bookmarkEnd w:id="39"/>
    <w:p>
      <w:pPr>
        <w:jc w:val="both"/>
        <w:spacing w:after="0" w:line="252" w:lineRule="auto"/>
        <w:rPr>
          <w:sz w:val="20"/>
          <w:szCs w:val="20"/>
          <w:color w:val="auto"/>
        </w:rPr>
      </w:pPr>
      <w:r>
        <w:rPr>
          <w:rFonts w:ascii="Arial" w:cs="Arial" w:eastAsia="Arial" w:hAnsi="Arial"/>
          <w:sz w:val="17"/>
          <w:szCs w:val="17"/>
          <w:i w:val="1"/>
          <w:iCs w:val="1"/>
          <w:color w:val="auto"/>
        </w:rPr>
        <w:t>EchoStar XVI</w:t>
      </w:r>
      <w:r>
        <w:rPr>
          <w:rFonts w:ascii="Arial" w:cs="Arial" w:eastAsia="Arial" w:hAnsi="Arial"/>
          <w:sz w:val="17"/>
          <w:szCs w:val="17"/>
          <w:color w:val="auto"/>
        </w:rPr>
        <w:t>. In December 2009, we entered into an initial ten-year transponder service agreement with DISH Network, pursuant to which DISH</w:t>
      </w:r>
      <w:r>
        <w:rPr>
          <w:rFonts w:ascii="Arial" w:cs="Arial" w:eastAsia="Arial" w:hAnsi="Arial"/>
          <w:sz w:val="17"/>
          <w:szCs w:val="17"/>
          <w:i w:val="1"/>
          <w:iCs w:val="1"/>
          <w:color w:val="auto"/>
        </w:rPr>
        <w:t xml:space="preserve"> </w:t>
      </w:r>
      <w:r>
        <w:rPr>
          <w:rFonts w:ascii="Arial" w:cs="Arial" w:eastAsia="Arial" w:hAnsi="Arial"/>
          <w:sz w:val="17"/>
          <w:szCs w:val="17"/>
          <w:color w:val="auto"/>
        </w:rPr>
        <w:t>Network has received satellite services from us on the EchoStar XVI satellite since January 2013. Effective December 2012, we and DISH Network amended the transponder service agreement to, among other things, change the initial term to generally expire upon the earlier of: (i) the end-of-life or replacement of the satellite; (ii) the date the satellite fails; (iii) the date the transponder(s) on which service is being provided under the agreement fails; or (iv) four years following the actual service commencement date. In July 2016, we and DISH Network further amended the transponder service agreement to, among other things, extend the initial term by one additional year through January 2018 and to reduce the term of the first renewal option by one year. In May 2017, DISH Network renewed the satellite services agreement relative to the EchoStar XVI satellite for five years to January 2023. DISH Network has the option to renew for an additional five-year period prior to expiration of the current term. There can be no assurance that such option to renew this agreement will be exercised. In the event that DISH Network does not exercise its five-year renewal option, DISH Network has the option to purchase the EchoStar XVI satellite for a certain price. If DISH Network does not elect to purchase the EchoStar XVI satellite at that time, we may sell the EchoStar XVI satellite to a third party and DISH Network is required to pay us a certain amount in the event we are not able to sell the EchoStar XVI satellite for more than a certain amount. We earned revenue of approximately $73.2 million from DISH Network under this agreement for the year ended December 31, 2017.</w:t>
      </w:r>
    </w:p>
    <w:p>
      <w:pPr>
        <w:spacing w:after="0" w:line="168" w:lineRule="exact"/>
        <w:rPr>
          <w:sz w:val="20"/>
          <w:szCs w:val="20"/>
          <w:color w:val="auto"/>
        </w:rPr>
      </w:pPr>
    </w:p>
    <w:p>
      <w:pPr>
        <w:jc w:val="both"/>
        <w:spacing w:after="0" w:line="270" w:lineRule="auto"/>
        <w:rPr>
          <w:sz w:val="20"/>
          <w:szCs w:val="20"/>
          <w:color w:val="auto"/>
        </w:rPr>
      </w:pPr>
      <w:r>
        <w:rPr>
          <w:rFonts w:ascii="Arial" w:cs="Arial" w:eastAsia="Arial" w:hAnsi="Arial"/>
          <w:sz w:val="16"/>
          <w:szCs w:val="16"/>
          <w:i w:val="1"/>
          <w:iCs w:val="1"/>
          <w:color w:val="auto"/>
        </w:rPr>
        <w:t>Nimiq 5 Agreement</w:t>
      </w:r>
      <w:r>
        <w:rPr>
          <w:rFonts w:ascii="Arial" w:cs="Arial" w:eastAsia="Arial" w:hAnsi="Arial"/>
          <w:sz w:val="16"/>
          <w:szCs w:val="16"/>
          <w:color w:val="auto"/>
        </w:rPr>
        <w:t>. In September 2009, we entered into a fifteen-year satellite service agreement with Telesat Canada (“Telesat”) to receive service on</w:t>
      </w:r>
      <w:r>
        <w:rPr>
          <w:rFonts w:ascii="Arial" w:cs="Arial" w:eastAsia="Arial" w:hAnsi="Arial"/>
          <w:sz w:val="16"/>
          <w:szCs w:val="16"/>
          <w:i w:val="1"/>
          <w:iCs w:val="1"/>
          <w:color w:val="auto"/>
        </w:rPr>
        <w:t xml:space="preserve"> </w:t>
      </w:r>
      <w:r>
        <w:rPr>
          <w:rFonts w:ascii="Arial" w:cs="Arial" w:eastAsia="Arial" w:hAnsi="Arial"/>
          <w:sz w:val="16"/>
          <w:szCs w:val="16"/>
          <w:color w:val="auto"/>
        </w:rPr>
        <w:t>all 32 DBS transponders on the Nimiq 5 satellite at the 72.7 degree west longitude orbital location (the “Telesat Transponder Agreement”). In September 2009, we also entered into a satellite service agreement (the “DISH Nimiq 5 Agreement”) with DISH Network, pursuant to which DISH Network receives satellite services from us on all 32 of the DBS transponders covered by the Telesat Transponder Agreement. Under the terms of the DISH Nimiq 5 Agreement, DISH Network makes certain monthly payments to us that commenced in September 2009, when the Nimiq 5 satellite was placed into service, and continue through the service term. Unless earlier terminated under the terms and conditions of the DISH Nimiq 5 Agreement, the service term will expire in October 2019. Upon expiration of the initial term, DISH Network has the option to renew the DISH Nimiq 5 Agreement on a year-to-year basis through the end of life of the Nimiq 5 satellite. Upon in-orbit failure or end of life of the Nimiq 5 satellite, and in certain other circumstances, DISH Network has certain rights to receive service from us on a replacement satellite. There can be no assurance that any options to renew the DISH Nimiq 5 Agreement will be exercised or that DISH Network will exercise its option to receive service on a replacement satellite. We earned revenue of approximately $78.9 million from DISH Network under this agreement for the year ended December 31, 2017.</w:t>
      </w:r>
    </w:p>
    <w:p>
      <w:pPr>
        <w:spacing w:after="0" w:line="154" w:lineRule="exact"/>
        <w:rPr>
          <w:sz w:val="20"/>
          <w:szCs w:val="20"/>
          <w:color w:val="auto"/>
        </w:rPr>
      </w:pPr>
    </w:p>
    <w:p>
      <w:pPr>
        <w:jc w:val="both"/>
        <w:spacing w:after="0" w:line="251" w:lineRule="auto"/>
        <w:rPr>
          <w:sz w:val="20"/>
          <w:szCs w:val="20"/>
          <w:color w:val="auto"/>
        </w:rPr>
      </w:pPr>
      <w:r>
        <w:rPr>
          <w:rFonts w:ascii="Arial" w:cs="Arial" w:eastAsia="Arial" w:hAnsi="Arial"/>
          <w:sz w:val="17"/>
          <w:szCs w:val="17"/>
          <w:i w:val="1"/>
          <w:iCs w:val="1"/>
          <w:color w:val="auto"/>
        </w:rPr>
        <w:t>QuetzSat-1 Agreement</w:t>
      </w:r>
      <w:r>
        <w:rPr>
          <w:rFonts w:ascii="Arial" w:cs="Arial" w:eastAsia="Arial" w:hAnsi="Arial"/>
          <w:sz w:val="17"/>
          <w:szCs w:val="17"/>
          <w:color w:val="auto"/>
        </w:rPr>
        <w:t>. In November 2008, we entered into a ten-year satellite service agreement with SES Latin America, which provides, among other</w:t>
      </w:r>
      <w:r>
        <w:rPr>
          <w:rFonts w:ascii="Arial" w:cs="Arial" w:eastAsia="Arial" w:hAnsi="Arial"/>
          <w:sz w:val="17"/>
          <w:szCs w:val="17"/>
          <w:i w:val="1"/>
          <w:iCs w:val="1"/>
          <w:color w:val="auto"/>
        </w:rPr>
        <w:t xml:space="preserve"> </w:t>
      </w:r>
      <w:r>
        <w:rPr>
          <w:rFonts w:ascii="Arial" w:cs="Arial" w:eastAsia="Arial" w:hAnsi="Arial"/>
          <w:sz w:val="17"/>
          <w:szCs w:val="17"/>
          <w:color w:val="auto"/>
        </w:rPr>
        <w:t>things, for the provision by SES Latin America to us of service on 32 DBS transponders on the QuetzSat-1 satellite. Concurrently, in 2008, we entered into a transponder service agreement with DISH Network, pursuant to which DISH Network receives satellite services on 24 of the DBS transponders on the QuetzSat-1 satellite. The QuetzSat-1 satellite was launched in September 2011 and was placed into service in November 2011 at the 67.1 degree west longitude orbital location. In February 2013, we and DISH Network entered into an agreement pursuant to which we receive certain satellite services from DISH Network on five DBS transponders on the QuetzSat-1 satellite. In January 2013, the QuetzSat-1 satellite was moved to the 77 degree west longitude orbital location and DISH Network commenced commercial operations at such location in February 2013. Under the terms of our contractual arrangements with DISH Network, we began to provide service to DISH Network on the QuetzSat-1 satellite in February 2013 and will continue to provide service through the remainder of the service term. Unless extended or earlier terminated under the terms and conditions of our agreement with DISH Network for the QuetzSat-1 satellite, the initial service term will expire in November 2021. Upon expiration of the initial service term, DISH Network has the option to renew the agreement for the QuetzSat-1 satellite on a year-to-year basis through the end of life of the QuetzSat-1 satellite. Upon an in-orbit failure or end of life of the QuetzSat-1 satellite, and in certain other circumstances, DISH Network has certain rights to receive service from us on a replacement satellite. There can be no assurance that any options to renew this agreement will be exercised or that DISH Network will exercise its option to receive service on a replacement satellite. We earned revenue of approximately $30.2 million from DISH Network under this agreement for the year ended December 31, 2017.</w:t>
      </w:r>
    </w:p>
    <w:p>
      <w:pPr>
        <w:spacing w:after="0" w:line="175" w:lineRule="exact"/>
        <w:rPr>
          <w:sz w:val="20"/>
          <w:szCs w:val="20"/>
          <w:color w:val="auto"/>
        </w:rPr>
      </w:pPr>
    </w:p>
    <w:p>
      <w:pPr>
        <w:jc w:val="both"/>
        <w:spacing w:after="0" w:line="253" w:lineRule="auto"/>
        <w:rPr>
          <w:sz w:val="20"/>
          <w:szCs w:val="20"/>
          <w:color w:val="auto"/>
        </w:rPr>
      </w:pPr>
      <w:r>
        <w:rPr>
          <w:rFonts w:ascii="Arial" w:cs="Arial" w:eastAsia="Arial" w:hAnsi="Arial"/>
          <w:sz w:val="17"/>
          <w:szCs w:val="17"/>
          <w:i w:val="1"/>
          <w:iCs w:val="1"/>
          <w:color w:val="auto"/>
        </w:rPr>
        <w:t xml:space="preserve">103 Degree Orbital Location/SES-3. </w:t>
      </w:r>
      <w:r>
        <w:rPr>
          <w:rFonts w:ascii="Arial" w:cs="Arial" w:eastAsia="Arial" w:hAnsi="Arial"/>
          <w:sz w:val="17"/>
          <w:szCs w:val="17"/>
          <w:color w:val="auto"/>
        </w:rPr>
        <w:t>In May 2012, we entered into a spectrum development agreement (the “103 Spectrum Development Agreement”)</w:t>
      </w:r>
      <w:r>
        <w:rPr>
          <w:rFonts w:ascii="Arial" w:cs="Arial" w:eastAsia="Arial" w:hAnsi="Arial"/>
          <w:sz w:val="17"/>
          <w:szCs w:val="17"/>
          <w:i w:val="1"/>
          <w:iCs w:val="1"/>
          <w:color w:val="auto"/>
        </w:rPr>
        <w:t xml:space="preserve"> </w:t>
      </w:r>
      <w:r>
        <w:rPr>
          <w:rFonts w:ascii="Arial" w:cs="Arial" w:eastAsia="Arial" w:hAnsi="Arial"/>
          <w:sz w:val="17"/>
          <w:szCs w:val="17"/>
          <w:color w:val="auto"/>
        </w:rPr>
        <w:t>with Ciel Satellite Holdings Inc. (“Ciel”) to develop certain spectrum rights at the 103 degree west longitude orbital location (the “103 Spectrum Rights”). In June 2013, we and DISH Network entered into a spectrum development agreement (the “DISH 103 Spectrum Development Agreement”) pursuant to which DISH Network may use and develop the 103 Spectrum Rights. Unless earlier terminated under the terms and conditions of the DISH 103 Spectrum Development Agreement, the term generally will continue for the duration of the 103 Spectrum Rights. In connection with the 103 Spectrum Development Agreement, in May 2012, we also entered into a ten-year service agreement with Ciel pursuant to which we receive certain satellite services from Ciel on the SES-3 satellite at the 103 degree orbital location. In June 2013, we and DISH Network entered into an agreement pursuant to which DISH Network receives certain satellite services from us on the SES-3 satellite (the “DISH 103 Service Agreement”). Under the terms of the DISH 103 Service Agreement, DISH Network makes certain monthly payments to us through the service term. Unless earlier terminated under the terms and conditions of the DISH 103 Service Agreement, the initial service</w:t>
      </w:r>
    </w:p>
    <w:p>
      <w:pPr>
        <w:spacing w:after="0" w:line="208"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080"/>
          </w:cols>
          <w:pgMar w:left="580" w:top="571" w:right="239" w:bottom="1440" w:gutter="0" w:footer="0" w:header="0"/>
        </w:sectPr>
      </w:pPr>
    </w:p>
    <w:bookmarkStart w:id="40" w:name="page41"/>
    <w:bookmarkEnd w:id="40"/>
    <w:p>
      <w:pPr>
        <w:jc w:val="both"/>
        <w:ind w:left="340"/>
        <w:spacing w:after="0" w:line="241" w:lineRule="auto"/>
        <w:rPr>
          <w:sz w:val="20"/>
          <w:szCs w:val="20"/>
          <w:color w:val="auto"/>
        </w:rPr>
      </w:pPr>
      <w:r>
        <w:rPr>
          <w:rFonts w:ascii="Arial" w:cs="Arial" w:eastAsia="Arial" w:hAnsi="Arial"/>
          <w:sz w:val="18"/>
          <w:szCs w:val="18"/>
          <w:color w:val="auto"/>
        </w:rPr>
        <w:t>term will expire on the earlier of: (i) the date the SES-3 satellite fails; (ii) the date the transponder(s) on which service was being provided under the agreement fails; or (iii) June 2023. Upon in-orbit failure or end of life of the SES-3 satellite, and in certain other circumstances, DISH Network has certain rights to receive service from us on a replacement satellite. There can be no assurance that DISH Network will exercise its option to receive service on a replacement satellite. We earned revenue of approximately $1.3 million from DISH Network under this agreement for the year ended December 31, 2017.</w:t>
      </w:r>
    </w:p>
    <w:p>
      <w:pPr>
        <w:spacing w:after="0" w:line="176" w:lineRule="exact"/>
        <w:rPr>
          <w:sz w:val="20"/>
          <w:szCs w:val="20"/>
          <w:color w:val="auto"/>
        </w:rPr>
      </w:pPr>
    </w:p>
    <w:p>
      <w:pPr>
        <w:jc w:val="both"/>
        <w:spacing w:after="0" w:line="254" w:lineRule="auto"/>
        <w:rPr>
          <w:sz w:val="20"/>
          <w:szCs w:val="20"/>
          <w:color w:val="auto"/>
        </w:rPr>
      </w:pPr>
      <w:r>
        <w:rPr>
          <w:rFonts w:ascii="Arial" w:cs="Arial" w:eastAsia="Arial" w:hAnsi="Arial"/>
          <w:sz w:val="17"/>
          <w:szCs w:val="17"/>
          <w:b w:val="1"/>
          <w:bCs w:val="1"/>
          <w:i w:val="1"/>
          <w:iCs w:val="1"/>
          <w:color w:val="auto"/>
        </w:rPr>
        <w:t>Satellite and Tracking Stock Transaction</w:t>
      </w:r>
      <w:r>
        <w:rPr>
          <w:rFonts w:ascii="Arial" w:cs="Arial" w:eastAsia="Arial" w:hAnsi="Arial"/>
          <w:sz w:val="17"/>
          <w:szCs w:val="17"/>
          <w:color w:val="auto"/>
        </w:rPr>
        <w:t>. In February 2014, we entered into agreements with DISH Network to implement a transaction pursuant to which,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among other things: (i) in March 2014, EchoStar and Hughes Satellite Systems Corporation, a wholly-owned subsidiary of EchoStar, issued the Preferred Tracking Stock to DISH Network in exchange for five satellites owned by DISH Network (EchoStar I, EchoStar VII, EchoStar X, EchoStar XI and EchoStar XIV) (including assumption of related in-orbit incentive obligations) and approximately $11.4 million in cash; and (ii) in March 2014, DISH Network began receiving certain satellite services from us as discussed above on these five satellites (collectively, the “Satellite and Tracking Stock Transaction”). The Preferred Tracking Stock was retired in March 2017 and is no longer outstanding and all agreements, arrangements and policy statements with respect to such tracking stock terminated and are of no further effect. See the “Satellite Services Provided to DISH Network” discussion above for the revenue we earned from DISH Network for the year ended December 31, 2017 on these satellites.</w:t>
      </w:r>
    </w:p>
    <w:p>
      <w:pPr>
        <w:spacing w:after="0" w:line="168" w:lineRule="exact"/>
        <w:rPr>
          <w:sz w:val="20"/>
          <w:szCs w:val="20"/>
          <w:color w:val="auto"/>
        </w:rPr>
      </w:pPr>
    </w:p>
    <w:p>
      <w:pPr>
        <w:jc w:val="both"/>
        <w:spacing w:after="0" w:line="276" w:lineRule="auto"/>
        <w:rPr>
          <w:sz w:val="20"/>
          <w:szCs w:val="20"/>
          <w:color w:val="auto"/>
        </w:rPr>
      </w:pPr>
      <w:r>
        <w:rPr>
          <w:rFonts w:ascii="Arial" w:cs="Arial" w:eastAsia="Arial" w:hAnsi="Arial"/>
          <w:sz w:val="16"/>
          <w:szCs w:val="16"/>
          <w:b w:val="1"/>
          <w:bCs w:val="1"/>
          <w:i w:val="1"/>
          <w:iCs w:val="1"/>
          <w:color w:val="auto"/>
        </w:rPr>
        <w:t xml:space="preserve">Set-Top Box Application Development Agreement. </w:t>
      </w:r>
      <w:r>
        <w:rPr>
          <w:rFonts w:ascii="Arial" w:cs="Arial" w:eastAsia="Arial" w:hAnsi="Arial"/>
          <w:sz w:val="16"/>
          <w:szCs w:val="16"/>
          <w:color w:val="auto"/>
        </w:rPr>
        <w:t>In November 2012, one of our former subsidiaries and DISH Network entered into a set-top box</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application development agreement (the “Application Development Agreement”) pursuant to which we provided DISH Network with certain services relating to the development of web-based applications for set-top boxes. The fees for services provided under the Application Development Agreement were calculated at our cost of providing the relevant service plus a fixed margin, which depended on the nature of the services provided. This agreement was transferred to DISH Network as part of the Share Exchange and we have no further obligations and have earned no additional revenue under this agreement after February 2017. We earned revenue of approximately $1.7 million from DISH Network under this agreement for the year ended December 31, 2017.</w:t>
      </w:r>
    </w:p>
    <w:p>
      <w:pPr>
        <w:spacing w:after="0" w:line="149" w:lineRule="exact"/>
        <w:rPr>
          <w:sz w:val="20"/>
          <w:szCs w:val="20"/>
          <w:color w:val="auto"/>
        </w:rPr>
      </w:pPr>
    </w:p>
    <w:p>
      <w:pPr>
        <w:jc w:val="both"/>
        <w:spacing w:after="0" w:line="269" w:lineRule="auto"/>
        <w:rPr>
          <w:sz w:val="20"/>
          <w:szCs w:val="20"/>
          <w:color w:val="auto"/>
        </w:rPr>
      </w:pPr>
      <w:r>
        <w:rPr>
          <w:rFonts w:ascii="Arial" w:cs="Arial" w:eastAsia="Arial" w:hAnsi="Arial"/>
          <w:sz w:val="16"/>
          <w:szCs w:val="16"/>
          <w:b w:val="1"/>
          <w:bCs w:val="1"/>
          <w:i w:val="1"/>
          <w:iCs w:val="1"/>
          <w:color w:val="auto"/>
        </w:rPr>
        <w:t>Share Exchange Agreement</w:t>
      </w:r>
      <w:r>
        <w:rPr>
          <w:rFonts w:ascii="Arial" w:cs="Arial" w:eastAsia="Arial" w:hAnsi="Arial"/>
          <w:sz w:val="16"/>
          <w:szCs w:val="16"/>
          <w:color w:val="auto"/>
        </w:rPr>
        <w:t>. On January 31, 2017, EchoStar and certain of its subsidiaries entered into the Share Exchange Agreement with DISH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certain of its subsidiaries pursuant to which, on February 28, 2017, EchoStar and its subsidiaries received all of the shares of the Preferred Tracking Stock in exchange for 100% of the equity interests of certain EchoStar subsidiaries that held substantially all of our EchoStar Technologies businesses and certain other assets. Following consummation of the Share Exchange on February 28, 2017, EchoStar no longer operates the transferred EchoStar Technologies businesses and the Preferred Tracking Stock was retired and is no longer outstanding and all agreements, arrangements and policy statements with respect to such tracking stock terminated and are of no further effect. Pursuant to the Share Exchange Agreement, EchoStar transferred certain assets, investments in joint ventures, spectrum licenses and real estate properties and DISH Network assumed certain liabilities relating to the transferred assets and businesses. The Share Exchange Agreement contains customary representations and warranties by the parties, including representations by EchoStar related to the transferred assets, assumed liabilities and the financial condition of the transferred businesses. EchoStar and DISH Network have also agreed to customary indemnification provisions whereby each party indemnifies the other against certain losses with respect to breaches of representations, warranties or covenants and certain liabilities and if certain actions undertaken by it causes the transaction to be taxable to the other party after closing. There were no revenue, expenses or payments between us and DISH Network under or relating to this agreement for the year ended December 31, 2017.</w:t>
      </w:r>
    </w:p>
    <w:p>
      <w:pPr>
        <w:spacing w:after="0" w:line="159" w:lineRule="exact"/>
        <w:rPr>
          <w:sz w:val="20"/>
          <w:szCs w:val="20"/>
          <w:color w:val="auto"/>
        </w:rPr>
      </w:pPr>
    </w:p>
    <w:p>
      <w:pPr>
        <w:jc w:val="both"/>
        <w:spacing w:after="0" w:line="259" w:lineRule="auto"/>
        <w:rPr>
          <w:sz w:val="20"/>
          <w:szCs w:val="20"/>
          <w:color w:val="auto"/>
        </w:rPr>
      </w:pPr>
      <w:r>
        <w:rPr>
          <w:rFonts w:ascii="Arial" w:cs="Arial" w:eastAsia="Arial" w:hAnsi="Arial"/>
          <w:sz w:val="17"/>
          <w:szCs w:val="17"/>
          <w:b w:val="1"/>
          <w:bCs w:val="1"/>
          <w:i w:val="1"/>
          <w:iCs w:val="1"/>
          <w:color w:val="auto"/>
        </w:rPr>
        <w:t>SlingService Services Agreement</w:t>
      </w:r>
      <w:r>
        <w:rPr>
          <w:rFonts w:ascii="Arial" w:cs="Arial" w:eastAsia="Arial" w:hAnsi="Arial"/>
          <w:sz w:val="17"/>
          <w:szCs w:val="17"/>
          <w:color w:val="auto"/>
        </w:rPr>
        <w:t>. Effective February 2010, one of our former subsidiaries entered into an agreement with DISH Network pursuant to which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DISH Network received certain services related to placeshifting. The fees for the services provided under this services agreement depended, among other things, upon the cost to develop and operate such services. This agreement was transferred to DISH Network as part of the Share Exchange and we have no further obligations and have earned no additional revenue under this agreement after February 2017. We earned revenue of approximately $0.9 million from DISH Network under this agreement for the year ended December 31, 2017.</w:t>
      </w:r>
    </w:p>
    <w:p>
      <w:pPr>
        <w:spacing w:after="0" w:line="161" w:lineRule="exact"/>
        <w:rPr>
          <w:sz w:val="20"/>
          <w:szCs w:val="20"/>
          <w:color w:val="auto"/>
        </w:rPr>
      </w:pPr>
    </w:p>
    <w:p>
      <w:pPr>
        <w:jc w:val="both"/>
        <w:spacing w:after="0" w:line="241" w:lineRule="auto"/>
        <w:rPr>
          <w:sz w:val="20"/>
          <w:szCs w:val="20"/>
          <w:color w:val="auto"/>
        </w:rPr>
      </w:pPr>
      <w:r>
        <w:rPr>
          <w:rFonts w:ascii="Arial" w:cs="Arial" w:eastAsia="Arial" w:hAnsi="Arial"/>
          <w:sz w:val="18"/>
          <w:szCs w:val="18"/>
          <w:b w:val="1"/>
          <w:bCs w:val="1"/>
          <w:i w:val="1"/>
          <w:iCs w:val="1"/>
          <w:color w:val="auto"/>
        </w:rPr>
        <w:t>Sling Trademark License Agreement</w:t>
      </w:r>
      <w:r>
        <w:rPr>
          <w:rFonts w:ascii="Arial" w:cs="Arial" w:eastAsia="Arial" w:hAnsi="Arial"/>
          <w:sz w:val="18"/>
          <w:szCs w:val="18"/>
          <w:color w:val="auto"/>
        </w:rPr>
        <w:t>. In December 2014, Sling TV Holding L.L.C. (“Sling TV Holding”) entered into an agreement with Sling Media, Inc.,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former subsidiary, pursuant to which Sling TV Holding had the right, for a fixed fee, to use certain trademarks, domain names and other intellectual property related to the “Sling” trademark. This agreement was transferred to DISH Network as part of the Share Exchange and we have no further obligations and have earned no additional revenue under this agreement after February 2017. We earned revenue of approximately $0.2 million from Sling TV Holding under this agreement for the year ended December 31, 2017.</w:t>
      </w:r>
    </w:p>
    <w:p>
      <w:pPr>
        <w:spacing w:after="0" w:line="176" w:lineRule="exact"/>
        <w:rPr>
          <w:sz w:val="20"/>
          <w:szCs w:val="20"/>
          <w:color w:val="auto"/>
        </w:rPr>
      </w:pPr>
    </w:p>
    <w:p>
      <w:pPr>
        <w:jc w:val="both"/>
        <w:spacing w:after="0"/>
        <w:rPr>
          <w:sz w:val="20"/>
          <w:szCs w:val="20"/>
          <w:color w:val="auto"/>
        </w:rPr>
      </w:pPr>
      <w:r>
        <w:rPr>
          <w:rFonts w:ascii="Arial" w:cs="Arial" w:eastAsia="Arial" w:hAnsi="Arial"/>
          <w:sz w:val="18"/>
          <w:szCs w:val="18"/>
          <w:b w:val="1"/>
          <w:bCs w:val="1"/>
          <w:i w:val="1"/>
          <w:iCs w:val="1"/>
          <w:color w:val="auto"/>
        </w:rPr>
        <w:t>Sling TV Holding</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Effective July 2012, we and DISH Network formed Sling TV Holding, which was owned two-thirds by DISH Network and one-third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us. Sling TV Holding was formed to develop and commercialize certain advanced technologies. At that time, we, DISH Network and Sling TV Holding entered into the following agreements with respect to Sling TV Holding: (i) a contribution agreement pursuant to which we and DISH Network contributed certain assets in exchange for our respective ownership interests in Sling TV Holding; (ii) a limited liability company operating agreement (“Operating Agreement”), which provided for the governance of Sling TV Holding; and (iii) a commercial agreement (“Commercial Agreement”) pursuant to which, among other things, Sling TV Holding had:</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368" w:right="239" w:bottom="1440" w:gutter="0" w:footer="0" w:header="0"/>
        </w:sectPr>
      </w:pPr>
    </w:p>
    <w:bookmarkStart w:id="41" w:name="page42"/>
    <w:bookmarkEnd w:id="41"/>
    <w:p>
      <w:pPr>
        <w:jc w:val="both"/>
        <w:ind w:firstLine="8"/>
        <w:spacing w:after="0" w:line="270" w:lineRule="auto"/>
        <w:tabs>
          <w:tab w:leader="none" w:pos="255" w:val="left"/>
        </w:tabs>
        <w:numPr>
          <w:ilvl w:val="0"/>
          <w:numId w:val="26"/>
        </w:numPr>
        <w:rPr>
          <w:rFonts w:ascii="Arial" w:cs="Arial" w:eastAsia="Arial" w:hAnsi="Arial"/>
          <w:sz w:val="17"/>
          <w:szCs w:val="17"/>
          <w:color w:val="auto"/>
        </w:rPr>
      </w:pPr>
      <w:r>
        <w:rPr>
          <w:rFonts w:ascii="Arial" w:cs="Arial" w:eastAsia="Arial" w:hAnsi="Arial"/>
          <w:sz w:val="17"/>
          <w:szCs w:val="17"/>
          <w:color w:val="auto"/>
        </w:rPr>
        <w:t>certain rights and corresponding obligations with respect to its business; and (b) the right, but not the obligation, to receive certain services from us and DISH Network, respectively. Additionally, the spouse of Mr. Vivek Khemka, who was the President -- EchoStar Technologies L.L.C. during portions of 2016 and through February 2017, was employed as Vice President of Business Development and Operations of Sling TV Holding.</w:t>
      </w:r>
    </w:p>
    <w:p>
      <w:pPr>
        <w:spacing w:after="0" w:line="151"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Effective August 2014, we and Sling TV Holding entered into an exchange agreement (“Exchange Agreement”) pursuant to which, among other things, Sling TV Holding distributed certain assets to us and we reduced our interest in Sling TV Holding to a 10.0% non-voting interest. As a result, DISH Network had a 90.0% equity interest and a 100% voting interest in Sling TV Holding. In addition, we, DISH Network and Sling TV Holding amended and restated the Operating Agreement, primarily to reflect the changes implemented by the Exchange Agreement. Finally, we, DISH Network and Sling TV Holding amended and restated the Commercial Agreement, pursuant to which, among other things, Sling TV Holding: (1) had certain rights and corresponding obligations with respect to its business; (2) had the right, but not the obligation, to receive certain services from us and DISH Network; and (3) had a license from us to use certain of the assets distributed to us as part of the Exchange Agreement. Effective March 2017 following the consummation of the Share Exchange, we no longer hold our investment in Sling TV Holding. Effective March 2017 in connection with the Share Exchange, we and DISH Network terminated the Exchange Agreement and the Commercial Agreement and we have no further obligations and have earned no additional revenue under these agreements after February 2017. We earned revenue of approximately $24.1 million from Sling TV Holding under the Commercial Agreement for the year ended December 31, 2017.</w:t>
      </w:r>
    </w:p>
    <w:p>
      <w:pPr>
        <w:spacing w:after="0" w:line="164" w:lineRule="exact"/>
        <w:rPr>
          <w:sz w:val="20"/>
          <w:szCs w:val="20"/>
          <w:color w:val="auto"/>
        </w:rPr>
      </w:pPr>
    </w:p>
    <w:p>
      <w:pPr>
        <w:jc w:val="both"/>
        <w:spacing w:after="0" w:line="253" w:lineRule="auto"/>
        <w:rPr>
          <w:sz w:val="20"/>
          <w:szCs w:val="20"/>
          <w:color w:val="auto"/>
        </w:rPr>
      </w:pPr>
      <w:r>
        <w:rPr>
          <w:rFonts w:ascii="Arial" w:cs="Arial" w:eastAsia="Arial" w:hAnsi="Arial"/>
          <w:sz w:val="17"/>
          <w:szCs w:val="17"/>
          <w:b w:val="1"/>
          <w:bCs w:val="1"/>
          <w:i w:val="1"/>
          <w:iCs w:val="1"/>
          <w:color w:val="auto"/>
        </w:rPr>
        <w:t>Tax Matters Agreement</w:t>
      </w:r>
      <w:r>
        <w:rPr>
          <w:rFonts w:ascii="Arial" w:cs="Arial" w:eastAsia="Arial" w:hAnsi="Arial"/>
          <w:sz w:val="17"/>
          <w:szCs w:val="17"/>
          <w:color w:val="auto"/>
        </w:rPr>
        <w:t>. Effective March 2017, in connection with the Share Exchange, we and DISH entered into a tax matters agreement. This agreement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governs certain of our rights, responsibilities and obligations with respect to taxes of the transferred businesses pursuant to the Share Exchange. Generally, we are responsible for all tax returns and tax liabilities for the transferred businesses and assets for periods prior to the Share Exchange and DISH Network is responsible for all tax returns and tax liabilities for the transferred businesses and assets from and after the Share Exchange. Both we and DISH Network have made certain tax-related representations and are subject to various tax-related covenants after the consummation of the Share Exchange. Both we and DISH Network have agreed to indemnify each other if there is a breach of any such tax representation or violation of any such tax covenant and that breach or violation results in the Share Exchange not qualifying for tax free treatment for the other party. In addition, DISH Network has agreed to indemnify us if the transferred businesses are acquired, either directly or indirectly (e.g., via an acquisition of DISH Network), by one or more persons and such acquisition results in the Share Exchange not qualifying for tax free treatment. The tax matters agreement supplements the Tax Sharing Agreement outlined below, which continues in full force and effect. There were no revenue, expenses or payments between us and DISH Network under or relating to this agreement for the year ended December 31, 2017.</w:t>
      </w:r>
    </w:p>
    <w:p>
      <w:pPr>
        <w:spacing w:after="0" w:line="164" w:lineRule="exact"/>
        <w:rPr>
          <w:sz w:val="20"/>
          <w:szCs w:val="20"/>
          <w:color w:val="auto"/>
        </w:rPr>
      </w:pPr>
    </w:p>
    <w:p>
      <w:pPr>
        <w:jc w:val="both"/>
        <w:spacing w:after="0" w:line="253" w:lineRule="auto"/>
        <w:rPr>
          <w:sz w:val="20"/>
          <w:szCs w:val="20"/>
          <w:color w:val="auto"/>
        </w:rPr>
      </w:pPr>
      <w:r>
        <w:rPr>
          <w:rFonts w:ascii="Arial" w:cs="Arial" w:eastAsia="Arial" w:hAnsi="Arial"/>
          <w:sz w:val="17"/>
          <w:szCs w:val="17"/>
          <w:b w:val="1"/>
          <w:bCs w:val="1"/>
          <w:i w:val="1"/>
          <w:iCs w:val="1"/>
          <w:color w:val="auto"/>
        </w:rPr>
        <w:t>Tax Sharing Agreement</w:t>
      </w:r>
      <w:r>
        <w:rPr>
          <w:rFonts w:ascii="Arial" w:cs="Arial" w:eastAsia="Arial" w:hAnsi="Arial"/>
          <w:sz w:val="17"/>
          <w:szCs w:val="17"/>
          <w:color w:val="auto"/>
        </w:rPr>
        <w:t>. Effective December 2007, we and DISH Network entered into a tax sharing agreement (the “Tax Sharing Agreement”)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connection with the Spin-off. This agreement governs our respective rights, responsibilities and obligations after the Spin-off with respect to taxes for the periods ending on or before the Spin-off. Generally, all pre-Spin-off taxes, including any taxes that are incurred as a result of restructuring activities undertaken to implement the Spin-off, are borne by DISH Network, and DISH Network indemnifies us for such taxes. However, DISH Network is not liable for and does not indemnify us for any taxes that are incurred as a result of the Spin-off or certain related transactions failing to qualify as tax-free distributions pursuant to any provision of Section 355 or Section 361 of the Internal Revenue Code, because of: (i) a direct or indirect acquisition of any of our stock, stock options or assets; (ii) any action that we take or fail to take; or (iii) any action that we take that is inconsistent with the information and representations furnished to the IRS in connection with the request for the private letter ruling, or to counsel in connection with any opinion being delivered by counsel with respect to the Spin-off or certain related transactions. In such case, we will be solely liable for, and will indemnify DISH Network for, any resulting taxes, as well as any losses, claims and expenses. The Tax Sharing Agreement will terminate after the later of the full period of all applicable statutes of limitations, including extensions, or once all rights and obligations are fully effectuated or performed.</w:t>
      </w:r>
    </w:p>
    <w:p>
      <w:pPr>
        <w:spacing w:after="0" w:line="164"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In light of the Tax Sharing Agreement, among other things, and in connection with our consolidated federal income tax returns for certain tax years prior to and for the year of the Spin-off, in September 2013, we and DISH Network agreed upon a supplemental allocation of the tax benefits arising from certain tax items resolved in the course of the IRS’s examination of our consolidated tax returns. Prior to the agreement with DISH Network in 2013, the federal tax benefits were reflected as a deferred tax asset for depreciation and amortization, which was netted in our noncurrent deferred tax liabilities. The agreement with DISH Network in 2013 requires DISH Network to pay us the federal tax benefit it receives at such time as we would have otherwise been able to realize such tax benefit. We recorded a noncurrent receivable from DISH Network and a corresponding increase in our net noncurrent deferred tax liabilities to reflect the effects of this agreement in September 2013. In addition, in September 2013, we and DISH Network agreed upon a tax sharing arrangement for filing certain combined state income tax returns and a method of allocating the respective tax liabilities between us and DISH Network for such combined returns, through the taxable period ending on December 31, 2017 (the “State Tax Arrangement”). Under this tax sharing arrangement, our allocated state tax liability payable to DISH Network for the year ended December 31, 2017 was $3.4 million.</w:t>
      </w:r>
    </w:p>
    <w:p>
      <w:pPr>
        <w:spacing w:after="0" w:line="16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and DISH Network file combined income tax returns in certain states. In 2016, we earned and recognized a tax benefit for certain state income tax credits that we would be unable to utilize currently if we had filed separately from DISH Network. DISH Network</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368" w:right="239" w:bottom="1440" w:gutter="0" w:footer="0" w:header="0"/>
        </w:sectPr>
      </w:pPr>
    </w:p>
    <w:bookmarkStart w:id="42" w:name="page43"/>
    <w:bookmarkEnd w:id="42"/>
    <w:p>
      <w:pPr>
        <w:jc w:val="both"/>
        <w:spacing w:after="0" w:line="263" w:lineRule="auto"/>
        <w:rPr>
          <w:sz w:val="20"/>
          <w:szCs w:val="20"/>
          <w:color w:val="auto"/>
        </w:rPr>
      </w:pPr>
      <w:r>
        <w:rPr>
          <w:rFonts w:ascii="Arial" w:cs="Arial" w:eastAsia="Arial" w:hAnsi="Arial"/>
          <w:sz w:val="17"/>
          <w:szCs w:val="17"/>
          <w:color w:val="auto"/>
        </w:rPr>
        <w:t>expects to utilize these tax credits to reduce its state income tax payable. Consistent with accounting principles that apply to transfers of assets between entities under common control, we recorded a charge of $4.7 million in additional paid-in capital for the year ended December 31, 2017, representing the amount that we estimate is more likely than not to be realized by DISH Network as a result of its utilization of the tax credits that we earned. We expect to increase additional paid-in capital upon receipt of any consideration paid to us by DISH Network in exchange for these tax credits.</w:t>
      </w:r>
    </w:p>
    <w:p>
      <w:pPr>
        <w:spacing w:after="0" w:line="156" w:lineRule="exact"/>
        <w:rPr>
          <w:sz w:val="20"/>
          <w:szCs w:val="20"/>
          <w:color w:val="auto"/>
        </w:rPr>
      </w:pPr>
    </w:p>
    <w:p>
      <w:pPr>
        <w:jc w:val="both"/>
        <w:spacing w:after="0" w:line="270" w:lineRule="auto"/>
        <w:rPr>
          <w:sz w:val="20"/>
          <w:szCs w:val="20"/>
          <w:color w:val="auto"/>
        </w:rPr>
      </w:pPr>
      <w:r>
        <w:rPr>
          <w:rFonts w:ascii="Arial" w:cs="Arial" w:eastAsia="Arial" w:hAnsi="Arial"/>
          <w:sz w:val="16"/>
          <w:szCs w:val="16"/>
          <w:b w:val="1"/>
          <w:bCs w:val="1"/>
          <w:i w:val="1"/>
          <w:iCs w:val="1"/>
          <w:color w:val="auto"/>
        </w:rPr>
        <w:t>TerreStar Agreement</w:t>
      </w:r>
      <w:r>
        <w:rPr>
          <w:rFonts w:ascii="Arial" w:cs="Arial" w:eastAsia="Arial" w:hAnsi="Arial"/>
          <w:sz w:val="16"/>
          <w:szCs w:val="16"/>
          <w:color w:val="auto"/>
        </w:rPr>
        <w:t>. In March 2012, DISH Network completed its acquisition of substantially all the assets of TerreStar Networks Inc. (“TerreStar”). Prior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DISH Network’s acquisition of substantially all the assets of TerreStar and our completion of the Hughes Acquisition, TerreStar and HNS entered into various agreements pursuant to which our Hughes segment provides, among other things, warranty, operations and maintenance and hosting services for TerreStar’s ground-based communications equipment. In December 2017, we and DISH Network amended these agreements, effective as of January 1, 2018, to reduce certain pricing terms through December 31, 2023 and to modify certain termination provisions. DISH Network generally has the right to continue to receive warranty services from us for our products on a month-to-month basis unless terminated by DISH Network upon at least 21 days’ written notice to us. DISH Network generally has the right to continue to receive operations and maintenance services from us on a quarter-to-quarter basis unless operations and maintenance services are terminated by DISH Network upon at least 90 days’ written notice to us. The provision of hosting services will continue until May 2022 and will not renew beyond May 2022 unless the parties enter into a new agreement or amend the existing agreement. In addition, DISH Network generally may terminate any and all services for convenience subject to providing us with prior notice and/or payment of termination charges. We earned revenue of approximately $4.4 million from DISH Network under these agreements for the year ended December 31, 2017.</w:t>
      </w:r>
    </w:p>
    <w:p>
      <w:pPr>
        <w:spacing w:after="0" w:line="154" w:lineRule="exact"/>
        <w:rPr>
          <w:sz w:val="20"/>
          <w:szCs w:val="20"/>
          <w:color w:val="auto"/>
        </w:rPr>
      </w:pPr>
    </w:p>
    <w:p>
      <w:pPr>
        <w:jc w:val="both"/>
        <w:spacing w:after="0" w:line="254" w:lineRule="auto"/>
        <w:rPr>
          <w:sz w:val="20"/>
          <w:szCs w:val="20"/>
          <w:color w:val="auto"/>
        </w:rPr>
      </w:pPr>
      <w:r>
        <w:rPr>
          <w:rFonts w:ascii="Arial" w:cs="Arial" w:eastAsia="Arial" w:hAnsi="Arial"/>
          <w:sz w:val="17"/>
          <w:szCs w:val="17"/>
          <w:b w:val="1"/>
          <w:bCs w:val="1"/>
          <w:i w:val="1"/>
          <w:iCs w:val="1"/>
          <w:color w:val="auto"/>
        </w:rPr>
        <w:t>TT&amp;C Agreement</w:t>
      </w:r>
      <w:r>
        <w:rPr>
          <w:rFonts w:ascii="Arial" w:cs="Arial" w:eastAsia="Arial" w:hAnsi="Arial"/>
          <w:sz w:val="17"/>
          <w:szCs w:val="17"/>
          <w:color w:val="auto"/>
        </w:rPr>
        <w:t>. Effective January 2012, we entered into a telemetry, tracking and control (“TT&amp;C”) agreement pursuant to which we provided TT&amp;C</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services to DISH Network for a period ending in December 2016 (the “TT&amp;C Agreement”). In November 2016, we and DISH Network amended the TT&amp;C Agreement to extend the term for one year through December 2017. In December 2017, we and DISH Network amended the TT&amp;C Agreement to extend the term for one month through January 2018. In January and February 2018, we and DISH Network amended the TT&amp;C Agreement to, among other things, extend the term through February 2019, with one automatic renewal through February 2020. The fees for services provided under the TT&amp;C Agreement are calculated at either: (i) a fixed fee or (ii) cost plus a fixed margin, which will vary depending on the nature of the services provided. DISH Network is able to terminate the TT&amp;C Agreement for any reason upon 12 months’ notice. We earned revenue of approximately $3.3 million from DISH Network under this agreement for the year ended December 31, 2017.</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 with Hughes Systique Corporation (“Hughes Systique”)</w:t>
      </w:r>
    </w:p>
    <w:p>
      <w:pPr>
        <w:spacing w:after="0" w:line="202"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addition to our 43.7% ownership in Hughes Systique, Mr. Pradman Kaul, the President of Hughes Communications and a member of our Board of Directors, and his brother, who is the CEO and President of Hughes Systique, in the aggregate, own approximately 25.7%, on an undiluted basis, of Hughes Systique’s outstanding shares as of December 31, 2017. Furthermore, Mr. Pradman Kaul serves on the board of directors of Hughes Systique. Hughes Systique is a variable interest entity and we are considered the primary beneficiary of Hughes Systique due to, among other factors, our ability to direct the activities that most significantly impact the economic performance of Hughes Systique. As a result, we consolidate Hughes Systique’s financial statements in our consolidated financial statements.</w:t>
      </w:r>
    </w:p>
    <w:p>
      <w:pPr>
        <w:spacing w:after="0" w:line="17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contract with Hughes Systique for software development services. We incurred expenses of approximately $14.7 million payable to Hughes Systique for the year ended December 31, 2017.</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 with Global IP</w:t>
      </w:r>
    </w:p>
    <w:p>
      <w:pPr>
        <w:spacing w:after="0" w:line="20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May 2017, one of our subsidiaries entered into an agreement with Global-IP Cayman (“Global IP”) providing for the sale of certain equipment and services to Global IP. Mr. William David Wade, a member of our Board of Directors, serves as a member of the board of directors of Global IP and as an executive advisor to the CEO of Global IP. We recognized revenue of approximately $0.3 million from Global IP under this agreement for the year ended December 31, 2017.</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368" w:right="239" w:bottom="1440" w:gutter="0" w:footer="0" w:header="0"/>
        </w:sectPr>
      </w:pPr>
    </w:p>
    <w:bookmarkStart w:id="43" w:name="page44"/>
    <w:bookmarkEnd w:id="43"/>
    <w:p>
      <w:pPr>
        <w:ind w:left="1640"/>
        <w:spacing w:after="0"/>
        <w:rPr>
          <w:sz w:val="20"/>
          <w:szCs w:val="20"/>
          <w:color w:val="auto"/>
        </w:rPr>
      </w:pPr>
      <w:r>
        <w:rPr>
          <w:rFonts w:ascii="Arial" w:cs="Arial" w:eastAsia="Arial" w:hAnsi="Arial"/>
          <w:sz w:val="18"/>
          <w:szCs w:val="18"/>
          <w:b w:val="1"/>
          <w:bCs w:val="1"/>
          <w:color w:val="auto"/>
        </w:rPr>
        <w:t>PROPOSAL 2 — RATIFICATION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Appointment of Independent Registered Public Accounting Firm</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customarily ask our shareholders to ratify the appointment of our independent registered public accounting firm at each annual meeting. The Audit Committee and the Board of Directors have selected and appointed KPMG LLP as our independent registered public accounting firm for the fiscal year ending December 31, 2018 and we are asking our shareholders to ratify this appointment at the Annual Meeting. Even if the selection is ratified, the Audit Committee in its discretion may select a different independent registered public accounting firm at any time if it determines that such a change would be in the best interests of EchoStar. Representatives of KPMG LLP are expected to be present at the Annual Meeting and will have the opportunity to make any statements they may desire. They also will be available to respond to appropriate questions of shareholders.</w:t>
      </w:r>
    </w:p>
    <w:p>
      <w:pPr>
        <w:spacing w:after="0" w:line="174"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The Board of Directors unanimously recommends a vote FOR the ratification of KPMG LLP as our independent registered accounting firm for the fiscal year ending December 31, 2018.</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Charles W. Ergen, our Chairman, currently beneficially owns approximately 72.4% of the total voting power of all classes of our outstanding shares. Please see “Equity Security Ownership and Related Matters” above. Mr. Ergen has indicated his intention to vote in favor of Proposal 2. Accordingly, approval of Proposal 2 is assured notwithstanding a contrary vote by any or all shareholders other than Mr. Ergen.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Accountant Fees and Services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KPMG LLP served as our independent registered public accounting firm for the fiscal years ended December 31, 2017 and 2016. The following table presents fees for professional services rendered by KPMG LLP to us and our subsidiaries relating to the 2017 and 2016 fiscal years.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40" w:type="dxa"/>
            <w:vAlign w:val="bottom"/>
          </w:tcPr>
          <w:p>
            <w:pPr>
              <w:spacing w:after="0"/>
              <w:rPr>
                <w:sz w:val="18"/>
                <w:szCs w:val="18"/>
                <w:color w:val="auto"/>
              </w:rPr>
            </w:pPr>
          </w:p>
        </w:tc>
        <w:tc>
          <w:tcPr>
            <w:tcW w:w="6260" w:type="dxa"/>
            <w:vAlign w:val="bottom"/>
          </w:tcPr>
          <w:p>
            <w:pPr>
              <w:spacing w:after="0"/>
              <w:rPr>
                <w:sz w:val="18"/>
                <w:szCs w:val="18"/>
                <w:color w:val="auto"/>
              </w:rPr>
            </w:pPr>
          </w:p>
        </w:tc>
        <w:tc>
          <w:tcPr>
            <w:tcW w:w="3480" w:type="dxa"/>
            <w:vAlign w:val="bottom"/>
            <w:gridSpan w:val="4"/>
          </w:tcPr>
          <w:p>
            <w:pPr>
              <w:jc w:val="right"/>
              <w:ind w:right="39"/>
              <w:spacing w:after="0"/>
              <w:rPr>
                <w:sz w:val="20"/>
                <w:szCs w:val="20"/>
                <w:color w:val="auto"/>
              </w:rPr>
            </w:pPr>
            <w:r>
              <w:rPr>
                <w:rFonts w:ascii="Arial" w:cs="Arial" w:eastAsia="Arial" w:hAnsi="Arial"/>
                <w:sz w:val="16"/>
                <w:szCs w:val="16"/>
                <w:b w:val="1"/>
                <w:bCs w:val="1"/>
                <w:color w:val="auto"/>
              </w:rPr>
              <w:t>For the Years Ended December 31,</w:t>
            </w: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270"/>
        </w:trPr>
        <w:tc>
          <w:tcPr>
            <w:tcW w:w="440" w:type="dxa"/>
            <w:vAlign w:val="bottom"/>
          </w:tcPr>
          <w:p>
            <w:pPr>
              <w:spacing w:after="0"/>
              <w:rPr>
                <w:sz w:val="23"/>
                <w:szCs w:val="23"/>
                <w:color w:val="auto"/>
              </w:rPr>
            </w:pPr>
          </w:p>
        </w:tc>
        <w:tc>
          <w:tcPr>
            <w:tcW w:w="626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2016</w:t>
            </w:r>
          </w:p>
        </w:tc>
        <w:tc>
          <w:tcPr>
            <w:tcW w:w="820" w:type="dxa"/>
            <w:vAlign w:val="bottom"/>
          </w:tcPr>
          <w:p>
            <w:pPr>
              <w:spacing w:after="0"/>
              <w:rPr>
                <w:sz w:val="23"/>
                <w:szCs w:val="23"/>
                <w:color w:val="auto"/>
              </w:rPr>
            </w:pPr>
          </w:p>
        </w:tc>
        <w:tc>
          <w:tcPr>
            <w:tcW w:w="420" w:type="dxa"/>
            <w:vAlign w:val="bottom"/>
          </w:tcPr>
          <w:p>
            <w:pPr>
              <w:spacing w:after="0"/>
              <w:rPr>
                <w:sz w:val="23"/>
                <w:szCs w:val="23"/>
                <w:color w:val="auto"/>
              </w:rPr>
            </w:pPr>
          </w:p>
        </w:tc>
      </w:tr>
      <w:tr>
        <w:trPr>
          <w:trHeight w:val="33"/>
        </w:trPr>
        <w:tc>
          <w:tcPr>
            <w:tcW w:w="440" w:type="dxa"/>
            <w:vAlign w:val="bottom"/>
          </w:tcPr>
          <w:p>
            <w:pPr>
              <w:spacing w:after="0"/>
              <w:rPr>
                <w:sz w:val="2"/>
                <w:szCs w:val="2"/>
                <w:color w:val="auto"/>
              </w:rPr>
            </w:pPr>
          </w:p>
        </w:tc>
        <w:tc>
          <w:tcPr>
            <w:tcW w:w="626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20" w:type="dxa"/>
            <w:vAlign w:val="bottom"/>
          </w:tcPr>
          <w:p>
            <w:pPr>
              <w:spacing w:after="0"/>
              <w:rPr>
                <w:sz w:val="2"/>
                <w:szCs w:val="2"/>
                <w:color w:val="auto"/>
              </w:rPr>
            </w:pPr>
          </w:p>
        </w:tc>
      </w:tr>
      <w:tr>
        <w:trPr>
          <w:trHeight w:val="250"/>
        </w:trPr>
        <w:tc>
          <w:tcPr>
            <w:tcW w:w="440" w:type="dxa"/>
            <w:vAlign w:val="bottom"/>
          </w:tcPr>
          <w:p>
            <w:pPr>
              <w:spacing w:after="0"/>
              <w:rPr>
                <w:sz w:val="21"/>
                <w:szCs w:val="21"/>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6"/>
                <w:szCs w:val="16"/>
                <w:color w:val="auto"/>
              </w:rPr>
              <w:t>Audit Fees</w:t>
            </w:r>
            <w:r>
              <w:rPr>
                <w:rFonts w:ascii="Arial" w:cs="Arial" w:eastAsia="Arial" w:hAnsi="Arial"/>
                <w:sz w:val="21"/>
                <w:szCs w:val="21"/>
                <w:color w:val="auto"/>
                <w:vertAlign w:val="superscript"/>
              </w:rPr>
              <w:t>(1)</w:t>
            </w:r>
          </w:p>
        </w:tc>
        <w:tc>
          <w:tcPr>
            <w:tcW w:w="1280" w:type="dxa"/>
            <w:vAlign w:val="bottom"/>
            <w:shd w:val="clear" w:color="auto" w:fill="CCEEFF"/>
          </w:tcPr>
          <w:p>
            <w:pPr>
              <w:jc w:val="right"/>
              <w:ind w:right="109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w w:val="98"/>
              </w:rPr>
              <w:t>2,591,792</w:t>
            </w:r>
          </w:p>
        </w:tc>
        <w:tc>
          <w:tcPr>
            <w:tcW w:w="10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109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98"/>
              </w:rPr>
              <w:t>2,944,540</w:t>
            </w:r>
          </w:p>
        </w:tc>
        <w:tc>
          <w:tcPr>
            <w:tcW w:w="420" w:type="dxa"/>
            <w:vAlign w:val="bottom"/>
          </w:tcPr>
          <w:p>
            <w:pPr>
              <w:spacing w:after="0"/>
              <w:rPr>
                <w:sz w:val="21"/>
                <w:szCs w:val="21"/>
                <w:color w:val="auto"/>
              </w:rPr>
            </w:pPr>
          </w:p>
        </w:tc>
      </w:tr>
      <w:tr>
        <w:trPr>
          <w:trHeight w:val="270"/>
        </w:trPr>
        <w:tc>
          <w:tcPr>
            <w:tcW w:w="440" w:type="dxa"/>
            <w:vAlign w:val="bottom"/>
          </w:tcPr>
          <w:p>
            <w:pPr>
              <w:spacing w:after="0"/>
              <w:rPr>
                <w:sz w:val="23"/>
                <w:szCs w:val="23"/>
                <w:color w:val="auto"/>
              </w:rPr>
            </w:pPr>
          </w:p>
        </w:tc>
        <w:tc>
          <w:tcPr>
            <w:tcW w:w="626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Audit Related Fees</w:t>
            </w:r>
            <w:r>
              <w:rPr>
                <w:rFonts w:ascii="Arial" w:cs="Arial" w:eastAsia="Arial" w:hAnsi="Arial"/>
                <w:sz w:val="21"/>
                <w:szCs w:val="21"/>
                <w:color w:val="auto"/>
                <w:vertAlign w:val="superscript"/>
              </w:rPr>
              <w:t>(2)</w:t>
            </w:r>
          </w:p>
        </w:tc>
        <w:tc>
          <w:tcPr>
            <w:tcW w:w="128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376,102</w:t>
            </w:r>
          </w:p>
        </w:tc>
        <w:tc>
          <w:tcPr>
            <w:tcW w:w="100" w:type="dxa"/>
            <w:vAlign w:val="bottom"/>
            <w:tcBorders>
              <w:bottom w:val="single" w:sz="8" w:color="CCEEFF"/>
            </w:tcBorders>
          </w:tcPr>
          <w:p>
            <w:pPr>
              <w:spacing w:after="0"/>
              <w:rPr>
                <w:sz w:val="23"/>
                <w:szCs w:val="23"/>
                <w:color w:val="auto"/>
              </w:rPr>
            </w:pPr>
          </w:p>
        </w:tc>
        <w:tc>
          <w:tcPr>
            <w:tcW w:w="128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90,171</w:t>
            </w:r>
          </w:p>
        </w:tc>
        <w:tc>
          <w:tcPr>
            <w:tcW w:w="420" w:type="dxa"/>
            <w:vAlign w:val="bottom"/>
          </w:tcPr>
          <w:p>
            <w:pPr>
              <w:spacing w:after="0"/>
              <w:rPr>
                <w:sz w:val="23"/>
                <w:szCs w:val="23"/>
                <w:color w:val="auto"/>
              </w:rPr>
            </w:pPr>
          </w:p>
        </w:tc>
      </w:tr>
      <w:tr>
        <w:trPr>
          <w:trHeight w:val="230"/>
        </w:trPr>
        <w:tc>
          <w:tcPr>
            <w:tcW w:w="440" w:type="dxa"/>
            <w:vAlign w:val="bottom"/>
          </w:tcPr>
          <w:p>
            <w:pPr>
              <w:spacing w:after="0"/>
              <w:rPr>
                <w:sz w:val="20"/>
                <w:szCs w:val="20"/>
                <w:color w:val="auto"/>
              </w:rPr>
            </w:pPr>
          </w:p>
        </w:tc>
        <w:tc>
          <w:tcPr>
            <w:tcW w:w="62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Total Audit and Audit Related Fees</w:t>
            </w:r>
          </w:p>
        </w:tc>
        <w:tc>
          <w:tcPr>
            <w:tcW w:w="12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98"/>
              </w:rPr>
              <w:t>2,967,894</w:t>
            </w:r>
          </w:p>
        </w:tc>
        <w:tc>
          <w:tcPr>
            <w:tcW w:w="1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8"/>
              </w:rPr>
              <w:t>3,034,711</w:t>
            </w:r>
          </w:p>
        </w:tc>
        <w:tc>
          <w:tcPr>
            <w:tcW w:w="420" w:type="dxa"/>
            <w:vAlign w:val="bottom"/>
          </w:tcPr>
          <w:p>
            <w:pPr>
              <w:spacing w:after="0"/>
              <w:rPr>
                <w:sz w:val="20"/>
                <w:szCs w:val="20"/>
                <w:color w:val="auto"/>
              </w:rPr>
            </w:pPr>
          </w:p>
        </w:tc>
      </w:tr>
      <w:tr>
        <w:trPr>
          <w:trHeight w:val="270"/>
        </w:trPr>
        <w:tc>
          <w:tcPr>
            <w:tcW w:w="440" w:type="dxa"/>
            <w:vAlign w:val="bottom"/>
          </w:tcPr>
          <w:p>
            <w:pPr>
              <w:spacing w:after="0"/>
              <w:rPr>
                <w:sz w:val="23"/>
                <w:szCs w:val="23"/>
                <w:color w:val="auto"/>
              </w:rPr>
            </w:pPr>
          </w:p>
        </w:tc>
        <w:tc>
          <w:tcPr>
            <w:tcW w:w="6260" w:type="dxa"/>
            <w:vAlign w:val="bottom"/>
          </w:tcPr>
          <w:p>
            <w:pPr>
              <w:spacing w:after="0"/>
              <w:rPr>
                <w:sz w:val="20"/>
                <w:szCs w:val="20"/>
                <w:color w:val="auto"/>
              </w:rPr>
            </w:pPr>
            <w:r>
              <w:rPr>
                <w:rFonts w:ascii="Arial" w:cs="Arial" w:eastAsia="Arial" w:hAnsi="Arial"/>
                <w:sz w:val="16"/>
                <w:szCs w:val="16"/>
                <w:color w:val="auto"/>
              </w:rPr>
              <w:t>Tax Fees</w:t>
            </w:r>
            <w:r>
              <w:rPr>
                <w:rFonts w:ascii="Arial" w:cs="Arial" w:eastAsia="Arial" w:hAnsi="Arial"/>
                <w:sz w:val="21"/>
                <w:szCs w:val="21"/>
                <w:color w:val="auto"/>
                <w:vertAlign w:val="superscript"/>
              </w:rPr>
              <w:t>(3)</w:t>
            </w:r>
          </w:p>
        </w:tc>
        <w:tc>
          <w:tcPr>
            <w:tcW w:w="1280" w:type="dxa"/>
            <w:vAlign w:val="bottom"/>
          </w:tcPr>
          <w:p>
            <w:pPr>
              <w:spacing w:after="0"/>
              <w:rPr>
                <w:sz w:val="23"/>
                <w:szCs w:val="23"/>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w w:val="98"/>
              </w:rPr>
              <w:t>1,004,027</w:t>
            </w:r>
          </w:p>
        </w:tc>
        <w:tc>
          <w:tcPr>
            <w:tcW w:w="1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894,302</w:t>
            </w:r>
          </w:p>
        </w:tc>
        <w:tc>
          <w:tcPr>
            <w:tcW w:w="420" w:type="dxa"/>
            <w:vAlign w:val="bottom"/>
          </w:tcPr>
          <w:p>
            <w:pPr>
              <w:spacing w:after="0"/>
              <w:rPr>
                <w:sz w:val="23"/>
                <w:szCs w:val="23"/>
                <w:color w:val="auto"/>
              </w:rPr>
            </w:pPr>
          </w:p>
        </w:tc>
      </w:tr>
      <w:tr>
        <w:trPr>
          <w:trHeight w:val="270"/>
        </w:trPr>
        <w:tc>
          <w:tcPr>
            <w:tcW w:w="440" w:type="dxa"/>
            <w:vAlign w:val="bottom"/>
          </w:tcPr>
          <w:p>
            <w:pPr>
              <w:spacing w:after="0"/>
              <w:rPr>
                <w:sz w:val="23"/>
                <w:szCs w:val="23"/>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6"/>
                <w:szCs w:val="16"/>
                <w:color w:val="auto"/>
              </w:rPr>
              <w:t>All Other Fees</w:t>
            </w:r>
            <w:r>
              <w:rPr>
                <w:rFonts w:ascii="Arial" w:cs="Arial" w:eastAsia="Arial" w:hAnsi="Arial"/>
                <w:sz w:val="21"/>
                <w:szCs w:val="21"/>
                <w:color w:val="auto"/>
                <w:vertAlign w:val="superscript"/>
              </w:rPr>
              <w:t>(4)</w:t>
            </w:r>
          </w:p>
        </w:tc>
        <w:tc>
          <w:tcPr>
            <w:tcW w:w="128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24,442</w:t>
            </w:r>
          </w:p>
        </w:tc>
        <w:tc>
          <w:tcPr>
            <w:tcW w:w="420" w:type="dxa"/>
            <w:vAlign w:val="bottom"/>
          </w:tcPr>
          <w:p>
            <w:pPr>
              <w:spacing w:after="0"/>
              <w:rPr>
                <w:sz w:val="23"/>
                <w:szCs w:val="23"/>
                <w:color w:val="auto"/>
              </w:rPr>
            </w:pPr>
          </w:p>
        </w:tc>
      </w:tr>
      <w:tr>
        <w:trPr>
          <w:trHeight w:val="244"/>
        </w:trPr>
        <w:tc>
          <w:tcPr>
            <w:tcW w:w="440" w:type="dxa"/>
            <w:vAlign w:val="bottom"/>
          </w:tcPr>
          <w:p>
            <w:pPr>
              <w:spacing w:after="0"/>
              <w:rPr>
                <w:sz w:val="21"/>
                <w:szCs w:val="21"/>
                <w:color w:val="auto"/>
              </w:rPr>
            </w:pPr>
          </w:p>
        </w:tc>
        <w:tc>
          <w:tcPr>
            <w:tcW w:w="6260" w:type="dxa"/>
            <w:vAlign w:val="bottom"/>
          </w:tcPr>
          <w:p>
            <w:pPr>
              <w:ind w:left="260"/>
              <w:spacing w:after="0"/>
              <w:rPr>
                <w:sz w:val="20"/>
                <w:szCs w:val="20"/>
                <w:color w:val="auto"/>
              </w:rPr>
            </w:pPr>
            <w:r>
              <w:rPr>
                <w:rFonts w:ascii="Arial" w:cs="Arial" w:eastAsia="Arial" w:hAnsi="Arial"/>
                <w:sz w:val="16"/>
                <w:szCs w:val="16"/>
                <w:color w:val="auto"/>
              </w:rPr>
              <w:t>Total Fees</w:t>
            </w:r>
          </w:p>
        </w:tc>
        <w:tc>
          <w:tcPr>
            <w:tcW w:w="1280" w:type="dxa"/>
            <w:vAlign w:val="bottom"/>
            <w:tcBorders>
              <w:top w:val="single" w:sz="8" w:color="auto"/>
              <w:bottom w:val="single" w:sz="8" w:color="auto"/>
            </w:tcBorders>
          </w:tcPr>
          <w:p>
            <w:pPr>
              <w:jc w:val="right"/>
              <w:ind w:right="109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w w:val="98"/>
              </w:rPr>
              <w:t>3,971,921</w:t>
            </w:r>
          </w:p>
        </w:tc>
        <w:tc>
          <w:tcPr>
            <w:tcW w:w="100" w:type="dxa"/>
            <w:vAlign w:val="bottom"/>
          </w:tcPr>
          <w:p>
            <w:pPr>
              <w:spacing w:after="0"/>
              <w:rPr>
                <w:sz w:val="21"/>
                <w:szCs w:val="21"/>
                <w:color w:val="auto"/>
              </w:rPr>
            </w:pPr>
          </w:p>
        </w:tc>
        <w:tc>
          <w:tcPr>
            <w:tcW w:w="1280" w:type="dxa"/>
            <w:vAlign w:val="bottom"/>
            <w:tcBorders>
              <w:top w:val="single" w:sz="8" w:color="auto"/>
              <w:bottom w:val="single" w:sz="8" w:color="auto"/>
            </w:tcBorders>
          </w:tcPr>
          <w:p>
            <w:pPr>
              <w:jc w:val="right"/>
              <w:ind w:right="109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98"/>
              </w:rPr>
              <w:t>3,953,455</w:t>
            </w:r>
          </w:p>
        </w:tc>
        <w:tc>
          <w:tcPr>
            <w:tcW w:w="420" w:type="dxa"/>
            <w:vAlign w:val="bottom"/>
          </w:tcPr>
          <w:p>
            <w:pPr>
              <w:spacing w:after="0"/>
              <w:rPr>
                <w:sz w:val="21"/>
                <w:szCs w:val="21"/>
                <w:color w:val="auto"/>
              </w:rPr>
            </w:pPr>
          </w:p>
        </w:tc>
      </w:tr>
      <w:tr>
        <w:trPr>
          <w:trHeight w:val="20"/>
        </w:trPr>
        <w:tc>
          <w:tcPr>
            <w:tcW w:w="44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02"/>
        </w:trPr>
        <w:tc>
          <w:tcPr>
            <w:tcW w:w="440" w:type="dxa"/>
            <w:vAlign w:val="bottom"/>
            <w:tcBorders>
              <w:bottom w:val="single" w:sz="8" w:color="9A9A9A"/>
            </w:tcBorders>
          </w:tcPr>
          <w:p>
            <w:pPr>
              <w:spacing w:after="0"/>
              <w:rPr>
                <w:sz w:val="8"/>
                <w:szCs w:val="8"/>
                <w:color w:val="auto"/>
              </w:rPr>
            </w:pPr>
          </w:p>
        </w:tc>
        <w:tc>
          <w:tcPr>
            <w:tcW w:w="6260" w:type="dxa"/>
            <w:vAlign w:val="bottom"/>
            <w:tcBorders>
              <w:bottom w:val="single" w:sz="8" w:color="9A9A9A"/>
            </w:tcBorders>
          </w:tcPr>
          <w:p>
            <w:pPr>
              <w:spacing w:after="0"/>
              <w:rPr>
                <w:sz w:val="8"/>
                <w:szCs w:val="8"/>
                <w:color w:val="auto"/>
              </w:rPr>
            </w:pPr>
          </w:p>
        </w:tc>
        <w:tc>
          <w:tcPr>
            <w:tcW w:w="128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28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69" w:lineRule="exact"/>
        <w:rPr>
          <w:sz w:val="20"/>
          <w:szCs w:val="20"/>
          <w:color w:val="auto"/>
        </w:rPr>
      </w:pPr>
    </w:p>
    <w:p>
      <w:pPr>
        <w:ind w:left="840" w:hanging="508"/>
        <w:spacing w:after="0" w:line="247" w:lineRule="auto"/>
        <w:tabs>
          <w:tab w:leader="none" w:pos="516" w:val="left"/>
        </w:tabs>
        <w:numPr>
          <w:ilvl w:val="0"/>
          <w:numId w:val="27"/>
        </w:numPr>
        <w:rPr>
          <w:rFonts w:ascii="Arial" w:cs="Arial" w:eastAsia="Arial" w:hAnsi="Arial"/>
          <w:sz w:val="14"/>
          <w:szCs w:val="14"/>
          <w:color w:val="auto"/>
        </w:rPr>
      </w:pPr>
      <w:r>
        <w:rPr>
          <w:rFonts w:ascii="Arial" w:cs="Arial" w:eastAsia="Arial" w:hAnsi="Arial"/>
          <w:sz w:val="14"/>
          <w:szCs w:val="14"/>
          <w:color w:val="auto"/>
        </w:rPr>
        <w:t>Consists of fees for the audit of our and our subsidiaries’ consolidated financial statements included in our Annual Report on Form 10-K, review of our and our subsidiaries’ unaudited financial statements included in our Quarterly Reports on Form 10-Q and fees in connection with the audit of our internal control over financial reporting and statutory audits of our foreign subsidiaries.</w:t>
      </w:r>
    </w:p>
    <w:p>
      <w:pPr>
        <w:spacing w:after="0" w:line="1" w:lineRule="exact"/>
        <w:rPr>
          <w:rFonts w:ascii="Arial" w:cs="Arial" w:eastAsia="Arial" w:hAnsi="Arial"/>
          <w:sz w:val="14"/>
          <w:szCs w:val="14"/>
          <w:color w:val="auto"/>
        </w:rPr>
      </w:pPr>
    </w:p>
    <w:p>
      <w:pPr>
        <w:ind w:left="840" w:hanging="508"/>
        <w:spacing w:after="0" w:line="260" w:lineRule="auto"/>
        <w:tabs>
          <w:tab w:leader="none" w:pos="516" w:val="left"/>
        </w:tabs>
        <w:numPr>
          <w:ilvl w:val="0"/>
          <w:numId w:val="27"/>
        </w:numPr>
        <w:rPr>
          <w:rFonts w:ascii="Arial" w:cs="Arial" w:eastAsia="Arial" w:hAnsi="Arial"/>
          <w:sz w:val="13"/>
          <w:szCs w:val="13"/>
          <w:color w:val="auto"/>
        </w:rPr>
      </w:pPr>
      <w:r>
        <w:rPr>
          <w:rFonts w:ascii="Arial" w:cs="Arial" w:eastAsia="Arial" w:hAnsi="Arial"/>
          <w:sz w:val="13"/>
          <w:szCs w:val="13"/>
          <w:color w:val="auto"/>
        </w:rPr>
        <w:t>Consists of fees for the audit of financial statements and certain fees for other services that are normally provided by the accountant in connection with the issuance of consents, comfort letter, and certifications; compliance with XBRL tagging; and professional consultations with respect to accounting issues or matters that are non-recurring in nature.</w:t>
      </w:r>
    </w:p>
    <w:p>
      <w:pPr>
        <w:ind w:left="500" w:hanging="168"/>
        <w:spacing w:after="0"/>
        <w:tabs>
          <w:tab w:leader="none" w:pos="500" w:val="left"/>
        </w:tabs>
        <w:numPr>
          <w:ilvl w:val="0"/>
          <w:numId w:val="27"/>
        </w:numPr>
        <w:rPr>
          <w:rFonts w:ascii="Arial" w:cs="Arial" w:eastAsia="Arial" w:hAnsi="Arial"/>
          <w:sz w:val="13"/>
          <w:szCs w:val="13"/>
          <w:color w:val="auto"/>
        </w:rPr>
      </w:pPr>
      <w:r>
        <w:rPr>
          <w:rFonts w:ascii="Arial" w:cs="Arial" w:eastAsia="Arial" w:hAnsi="Arial"/>
          <w:sz w:val="13"/>
          <w:szCs w:val="13"/>
          <w:color w:val="auto"/>
        </w:rPr>
        <w:t>Consists of fees for tax consultation and tax compliance services.</w:t>
      </w:r>
    </w:p>
    <w:p>
      <w:pPr>
        <w:spacing w:after="0" w:line="12" w:lineRule="exact"/>
        <w:rPr>
          <w:rFonts w:ascii="Arial" w:cs="Arial" w:eastAsia="Arial" w:hAnsi="Arial"/>
          <w:sz w:val="13"/>
          <w:szCs w:val="13"/>
          <w:color w:val="auto"/>
        </w:rPr>
      </w:pPr>
    </w:p>
    <w:p>
      <w:pPr>
        <w:ind w:left="500" w:hanging="168"/>
        <w:spacing w:after="0"/>
        <w:tabs>
          <w:tab w:leader="none" w:pos="500" w:val="left"/>
        </w:tabs>
        <w:numPr>
          <w:ilvl w:val="0"/>
          <w:numId w:val="27"/>
        </w:numPr>
        <w:rPr>
          <w:rFonts w:ascii="Arial" w:cs="Arial" w:eastAsia="Arial" w:hAnsi="Arial"/>
          <w:sz w:val="13"/>
          <w:szCs w:val="13"/>
          <w:color w:val="auto"/>
        </w:rPr>
      </w:pPr>
      <w:r>
        <w:rPr>
          <w:rFonts w:ascii="Arial" w:cs="Arial" w:eastAsia="Arial" w:hAnsi="Arial"/>
          <w:sz w:val="13"/>
          <w:szCs w:val="13"/>
          <w:color w:val="auto"/>
        </w:rPr>
        <w:t>Consists of fees for the consultation of unclaimed property exposure.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 Pre-Approval Process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Audit Committee is responsible for appointing, setting compensation, retaining and overseeing the work of our independent registered public accounting firm. The Audit Committee has established a process regarding pre-approval of all audit and permissible non-audit services provided by the independent registered public accounting firm.</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Requests are submitted to the Audit Committee in one of the following ways:</w:t>
      </w:r>
    </w:p>
    <w:p>
      <w:pPr>
        <w:spacing w:after="0" w:line="239"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20"/>
          <w:szCs w:val="20"/>
          <w:color w:val="auto"/>
        </w:rPr>
      </w:pPr>
      <w:r>
        <w:rPr>
          <w:rFonts w:ascii="Arial" w:cs="Arial" w:eastAsia="Arial" w:hAnsi="Arial"/>
          <w:sz w:val="18"/>
          <w:szCs w:val="18"/>
          <w:color w:val="auto"/>
        </w:rPr>
        <w:t>Request for approval of services at a meeting of the Audit Committee; or</w:t>
      </w:r>
    </w:p>
    <w:p>
      <w:pPr>
        <w:spacing w:after="0" w:line="4" w:lineRule="exact"/>
        <w:rPr>
          <w:rFonts w:ascii="Arial" w:cs="Arial" w:eastAsia="Arial" w:hAnsi="Arial"/>
          <w:sz w:val="20"/>
          <w:szCs w:val="20"/>
          <w:color w:val="auto"/>
        </w:rPr>
      </w:pPr>
    </w:p>
    <w:p>
      <w:pPr>
        <w:ind w:left="660" w:hanging="328"/>
        <w:spacing w:after="0" w:line="235" w:lineRule="auto"/>
        <w:tabs>
          <w:tab w:leader="none" w:pos="660" w:val="left"/>
        </w:tabs>
        <w:numPr>
          <w:ilvl w:val="0"/>
          <w:numId w:val="28"/>
        </w:numPr>
        <w:rPr>
          <w:rFonts w:ascii="Arial" w:cs="Arial" w:eastAsia="Arial" w:hAnsi="Arial"/>
          <w:sz w:val="20"/>
          <w:szCs w:val="20"/>
          <w:color w:val="auto"/>
        </w:rPr>
      </w:pPr>
      <w:r>
        <w:rPr>
          <w:rFonts w:ascii="Arial" w:cs="Arial" w:eastAsia="Arial" w:hAnsi="Arial"/>
          <w:sz w:val="18"/>
          <w:szCs w:val="18"/>
          <w:color w:val="auto"/>
        </w:rPr>
        <w:t>Request for approval of services by members of the Audit Committee acting by written consent.</w:t>
      </w:r>
    </w:p>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request may be made with respect to either specific services or a type of service for predictable or recurring services. All of the fees paid by us to KPMG LLP for services rendered in 2017 and 2016 were pre-approved by the Audit Committee.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364"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Report of the Audit Committee</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role of the Audit Committee is to assist the Board of Directors in its oversight of EchoStar’s financial reporting process, as is more fully described in our charter. EchoStar’s management is responsible for its financial reporting process, including its system of internal controls, and for the preparation and presentation of its consolidated financial statements in accordance with generally accepted accounting principles. EchoStar’s independent registered public accounting firm is responsible for auditing those financial statements and expressing an opinion as to their conformity with generally accepted accounting principles. Our responsibility is to monitor and review these processes. It is not our duty or our responsibility to conduct auditing or accounting reviews or procedures. We are not and may not be employees of EchoStar, and we may not represent ourselves to be, or to serve as, accountants or auditors by profession or experts in the fields of accounting or auditing. Therefore, we have relied, without independent verification, on representations by EchoStar’s management that its financial statements have been prepared with integrity and objectivity and in conformity with accounting principles generally accepted in the United States. We have also relied on representations of EchoStar’s independent registered public accounting firm included in their report on its financial statements. Our oversight does not provide us with an independent basis to determine that management has maintained appropriate accounting and financial reporting principles or policies or appropriate internal controls and procedures designed to assure compliance with accounting standards and applicable laws and regulations. Furthermore, our considerations and discussions with EchoStar’s management and independent registered public accounting firm do not assure that EchoStar’s financial statements are presented in accordance with generally accepted accounting principles, that the audit of EchoStar’s financial statements has been carried out in accordance with the standards of the Public Company Accounting Oversight Board (United States) (“PCAOB”) or that EchoStar’s independent registered public accounting firm is in fact “independent.”</w:t>
      </w:r>
    </w:p>
    <w:p>
      <w:pPr>
        <w:spacing w:after="0" w:line="16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the performance of our oversight function, we reviewed and discussed with EchoStar’s management its audited financial statements for the fiscal year ended December 31, 2017. We also discussed these audited financial statements with EchoStar’s independent registered public accounting firm. Our discussions with the independent registered public accounting firm included matters required to be discussed pursuant to the rules adopted by the PCAOB. We also discussed with them their independence and any relationship that might affect their objectivity or independence. In connection with these discussions, we received and reviewed the written disclosures and the letter from KPMG LLP required by applicable requirements of the PCAOB. Finally, we have considered whether the non-audit services provided by the independent registered public accounting firm are compatible with maintaining their independence.</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Based on the reviews and discussions referred to above, we are not aware of any relationship between the independent registered public accounting firm and EchoStar that affects the objectivity or independence of the independent registered public accounting firm. Based on these discussions and our review discussed above, we recommended to the Board of Directors that its audited financial statements for fiscal year 2017 be included in EchoStar’s Annual Report on Form 10-K for the year ended December 31, 2017 for filing with the SEC.</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Respectfully submitted,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Audit Committee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 Michael Schroeder (Chairman)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Tom A. Ortolf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Anthony M. Federico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William David Wade</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364" w:right="239" w:bottom="144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b w:val="1"/>
          <w:bCs w:val="1"/>
          <w:color w:val="auto"/>
        </w:rPr>
        <w:t>OTHER MATTERS</w:t>
      </w:r>
    </w:p>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Management knows of no other business that will be presented at the Annual Meeting other than that which is set forth in this Proxy Statement. However, if any other matter is properly presented at the Annual Meeting, the persons named in the accompanying proxy card will have discretionary authority to vote on such matter.</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ADDITIONAL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 to Get Additional Information</w:t>
      </w:r>
    </w:p>
    <w:p>
      <w:pPr>
        <w:spacing w:after="0" w:line="17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a reporting company, we are subject to the informational requirements of the Exchange Act and accordingly file our annual reports on Form 10-K, quarterly reports on Form 10-Q, current reports on Form 8-K, proxy statements and other information with the SEC. The public may read and copy any materials filed with the SEC at the SEC’s Public Reference Room at 100 F Street, NE, Washington, D.C. 20549. Please call the SEC at (800) SEC-0330 for further information on the operation of the Public Reference Room. As an electronic filer, our public filings are also maintained on the SEC’s Internet site that contains reports, proxy and information statements, and other information regarding issuers that file electronically with the SEC. The address of that website is http://www.sec.gov. In addition, our annual reports on Form 10-K, quarterly reports on Form 10-Q, current reports on Form 8-K and amendments to those reports filed or furnished pursuant to Section 13(a) or 15(d) of the Exchange Act may be accessed free of charge through our website as soon as reasonably practicable after we have electronically filed such material with, or furnished it to, the SEC. The address of that website is http://www.echostar.com.</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Proxy Solicitation</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will bear the cost of the solicitation of proxies on behalf of the Board of Directors. In addition to the use of the mail, proxies may be solicited by us personally, by telephone or by similar means. None of our directors, officers or employees will be specifically compensated for those activities. We do not expect to pay any compensation for the solicitation of proxies. However, we will reimburse brokerage firms, custodians, nominees, fiduciaries and other persons holding our shares in their names, or in the names of nominees, at approved rates for their reasonable expenses in forwarding proxy materials to beneficial owners of securities held of record by them and obtaining their proxies.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Communications</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General</w:t>
      </w:r>
      <w:r>
        <w:rPr>
          <w:rFonts w:ascii="Arial" w:cs="Arial" w:eastAsia="Arial" w:hAnsi="Arial"/>
          <w:sz w:val="18"/>
          <w:szCs w:val="18"/>
          <w:color w:val="auto"/>
        </w:rPr>
        <w:t>. We provide an informal process for shareholders to send communications to our Board of Directors and its members. Shareholders who wish to</w:t>
      </w:r>
      <w:r>
        <w:rPr>
          <w:rFonts w:ascii="Arial" w:cs="Arial" w:eastAsia="Arial" w:hAnsi="Arial"/>
          <w:sz w:val="18"/>
          <w:szCs w:val="18"/>
          <w:i w:val="1"/>
          <w:iCs w:val="1"/>
          <w:color w:val="auto"/>
        </w:rPr>
        <w:t xml:space="preserve"> </w:t>
      </w:r>
      <w:r>
        <w:rPr>
          <w:rFonts w:ascii="Arial" w:cs="Arial" w:eastAsia="Arial" w:hAnsi="Arial"/>
          <w:sz w:val="18"/>
          <w:szCs w:val="18"/>
          <w:color w:val="auto"/>
        </w:rPr>
        <w:t>contact the Board of Directors or any of its members may do so by writing to EchoStar Corporation, Attn: Board of Directors, 100 Inverness Terrace East, Englewood, Colorado 80112. At the direction of the Board of Directors, all mail received will be opened and screened for security purposes. Correspondence directed to an individual Board member is referred to that member. Correspondence not directed to a particular Board member is referred to Mr. Dean A. Manson, our Executive Vice President, General Counsel and Secretary.</w:t>
      </w:r>
    </w:p>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Submission of Shareholder Proposals and Director Nominations for the 2019 Annual Meeting. </w:t>
      </w:r>
      <w:r>
        <w:rPr>
          <w:rFonts w:ascii="Arial" w:cs="Arial" w:eastAsia="Arial" w:hAnsi="Arial"/>
          <w:sz w:val="18"/>
          <w:szCs w:val="18"/>
          <w:color w:val="auto"/>
        </w:rPr>
        <w:t>Shareholders who intend to submit a proposal or director</w:t>
      </w:r>
      <w:r>
        <w:rPr>
          <w:rFonts w:ascii="Arial" w:cs="Arial" w:eastAsia="Arial" w:hAnsi="Arial"/>
          <w:sz w:val="18"/>
          <w:szCs w:val="18"/>
          <w:i w:val="1"/>
          <w:iCs w:val="1"/>
          <w:color w:val="auto"/>
        </w:rPr>
        <w:t xml:space="preserve"> </w:t>
      </w:r>
      <w:r>
        <w:rPr>
          <w:rFonts w:ascii="Arial" w:cs="Arial" w:eastAsia="Arial" w:hAnsi="Arial"/>
          <w:sz w:val="18"/>
          <w:szCs w:val="18"/>
          <w:color w:val="auto"/>
        </w:rPr>
        <w:t>nomination for consideration for inclusion in our proxy materials for presentation at our 2019 Annual Meeting of shareholders (the “2019 Annual Meeting”) must submit the proposal or director nomination to us no later than November 20, 2018 (120 days prior to the anniversary of the mailing date of this Proxy Statement).</w:t>
      </w:r>
    </w:p>
    <w:p>
      <w:pPr>
        <w:spacing w:after="0" w:line="13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accordance with our bylaws, for a proposal or director nomination not included in our proxy materials to be brought before the 2019 Annual Meeting, a shareholder’s notice of the proposal or director nomination that the shareholder wishes to present must be delivered to Dean A. Manson, our Executive Vice President, General Counsel and Secretary, at EchoStar Corporation, 100 Inverness Terrace East, Englewood, Colorado 80112 not less than 90 nor more than 120 days prior to the first anniversary of the 2018 Annual Meeting of Shareholders. Accordingly, based on the date of our 2018 Annual Meeting of Shareholders, any notice given pursuant to our bylaws and outside the process of Rule 14a-8 must be received no earlier than December 31, 2018 and no later than January 30, 2019. We reserve the right to reject, rule out of order or take other appropriate action with respect to any proposal or director nomination that does not comply with these and other applicable requirements.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14605</wp:posOffset>
            </wp:positionV>
            <wp:extent cx="1037590" cy="4629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037590"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color w:val="auto"/>
        </w:rPr>
        <w:t>DEAN A. MANSON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Executive Vice President, General Counsel and Secretary</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364" w:right="239" w:bottom="1440" w:gutter="0" w:footer="0" w:header="0"/>
        </w:sectPr>
      </w:pPr>
    </w:p>
    <w:bookmarkStart w:id="46" w:name="page47"/>
    <w:bookmarkEnd w:id="4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6174740" cy="79838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clrChange>
                        <a:clrFrom>
                          <a:srgbClr val="FFFFFF"/>
                        </a:clrFrom>
                        <a:clrTo>
                          <a:srgbClr val="FFFFFF">
                            <a:alpha val="0"/>
                          </a:srgbClr>
                        </a:clrTo>
                      </a:clrChange>
                      <a:extLst>
                        <a:ext uri="{28A0092B-C50C-407E-A947-70E740481C1C}"/>
                      </a:extLst>
                    </a:blip>
                    <a:srcRect/>
                    <a:stretch>
                      <a:fillRect/>
                    </a:stretch>
                  </pic:blipFill>
                  <pic:spPr bwMode="auto">
                    <a:xfrm>
                      <a:off x="0" y="0"/>
                      <a:ext cx="6174740" cy="7983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9019"/>
          </w:cols>
          <w:pgMar w:left="1440" w:top="1440" w:right="1440" w:bottom="1440" w:gutter="0" w:footer="0" w:header="0"/>
        </w:sectPr>
      </w:pPr>
    </w:p>
    <w:bookmarkStart w:id="47" w:name="page48"/>
    <w:bookmarkEnd w:id="4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6174740" cy="79838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clrChange>
                        <a:clrFrom>
                          <a:srgbClr val="FFFFFF"/>
                        </a:clrFrom>
                        <a:clrTo>
                          <a:srgbClr val="FFFFFF">
                            <a:alpha val="0"/>
                          </a:srgbClr>
                        </a:clrTo>
                      </a:clrChange>
                      <a:extLst>
                        <a:ext uri="{28A0092B-C50C-407E-A947-70E740481C1C}"/>
                      </a:extLst>
                    </a:blip>
                    <a:srcRect/>
                    <a:stretch>
                      <a:fillRect/>
                    </a:stretch>
                  </pic:blipFill>
                  <pic:spPr bwMode="auto">
                    <a:xfrm>
                      <a:off x="0" y="0"/>
                      <a:ext cx="6174740" cy="7983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sectPr>
      <w:pgSz w:w="11900" w:h="16838" w:orient="portrait"/>
      <w:cols w:equalWidth="0" w:num="1">
        <w:col w:w="9019"/>
      </w:cols>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FDCC233"/>
    <w:multiLevelType w:val="hybridMultilevel"/>
    <w:lvl w:ilvl="0">
      <w:lvlJc w:val="left"/>
      <w:lvlText w:val="o"/>
      <w:numFmt w:val="bullet"/>
      <w:start w:val="1"/>
    </w:lvl>
  </w:abstractNum>
  <w:abstractNum w:abstractNumId="1">
    <w:nsid w:val="1BEFD79F"/>
    <w:multiLevelType w:val="hybridMultilevel"/>
    <w:lvl w:ilvl="0">
      <w:lvlJc w:val="left"/>
      <w:lvlText w:val="x"/>
      <w:numFmt w:val="bullet"/>
      <w:start w:val="1"/>
    </w:lvl>
  </w:abstractNum>
  <w:abstractNum w:abstractNumId="2">
    <w:nsid w:val="41A7C4C9"/>
    <w:multiLevelType w:val="hybridMultilevel"/>
    <w:lvl w:ilvl="0">
      <w:lvlJc w:val="left"/>
      <w:lvlText w:val="o"/>
      <w:numFmt w:val="bullet"/>
      <w:start w:val="1"/>
    </w:lvl>
    <w:lvl w:ilvl="1">
      <w:lvlJc w:val="left"/>
      <w:lvlText w:val="(%2)"/>
      <w:numFmt w:val="decimal"/>
      <w:start w:val="1"/>
    </w:lvl>
  </w:abstractNum>
  <w:abstractNum w:abstractNumId="3">
    <w:nsid w:val="6B68079A"/>
    <w:multiLevelType w:val="hybridMultilevel"/>
    <w:lvl w:ilvl="0">
      <w:lvlJc w:val="left"/>
      <w:lvlText w:val="%1."/>
      <w:numFmt w:val="decimal"/>
      <w:start w:val="1"/>
    </w:lvl>
  </w:abstractNum>
  <w:abstractNum w:abstractNumId="4">
    <w:nsid w:val="4E6AFB66"/>
    <w:multiLevelType w:val="hybridMultilevel"/>
    <w:lvl w:ilvl="0">
      <w:lvlJc w:val="left"/>
      <w:lvlText w:val="•"/>
      <w:numFmt w:val="bullet"/>
      <w:start w:val="1"/>
    </w:lvl>
  </w:abstractNum>
  <w:abstractNum w:abstractNumId="5">
    <w:nsid w:val="25E45D32"/>
    <w:multiLevelType w:val="hybridMultilevel"/>
    <w:lvl w:ilvl="0">
      <w:lvlJc w:val="left"/>
      <w:lvlText w:val="%1."/>
      <w:numFmt w:val="decimal"/>
      <w:start w:val="1"/>
    </w:lvl>
  </w:abstractNum>
  <w:abstractNum w:abstractNumId="6">
    <w:nsid w:val="519B500D"/>
    <w:multiLevelType w:val="hybridMultilevel"/>
    <w:lvl w:ilvl="0">
      <w:lvlJc w:val="left"/>
      <w:lvlText w:val="(%1)"/>
      <w:numFmt w:val="decimal"/>
      <w:start w:val="1"/>
    </w:lvl>
  </w:abstractNum>
  <w:abstractNum w:abstractNumId="7">
    <w:nsid w:val="431BD7B7"/>
    <w:multiLevelType w:val="hybridMultilevel"/>
    <w:lvl w:ilvl="0">
      <w:lvlJc w:val="left"/>
      <w:lvlText w:val="(%1)"/>
      <w:numFmt w:val="decimal"/>
      <w:start w:val="1"/>
    </w:lvl>
  </w:abstractNum>
  <w:abstractNum w:abstractNumId="8">
    <w:nsid w:val="3F2DBA31"/>
    <w:multiLevelType w:val="hybridMultilevel"/>
    <w:lvl w:ilvl="0">
      <w:lvlJc w:val="left"/>
      <w:lvlText w:val="•"/>
      <w:numFmt w:val="bullet"/>
      <w:start w:val="1"/>
    </w:lvl>
  </w:abstractNum>
  <w:abstractNum w:abstractNumId="9">
    <w:nsid w:val="7C83E458"/>
    <w:multiLevelType w:val="hybridMultilevel"/>
    <w:lvl w:ilvl="0">
      <w:lvlJc w:val="left"/>
      <w:lvlText w:val="(%1)"/>
      <w:numFmt w:val="decimal"/>
      <w:start w:val="1"/>
    </w:lvl>
  </w:abstractNum>
  <w:abstractNum w:abstractNumId="10">
    <w:nsid w:val="257130A3"/>
    <w:multiLevelType w:val="hybridMultilevel"/>
    <w:lvl w:ilvl="0">
      <w:lvlJc w:val="left"/>
      <w:lvlText w:val="(%1)"/>
      <w:numFmt w:val="decimal"/>
      <w:start w:val="5"/>
    </w:lvl>
  </w:abstractNum>
  <w:abstractNum w:abstractNumId="11">
    <w:nsid w:val="62BBD95A"/>
    <w:multiLevelType w:val="hybridMultilevel"/>
    <w:lvl w:ilvl="0">
      <w:lvlJc w:val="left"/>
      <w:lvlText w:val="(%1)"/>
      <w:numFmt w:val="decimal"/>
      <w:start w:val="11"/>
    </w:lvl>
    <w:lvl w:ilvl="1">
      <w:lvlJc w:val="left"/>
      <w:lvlText w:val="(%2)"/>
      <w:numFmt w:val="lowerRoman"/>
      <w:start w:val="3"/>
    </w:lvl>
  </w:abstractNum>
  <w:abstractNum w:abstractNumId="12">
    <w:nsid w:val="436C6125"/>
    <w:multiLevelType w:val="hybridMultilevel"/>
    <w:lvl w:ilvl="0">
      <w:lvlJc w:val="left"/>
      <w:lvlText w:val="•"/>
      <w:numFmt w:val="bullet"/>
      <w:start w:val="1"/>
    </w:lvl>
  </w:abstractNum>
  <w:abstractNum w:abstractNumId="13">
    <w:nsid w:val="628C895D"/>
    <w:multiLevelType w:val="hybridMultilevel"/>
    <w:lvl w:ilvl="0">
      <w:lvlJc w:val="left"/>
      <w:lvlText w:val="•"/>
      <w:numFmt w:val="bullet"/>
      <w:start w:val="1"/>
    </w:lvl>
  </w:abstractNum>
  <w:abstractNum w:abstractNumId="14">
    <w:nsid w:val="333AB105"/>
    <w:multiLevelType w:val="hybridMultilevel"/>
    <w:lvl w:ilvl="0">
      <w:lvlJc w:val="left"/>
      <w:lvlText w:val="•"/>
      <w:numFmt w:val="bullet"/>
      <w:start w:val="1"/>
    </w:lvl>
  </w:abstractNum>
  <w:abstractNum w:abstractNumId="15">
    <w:nsid w:val="721DA317"/>
    <w:multiLevelType w:val="hybridMultilevel"/>
    <w:lvl w:ilvl="0">
      <w:lvlJc w:val="left"/>
      <w:lvlText w:val="(%1)"/>
      <w:numFmt w:val="lowerRoman"/>
      <w:start w:val="1"/>
    </w:lvl>
  </w:abstractNum>
  <w:abstractNum w:abstractNumId="16">
    <w:nsid w:val="2443A858"/>
    <w:multiLevelType w:val="hybridMultilevel"/>
    <w:lvl w:ilvl="0">
      <w:lvlJc w:val="left"/>
      <w:lvlText w:val="(%1)"/>
      <w:numFmt w:val="lowerRoman"/>
      <w:start w:val="6"/>
    </w:lvl>
  </w:abstractNum>
  <w:abstractNum w:abstractNumId="17">
    <w:nsid w:val="2D1D5AE9"/>
    <w:multiLevelType w:val="hybridMultilevel"/>
    <w:lvl w:ilvl="0">
      <w:lvlJc w:val="left"/>
      <w:lvlText w:val="(%1)"/>
      <w:numFmt w:val="decimal"/>
      <w:start w:val="1"/>
    </w:lvl>
  </w:abstractNum>
  <w:abstractNum w:abstractNumId="18">
    <w:nsid w:val="6763845E"/>
    <w:multiLevelType w:val="hybridMultilevel"/>
    <w:lvl w:ilvl="0">
      <w:lvlJc w:val="left"/>
      <w:lvlText w:val="(%1)"/>
      <w:numFmt w:val="decimal"/>
      <w:start w:val="4"/>
    </w:lvl>
  </w:abstractNum>
  <w:abstractNum w:abstractNumId="19">
    <w:nsid w:val="75A2A8D4"/>
    <w:multiLevelType w:val="hybridMultilevel"/>
    <w:lvl w:ilvl="0">
      <w:lvlJc w:val="left"/>
      <w:lvlText w:val="(%1)"/>
      <w:numFmt w:val="decimal"/>
      <w:start w:val="1"/>
    </w:lvl>
  </w:abstractNum>
  <w:abstractNum w:abstractNumId="20">
    <w:nsid w:val="8EDBDAB"/>
    <w:multiLevelType w:val="hybridMultilevel"/>
    <w:lvl w:ilvl="0">
      <w:lvlJc w:val="left"/>
      <w:lvlText w:val="(%1)"/>
      <w:numFmt w:val="decimal"/>
      <w:start w:val="1"/>
    </w:lvl>
  </w:abstractNum>
  <w:abstractNum w:abstractNumId="21">
    <w:nsid w:val="79838CB2"/>
    <w:multiLevelType w:val="hybridMultilevel"/>
    <w:lvl w:ilvl="0">
      <w:lvlJc w:val="left"/>
      <w:lvlText w:val="(%1)"/>
      <w:numFmt w:val="decimal"/>
      <w:start w:val="1"/>
    </w:lvl>
  </w:abstractNum>
  <w:abstractNum w:abstractNumId="22">
    <w:nsid w:val="4353D0CD"/>
    <w:multiLevelType w:val="hybridMultilevel"/>
    <w:lvl w:ilvl="0">
      <w:lvlJc w:val="left"/>
      <w:lvlText w:val="(%1)"/>
      <w:numFmt w:val="decimal"/>
      <w:start w:val="1"/>
    </w:lvl>
  </w:abstractNum>
  <w:abstractNum w:abstractNumId="23">
    <w:nsid w:val="B03E0C6"/>
    <w:multiLevelType w:val="hybridMultilevel"/>
    <w:lvl w:ilvl="0">
      <w:lvlJc w:val="left"/>
      <w:lvlText w:val="(%1)"/>
      <w:numFmt w:val="decimal"/>
      <w:start w:val="1"/>
    </w:lvl>
  </w:abstractNum>
  <w:abstractNum w:abstractNumId="24">
    <w:nsid w:val="189A769B"/>
    <w:multiLevelType w:val="hybridMultilevel"/>
    <w:lvl w:ilvl="0">
      <w:lvlJc w:val="left"/>
      <w:lvlText w:val="(%1)"/>
      <w:numFmt w:val="decimal"/>
      <w:start w:val="1"/>
    </w:lvl>
  </w:abstractNum>
  <w:abstractNum w:abstractNumId="25">
    <w:nsid w:val="54E49EB4"/>
    <w:multiLevelType w:val="hybridMultilevel"/>
    <w:lvl w:ilvl="0">
      <w:lvlJc w:val="left"/>
      <w:lvlText w:val="(%1)"/>
      <w:numFmt w:val="lowerLetter"/>
      <w:start w:val="1"/>
    </w:lvl>
  </w:abstractNum>
  <w:abstractNum w:abstractNumId="26">
    <w:nsid w:val="71F32454"/>
    <w:multiLevelType w:val="hybridMultilevel"/>
    <w:lvl w:ilvl="0">
      <w:lvlJc w:val="left"/>
      <w:lvlText w:val="(%1)"/>
      <w:numFmt w:val="decimal"/>
      <w:start w:val="1"/>
    </w:lvl>
  </w:abstractNum>
  <w:abstractNum w:abstractNumId="27">
    <w:nsid w:val="2CA8861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2019-12-07T10:43:06Z</dcterms:created>
  <dcterms:modified xsi:type="dcterms:W3CDTF">2019-12-07T10:43:06Z</dcterms:modified>
</cp:coreProperties>
</file>